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三亚市2024年古树名木抢救复壮项目咨询服务招标需求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项目名称：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三亚市2024年古树名木抢救复壮项目咨询服务</w:t>
      </w:r>
    </w:p>
    <w:p>
      <w:pP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投资预算：44万元</w:t>
      </w:r>
    </w:p>
    <w:p>
      <w:pP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资金来源：中央资金</w:t>
      </w:r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咨询期限：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7个月</w:t>
      </w:r>
    </w:p>
    <w:p>
      <w:pPr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咨询内容：对三亚市11株国家一级保护古树提供咨询服务</w:t>
      </w:r>
    </w:p>
    <w:p>
      <w:pPr>
        <w:numPr>
          <w:ilvl w:val="0"/>
          <w:numId w:val="1"/>
        </w:numP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调查评估服务：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12天收集古树基本信息，前往实地调查古树的基本信息、生长情况、形态指标、病虫害与白蚁发生危害状况、立地土壤的理化性质等情况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，采</w:t>
      </w:r>
      <w:r>
        <w:rPr>
          <w:rFonts w:hint="eastAsia" w:ascii="华文仿宋" w:hAnsi="华文仿宋" w:eastAsia="华文仿宋" w:cs="华文仿宋"/>
          <w:sz w:val="32"/>
          <w:szCs w:val="32"/>
        </w:rPr>
        <w:t>用人工探查和相关仪器结合的方法对古树树干内部情况、根系分布情况等进行检测与分析，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对古树开展详细的健康调查，提交古树调查评估报告。</w:t>
      </w:r>
    </w:p>
    <w:p>
      <w:pPr>
        <w:numPr>
          <w:ilvl w:val="0"/>
          <w:numId w:val="1"/>
        </w:numPr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古树抢救复壮实施方案编制服务：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在对古树进行充分调查的前提下，18天内编制古树抢救复壮实施方案，要求“一树一策”，通过有相关经验专家的评审后，提交古树抢救复壮实施方案。</w:t>
      </w:r>
    </w:p>
    <w:p>
      <w:pPr>
        <w:numPr>
          <w:ilvl w:val="0"/>
          <w:numId w:val="1"/>
        </w:numPr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效果监测评估服务：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在古树复壮完成后，对国家一级保护古树的生长状况、形态指标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、根系分布、病虫害、立地土壤等因素等进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行6个月监测，提交监测评估报告，确保项目的实施效果。</w:t>
      </w:r>
    </w:p>
    <w:p>
      <w:pPr>
        <w:numPr>
          <w:ilvl w:val="0"/>
          <w:numId w:val="0"/>
        </w:numPr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资质要求：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单位具有林业调查规划设计资质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人员要求：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服务团队要能本地部署，及时响应甲方技术要求和服务标准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付款方式：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合同金额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以中标金额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为准，</w:t>
      </w:r>
      <w:r>
        <w:rPr>
          <w:rFonts w:hint="eastAsia" w:ascii="华文仿宋" w:hAnsi="华文仿宋" w:eastAsia="华文仿宋" w:cs="华文仿宋"/>
          <w:sz w:val="32"/>
          <w:szCs w:val="32"/>
        </w:rPr>
        <w:t>分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</w:rPr>
        <w:t>次支付。合同签订后，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提交合格的古树调查评估报告，</w:t>
      </w:r>
      <w:r>
        <w:rPr>
          <w:rFonts w:hint="eastAsia" w:ascii="华文仿宋" w:hAnsi="华文仿宋" w:eastAsia="华文仿宋" w:cs="华文仿宋"/>
          <w:sz w:val="32"/>
          <w:szCs w:val="32"/>
        </w:rPr>
        <w:t>乙方提供足额发票，甲方支付合同金额的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30</w:t>
      </w:r>
      <w:r>
        <w:rPr>
          <w:rFonts w:hint="eastAsia" w:ascii="华文仿宋" w:hAnsi="华文仿宋" w:eastAsia="华文仿宋" w:cs="华文仿宋"/>
          <w:sz w:val="32"/>
          <w:szCs w:val="32"/>
        </w:rPr>
        <w:t>%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作为首付款</w:t>
      </w:r>
      <w:r>
        <w:rPr>
          <w:rFonts w:hint="eastAsia" w:ascii="华文仿宋" w:hAnsi="华文仿宋" w:eastAsia="华文仿宋" w:cs="华文仿宋"/>
          <w:sz w:val="32"/>
          <w:szCs w:val="32"/>
        </w:rPr>
        <w:t>；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提交通过评审的古树抢救复壮方案，</w:t>
      </w:r>
      <w:r>
        <w:rPr>
          <w:rFonts w:hint="eastAsia" w:ascii="华文仿宋" w:hAnsi="华文仿宋" w:eastAsia="华文仿宋" w:cs="华文仿宋"/>
          <w:sz w:val="32"/>
          <w:szCs w:val="32"/>
        </w:rPr>
        <w:t>乙方提供足额发票，甲方支付合同金额的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40</w:t>
      </w:r>
      <w:r>
        <w:rPr>
          <w:rFonts w:hint="eastAsia" w:ascii="华文仿宋" w:hAnsi="华文仿宋" w:eastAsia="华文仿宋" w:cs="华文仿宋"/>
          <w:sz w:val="32"/>
          <w:szCs w:val="32"/>
        </w:rPr>
        <w:t>%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作为服务费进度款；提交合格的监测评估报告后，项目整体验收合格，</w:t>
      </w:r>
      <w:r>
        <w:rPr>
          <w:rFonts w:hint="eastAsia" w:ascii="华文仿宋" w:hAnsi="华文仿宋" w:eastAsia="华文仿宋" w:cs="华文仿宋"/>
          <w:sz w:val="32"/>
          <w:szCs w:val="32"/>
        </w:rPr>
        <w:t>乙方提供足额发票，甲方支付合同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尾款。</w:t>
      </w:r>
    </w:p>
    <w:p>
      <w:pPr>
        <w:numPr>
          <w:ilvl w:val="0"/>
          <w:numId w:val="0"/>
        </w:numP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eastAsia="zh-CN"/>
        </w:rPr>
        <w:t>合同份数：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一式捌份，甲方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份，乙方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份，具有同等法律效力。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7D3F58"/>
    <w:multiLevelType w:val="singleLevel"/>
    <w:tmpl w:val="427D3F5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YzEyMTAyYTFlNDc3ZmQ0YTg2ZWFkMDM0NWU3NDQifQ=="/>
  </w:docVars>
  <w:rsids>
    <w:rsidRoot w:val="116C798A"/>
    <w:rsid w:val="05902CEF"/>
    <w:rsid w:val="116C798A"/>
    <w:rsid w:val="1A5F0B28"/>
    <w:rsid w:val="369A7F46"/>
    <w:rsid w:val="3BA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570</Characters>
  <Lines>0</Lines>
  <Paragraphs>0</Paragraphs>
  <TotalTime>0</TotalTime>
  <ScaleCrop>false</ScaleCrop>
  <LinksUpToDate>false</LinksUpToDate>
  <CharactersWithSpaces>570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2023-05-14T12:19:00Z</dcterms:created>
  <dc:creator>凌波微步</dc:creator>
  <cp:lastModifiedBy>凌波微步</cp:lastModifiedBy>
  <dcterms:modified xsi:type="dcterms:W3CDTF">2024-07-23T04:16:31Z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EBE7EBCF123B48609521E11EFD96A00F_13</vt:lpwstr>
  </property>
</Properties>
</file>