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736817">
      <w:pPr>
        <w:spacing w:line="360" w:lineRule="auto"/>
        <w:ind w:firstLine="420" w:firstLineChars="200"/>
        <w:rPr>
          <w:rFonts w:hint="eastAsia"/>
        </w:rPr>
      </w:pPr>
    </w:p>
    <w:p w14:paraId="056D05D0">
      <w:pPr>
        <w:spacing w:line="360" w:lineRule="auto"/>
        <w:ind w:firstLine="420" w:firstLineChars="200"/>
        <w:rPr>
          <w:rFonts w:hint="eastAsia"/>
        </w:rPr>
      </w:pPr>
    </w:p>
    <w:p w14:paraId="4284ACAB">
      <w:pPr>
        <w:spacing w:line="360" w:lineRule="auto"/>
        <w:ind w:firstLine="420" w:firstLineChars="200"/>
      </w:pPr>
    </w:p>
    <w:p w14:paraId="76E0E71F">
      <w:pPr>
        <w:spacing w:line="360" w:lineRule="auto"/>
      </w:pPr>
    </w:p>
    <w:p w14:paraId="2D0F89A6">
      <w:pPr>
        <w:spacing w:line="360" w:lineRule="auto"/>
        <w:ind w:firstLine="880" w:firstLineChars="200"/>
        <w:rPr>
          <w:rFonts w:eastAsia="方正小标宋简体"/>
          <w:b/>
          <w:bCs/>
          <w:sz w:val="44"/>
          <w:szCs w:val="44"/>
        </w:rPr>
      </w:pPr>
    </w:p>
    <w:p w14:paraId="482062AC">
      <w:pPr>
        <w:spacing w:line="360" w:lineRule="auto"/>
        <w:jc w:val="center"/>
        <w:rPr>
          <w:rFonts w:eastAsia="方正小标宋简体"/>
          <w:b/>
          <w:bCs/>
          <w:sz w:val="52"/>
          <w:szCs w:val="52"/>
        </w:rPr>
      </w:pPr>
      <w:r>
        <w:rPr>
          <w:rFonts w:eastAsia="方正小标宋简体"/>
          <w:b/>
          <w:bCs/>
          <w:sz w:val="52"/>
          <w:szCs w:val="52"/>
        </w:rPr>
        <w:t>三亚市林业产业发展规划</w:t>
      </w:r>
    </w:p>
    <w:p w14:paraId="1D763142">
      <w:pPr>
        <w:spacing w:line="360" w:lineRule="auto"/>
        <w:jc w:val="center"/>
        <w:rPr>
          <w:rFonts w:hint="eastAsia" w:eastAsia="方正小标宋简体"/>
          <w:b/>
          <w:bCs/>
          <w:sz w:val="52"/>
          <w:szCs w:val="52"/>
        </w:rPr>
      </w:pPr>
      <w:r>
        <w:rPr>
          <w:rFonts w:eastAsia="方正小标宋简体"/>
          <w:b/>
          <w:bCs/>
          <w:sz w:val="52"/>
          <w:szCs w:val="52"/>
        </w:rPr>
        <w:t>（2021-2035年）</w:t>
      </w:r>
    </w:p>
    <w:p w14:paraId="5A4C8379">
      <w:pPr>
        <w:spacing w:line="360" w:lineRule="auto"/>
        <w:jc w:val="center"/>
        <w:rPr>
          <w:rFonts w:hint="eastAsia"/>
        </w:rPr>
      </w:pPr>
      <w:r>
        <w:rPr>
          <w:rFonts w:hint="eastAsia" w:eastAsia="方正小标宋简体"/>
          <w:b/>
          <w:bCs/>
          <w:sz w:val="52"/>
          <w:szCs w:val="52"/>
        </w:rPr>
        <w:t>送审稿</w:t>
      </w:r>
    </w:p>
    <w:p w14:paraId="445C9246">
      <w:pPr>
        <w:spacing w:line="360" w:lineRule="auto"/>
        <w:jc w:val="center"/>
      </w:pPr>
    </w:p>
    <w:p w14:paraId="2E644EB0">
      <w:pPr>
        <w:spacing w:line="360" w:lineRule="auto"/>
        <w:jc w:val="center"/>
      </w:pPr>
    </w:p>
    <w:p w14:paraId="592B85CF">
      <w:pPr>
        <w:spacing w:line="360" w:lineRule="auto"/>
        <w:jc w:val="center"/>
      </w:pPr>
    </w:p>
    <w:p w14:paraId="75B9482A">
      <w:pPr>
        <w:spacing w:line="360" w:lineRule="auto"/>
        <w:jc w:val="center"/>
      </w:pPr>
    </w:p>
    <w:p w14:paraId="601257A9">
      <w:pPr>
        <w:spacing w:line="360" w:lineRule="auto"/>
        <w:jc w:val="center"/>
      </w:pPr>
    </w:p>
    <w:p w14:paraId="3AB9D785">
      <w:pPr>
        <w:spacing w:line="360" w:lineRule="auto"/>
        <w:jc w:val="center"/>
      </w:pPr>
    </w:p>
    <w:p w14:paraId="068DDD17">
      <w:pPr>
        <w:spacing w:line="360" w:lineRule="auto"/>
        <w:jc w:val="center"/>
      </w:pPr>
    </w:p>
    <w:p w14:paraId="0B6771AF">
      <w:pPr>
        <w:spacing w:line="360" w:lineRule="auto"/>
        <w:jc w:val="center"/>
      </w:pPr>
    </w:p>
    <w:p w14:paraId="1A80EE24">
      <w:pPr>
        <w:spacing w:line="360" w:lineRule="auto"/>
        <w:jc w:val="center"/>
      </w:pPr>
    </w:p>
    <w:p w14:paraId="5F3C8AF5">
      <w:pPr>
        <w:spacing w:line="360" w:lineRule="auto"/>
        <w:jc w:val="center"/>
      </w:pPr>
    </w:p>
    <w:p w14:paraId="30ABB577">
      <w:pPr>
        <w:spacing w:line="360" w:lineRule="auto"/>
        <w:jc w:val="center"/>
        <w:rPr>
          <w:rFonts w:eastAsia="方正小标宋简体"/>
          <w:b/>
          <w:bCs/>
          <w:sz w:val="32"/>
          <w:szCs w:val="32"/>
        </w:rPr>
      </w:pPr>
    </w:p>
    <w:p w14:paraId="465D759D">
      <w:pPr>
        <w:spacing w:line="360" w:lineRule="auto"/>
        <w:jc w:val="center"/>
        <w:rPr>
          <w:rFonts w:hint="eastAsia" w:ascii="黑体" w:hAnsi="黑体" w:eastAsia="黑体"/>
          <w:bCs/>
          <w:sz w:val="32"/>
          <w:szCs w:val="32"/>
        </w:rPr>
      </w:pPr>
    </w:p>
    <w:p w14:paraId="0A75EAA5">
      <w:pPr>
        <w:spacing w:line="360" w:lineRule="auto"/>
        <w:jc w:val="center"/>
        <w:rPr>
          <w:rFonts w:hint="eastAsia" w:ascii="黑体" w:hAnsi="黑体" w:eastAsia="黑体"/>
          <w:bCs/>
          <w:sz w:val="32"/>
          <w:szCs w:val="32"/>
        </w:rPr>
      </w:pPr>
    </w:p>
    <w:p w14:paraId="68B770EA">
      <w:pPr>
        <w:spacing w:line="360" w:lineRule="auto"/>
        <w:jc w:val="center"/>
        <w:rPr>
          <w:rFonts w:ascii="黑体" w:hAnsi="黑体" w:eastAsia="黑体"/>
          <w:bCs/>
          <w:sz w:val="32"/>
          <w:szCs w:val="32"/>
        </w:rPr>
      </w:pPr>
      <w:r>
        <w:rPr>
          <w:rFonts w:ascii="黑体" w:hAnsi="黑体" w:eastAsia="黑体"/>
          <w:bCs/>
          <w:sz w:val="32"/>
          <w:szCs w:val="32"/>
        </w:rPr>
        <w:t>三亚市林业局</w:t>
      </w:r>
    </w:p>
    <w:p w14:paraId="6073AAF4">
      <w:pPr>
        <w:spacing w:line="360" w:lineRule="auto"/>
        <w:jc w:val="center"/>
        <w:rPr>
          <w:rFonts w:ascii="黑体" w:hAnsi="黑体" w:eastAsia="黑体"/>
          <w:bCs/>
          <w:sz w:val="32"/>
          <w:szCs w:val="32"/>
        </w:rPr>
      </w:pPr>
      <w:r>
        <w:rPr>
          <w:rFonts w:ascii="黑体" w:hAnsi="黑体" w:eastAsia="黑体"/>
          <w:bCs/>
          <w:sz w:val="32"/>
          <w:szCs w:val="32"/>
        </w:rPr>
        <w:t>三亚市林业科学研究院</w:t>
      </w:r>
    </w:p>
    <w:p w14:paraId="50724CB3">
      <w:pPr>
        <w:spacing w:line="360" w:lineRule="auto"/>
        <w:jc w:val="center"/>
        <w:rPr>
          <w:rFonts w:ascii="黑体" w:hAnsi="黑体" w:eastAsia="黑体"/>
          <w:bCs/>
          <w:sz w:val="32"/>
          <w:szCs w:val="32"/>
        </w:rPr>
      </w:pPr>
      <w:r>
        <w:rPr>
          <w:rFonts w:ascii="黑体" w:hAnsi="黑体" w:eastAsia="黑体"/>
          <w:bCs/>
          <w:sz w:val="32"/>
          <w:szCs w:val="32"/>
        </w:rPr>
        <w:t>二〇二一年</w:t>
      </w:r>
      <w:r>
        <w:rPr>
          <w:rFonts w:hint="eastAsia" w:ascii="黑体" w:hAnsi="黑体" w:eastAsia="黑体"/>
          <w:bCs/>
          <w:sz w:val="32"/>
          <w:szCs w:val="32"/>
        </w:rPr>
        <w:t>九</w:t>
      </w:r>
      <w:r>
        <w:rPr>
          <w:rFonts w:ascii="黑体" w:hAnsi="黑体" w:eastAsia="黑体"/>
          <w:bCs/>
          <w:sz w:val="32"/>
          <w:szCs w:val="32"/>
        </w:rPr>
        <w:t>月</w:t>
      </w:r>
    </w:p>
    <w:p w14:paraId="4BF544BF">
      <w:pPr>
        <w:spacing w:line="720" w:lineRule="auto"/>
        <w:rPr>
          <w:sz w:val="32"/>
          <w:szCs w:val="32"/>
        </w:rPr>
        <w:sectPr>
          <w:pgSz w:w="11906" w:h="16838"/>
          <w:pgMar w:top="1440" w:right="1800" w:bottom="1440" w:left="1800" w:header="851" w:footer="992" w:gutter="0"/>
          <w:cols w:space="720" w:num="1"/>
          <w:docGrid w:type="lines" w:linePitch="312" w:charSpace="0"/>
        </w:sectPr>
      </w:pPr>
    </w:p>
    <w:p w14:paraId="1B5B2570">
      <w:pPr>
        <w:jc w:val="center"/>
        <w:rPr>
          <w:rFonts w:hint="eastAsia"/>
          <w:b/>
          <w:bCs/>
          <w:sz w:val="36"/>
          <w:szCs w:val="36"/>
        </w:rPr>
      </w:pPr>
      <w:r>
        <w:rPr>
          <w:b/>
          <w:bCs/>
          <w:sz w:val="36"/>
          <w:szCs w:val="36"/>
        </w:rPr>
        <w:t>主要编制人员名单</w:t>
      </w:r>
    </w:p>
    <w:p w14:paraId="12B7E932">
      <w:pPr>
        <w:rPr>
          <w:rFonts w:hint="eastAsia" w:ascii="仿宋_GB2312" w:eastAsia="仿宋_GB2312"/>
          <w:b/>
          <w:bCs/>
          <w:sz w:val="32"/>
          <w:szCs w:val="36"/>
        </w:rPr>
      </w:pPr>
    </w:p>
    <w:p w14:paraId="3479DCC9">
      <w:pPr>
        <w:spacing w:line="400" w:lineRule="exact"/>
        <w:rPr>
          <w:rFonts w:ascii="仿宋_GB2312" w:eastAsia="仿宋_GB2312"/>
          <w:b/>
          <w:bCs/>
          <w:sz w:val="32"/>
          <w:szCs w:val="36"/>
        </w:rPr>
      </w:pPr>
      <w:r>
        <w:rPr>
          <w:rFonts w:hint="eastAsia" w:ascii="仿宋_GB2312" w:eastAsia="仿宋_GB2312"/>
          <w:b/>
          <w:bCs/>
          <w:sz w:val="32"/>
          <w:szCs w:val="36"/>
        </w:rPr>
        <w:t>三亚市林业科学研究院</w:t>
      </w:r>
    </w:p>
    <w:p w14:paraId="4217D8A5">
      <w:pPr>
        <w:spacing w:line="400" w:lineRule="exact"/>
        <w:ind w:firstLine="1120" w:firstLineChars="400"/>
        <w:jc w:val="left"/>
        <w:rPr>
          <w:rFonts w:hint="eastAsia" w:ascii="仿宋_GB2312" w:eastAsia="仿宋_GB2312"/>
          <w:bCs/>
          <w:sz w:val="28"/>
          <w:szCs w:val="28"/>
        </w:rPr>
      </w:pPr>
      <w:r>
        <w:rPr>
          <w:rFonts w:hint="eastAsia" w:ascii="仿宋_GB2312" w:eastAsia="仿宋_GB2312"/>
          <w:bCs/>
          <w:sz w:val="28"/>
          <w:szCs w:val="28"/>
        </w:rPr>
        <w:t xml:space="preserve">罗金环     林业高级工程师    </w:t>
      </w:r>
      <w:r>
        <w:rPr>
          <w:rFonts w:ascii="仿宋_GB2312" w:eastAsia="仿宋_GB2312"/>
          <w:bCs/>
          <w:sz w:val="28"/>
          <w:szCs w:val="28"/>
        </w:rPr>
        <w:t xml:space="preserve">   </w:t>
      </w:r>
      <w:r>
        <w:rPr>
          <w:rFonts w:hint="eastAsia" w:ascii="仿宋_GB2312" w:eastAsia="仿宋_GB2312"/>
          <w:bCs/>
          <w:sz w:val="28"/>
          <w:szCs w:val="28"/>
        </w:rPr>
        <w:t xml:space="preserve"> 唐  宪     林业高级工程师</w:t>
      </w:r>
    </w:p>
    <w:p w14:paraId="27DF12AD">
      <w:pPr>
        <w:spacing w:line="400" w:lineRule="exact"/>
        <w:ind w:firstLine="1120" w:firstLineChars="400"/>
        <w:jc w:val="left"/>
        <w:rPr>
          <w:rFonts w:hint="eastAsia" w:ascii="仿宋_GB2312" w:eastAsia="仿宋_GB2312"/>
          <w:bCs/>
          <w:sz w:val="28"/>
          <w:szCs w:val="28"/>
        </w:rPr>
      </w:pPr>
      <w:r>
        <w:rPr>
          <w:rFonts w:hint="eastAsia" w:ascii="仿宋_GB2312" w:eastAsia="仿宋_GB2312"/>
          <w:bCs/>
          <w:sz w:val="28"/>
          <w:szCs w:val="28"/>
        </w:rPr>
        <w:t xml:space="preserve">刘  俊     林业高级工程师   </w:t>
      </w:r>
      <w:r>
        <w:rPr>
          <w:rFonts w:ascii="仿宋_GB2312" w:eastAsia="仿宋_GB2312"/>
          <w:bCs/>
          <w:sz w:val="28"/>
          <w:szCs w:val="28"/>
        </w:rPr>
        <w:t xml:space="preserve">   </w:t>
      </w:r>
      <w:r>
        <w:rPr>
          <w:rFonts w:hint="eastAsia" w:ascii="仿宋_GB2312" w:eastAsia="仿宋_GB2312"/>
          <w:bCs/>
          <w:sz w:val="28"/>
          <w:szCs w:val="28"/>
        </w:rPr>
        <w:t xml:space="preserve">  羊金殿     林业高级工程师</w:t>
      </w:r>
    </w:p>
    <w:p w14:paraId="33DC3D6E">
      <w:pPr>
        <w:spacing w:line="400" w:lineRule="exact"/>
        <w:ind w:firstLine="1120" w:firstLineChars="400"/>
        <w:jc w:val="left"/>
        <w:rPr>
          <w:rFonts w:hint="eastAsia" w:ascii="仿宋_GB2312" w:eastAsia="仿宋_GB2312"/>
          <w:bCs/>
          <w:sz w:val="28"/>
          <w:szCs w:val="28"/>
        </w:rPr>
      </w:pPr>
      <w:r>
        <w:rPr>
          <w:rFonts w:hint="eastAsia" w:ascii="仿宋_GB2312" w:eastAsia="仿宋_GB2312"/>
          <w:bCs/>
          <w:sz w:val="28"/>
          <w:szCs w:val="28"/>
        </w:rPr>
        <w:t xml:space="preserve">张孟锦     林业高级工程师    </w:t>
      </w:r>
      <w:r>
        <w:rPr>
          <w:rFonts w:ascii="仿宋_GB2312" w:eastAsia="仿宋_GB2312"/>
          <w:bCs/>
          <w:sz w:val="28"/>
          <w:szCs w:val="28"/>
        </w:rPr>
        <w:t xml:space="preserve">   </w:t>
      </w:r>
      <w:r>
        <w:rPr>
          <w:rFonts w:hint="eastAsia" w:ascii="仿宋_GB2312" w:eastAsia="仿宋_GB2312"/>
          <w:bCs/>
          <w:sz w:val="28"/>
          <w:szCs w:val="28"/>
        </w:rPr>
        <w:t xml:space="preserve"> 何书奋     林业工程师</w:t>
      </w:r>
    </w:p>
    <w:p w14:paraId="232D82D9">
      <w:pPr>
        <w:spacing w:line="400" w:lineRule="exact"/>
        <w:ind w:firstLine="1120" w:firstLineChars="400"/>
        <w:jc w:val="left"/>
        <w:rPr>
          <w:rFonts w:hint="eastAsia" w:ascii="仿宋_GB2312" w:eastAsia="仿宋_GB2312"/>
          <w:bCs/>
          <w:sz w:val="28"/>
          <w:szCs w:val="28"/>
        </w:rPr>
      </w:pPr>
      <w:r>
        <w:rPr>
          <w:rFonts w:hint="eastAsia" w:ascii="仿宋_GB2312" w:eastAsia="仿宋_GB2312"/>
          <w:bCs/>
          <w:sz w:val="28"/>
          <w:szCs w:val="28"/>
        </w:rPr>
        <w:t xml:space="preserve">林  慨     林业工程师       </w:t>
      </w:r>
      <w:r>
        <w:rPr>
          <w:rFonts w:ascii="仿宋_GB2312" w:eastAsia="仿宋_GB2312"/>
          <w:bCs/>
          <w:sz w:val="28"/>
          <w:szCs w:val="28"/>
        </w:rPr>
        <w:t xml:space="preserve">   </w:t>
      </w:r>
      <w:r>
        <w:rPr>
          <w:rFonts w:hint="eastAsia" w:ascii="仿宋_GB2312" w:eastAsia="仿宋_GB2312"/>
          <w:bCs/>
          <w:sz w:val="28"/>
          <w:szCs w:val="28"/>
        </w:rPr>
        <w:t xml:space="preserve">  曾德华     林业工程师</w:t>
      </w:r>
    </w:p>
    <w:p w14:paraId="2401892A">
      <w:pPr>
        <w:spacing w:line="400" w:lineRule="exact"/>
        <w:ind w:firstLine="1120" w:firstLineChars="400"/>
        <w:jc w:val="left"/>
        <w:rPr>
          <w:rFonts w:hint="eastAsia" w:ascii="仿宋_GB2312" w:eastAsia="仿宋_GB2312"/>
          <w:bCs/>
          <w:sz w:val="28"/>
          <w:szCs w:val="28"/>
        </w:rPr>
      </w:pPr>
      <w:r>
        <w:rPr>
          <w:rFonts w:hint="eastAsia" w:ascii="仿宋_GB2312" w:eastAsia="仿宋_GB2312"/>
          <w:bCs/>
          <w:sz w:val="28"/>
          <w:szCs w:val="28"/>
        </w:rPr>
        <w:t xml:space="preserve">蔡开朗     林业工程师       </w:t>
      </w:r>
      <w:r>
        <w:rPr>
          <w:rFonts w:ascii="仿宋_GB2312" w:eastAsia="仿宋_GB2312"/>
          <w:bCs/>
          <w:sz w:val="28"/>
          <w:szCs w:val="28"/>
        </w:rPr>
        <w:t xml:space="preserve">   </w:t>
      </w:r>
      <w:r>
        <w:rPr>
          <w:rFonts w:hint="eastAsia" w:ascii="仿宋_GB2312" w:eastAsia="仿宋_GB2312"/>
          <w:bCs/>
          <w:sz w:val="28"/>
          <w:szCs w:val="28"/>
        </w:rPr>
        <w:t xml:space="preserve">  陈运雷     林业工程师</w:t>
      </w:r>
    </w:p>
    <w:p w14:paraId="69F7CAED">
      <w:pPr>
        <w:spacing w:line="400" w:lineRule="exact"/>
        <w:ind w:left="1119" w:leftChars="533"/>
        <w:jc w:val="left"/>
        <w:rPr>
          <w:rFonts w:hint="eastAsia" w:ascii="仿宋_GB2312" w:eastAsia="仿宋_GB2312"/>
          <w:bCs/>
          <w:sz w:val="28"/>
          <w:szCs w:val="28"/>
        </w:rPr>
      </w:pPr>
      <w:r>
        <w:rPr>
          <w:rFonts w:hint="eastAsia" w:ascii="仿宋_GB2312" w:eastAsia="仿宋_GB2312"/>
          <w:bCs/>
          <w:sz w:val="28"/>
          <w:szCs w:val="28"/>
        </w:rPr>
        <w:t xml:space="preserve">徐金铎     林业高级工程师   </w:t>
      </w:r>
      <w:r>
        <w:rPr>
          <w:rFonts w:ascii="仿宋_GB2312" w:eastAsia="仿宋_GB2312"/>
          <w:bCs/>
          <w:sz w:val="28"/>
          <w:szCs w:val="28"/>
        </w:rPr>
        <w:t xml:space="preserve">   </w:t>
      </w:r>
      <w:r>
        <w:rPr>
          <w:rFonts w:hint="eastAsia" w:ascii="仿宋_GB2312" w:eastAsia="仿宋_GB2312"/>
          <w:bCs/>
          <w:sz w:val="28"/>
          <w:szCs w:val="28"/>
        </w:rPr>
        <w:t xml:space="preserve">  洪文君     林业工程师         姚海荣     林业工程师       </w:t>
      </w:r>
      <w:r>
        <w:rPr>
          <w:rFonts w:ascii="仿宋_GB2312" w:eastAsia="仿宋_GB2312"/>
          <w:bCs/>
          <w:sz w:val="28"/>
          <w:szCs w:val="28"/>
        </w:rPr>
        <w:t xml:space="preserve">   </w:t>
      </w:r>
      <w:r>
        <w:rPr>
          <w:rFonts w:hint="eastAsia" w:ascii="仿宋_GB2312" w:eastAsia="仿宋_GB2312"/>
          <w:bCs/>
          <w:sz w:val="28"/>
          <w:szCs w:val="28"/>
        </w:rPr>
        <w:t xml:space="preserve">  卢  瑜     林业工程师         李德玲     林业助理工程师   </w:t>
      </w:r>
      <w:r>
        <w:rPr>
          <w:rFonts w:ascii="仿宋_GB2312" w:eastAsia="仿宋_GB2312"/>
          <w:bCs/>
          <w:sz w:val="28"/>
          <w:szCs w:val="28"/>
        </w:rPr>
        <w:t xml:space="preserve">   </w:t>
      </w:r>
      <w:r>
        <w:rPr>
          <w:rFonts w:hint="eastAsia" w:ascii="仿宋_GB2312" w:eastAsia="仿宋_GB2312"/>
          <w:bCs/>
          <w:sz w:val="28"/>
          <w:szCs w:val="28"/>
        </w:rPr>
        <w:t xml:space="preserve">  吴昌晔     林业助理工程师     陈少勇     林业助理工程师    </w:t>
      </w:r>
      <w:r>
        <w:rPr>
          <w:rFonts w:ascii="仿宋_GB2312" w:eastAsia="仿宋_GB2312"/>
          <w:bCs/>
          <w:sz w:val="28"/>
          <w:szCs w:val="28"/>
        </w:rPr>
        <w:t xml:space="preserve">   </w:t>
      </w:r>
      <w:r>
        <w:rPr>
          <w:rFonts w:hint="eastAsia" w:ascii="仿宋_GB2312" w:eastAsia="仿宋_GB2312"/>
          <w:bCs/>
          <w:sz w:val="28"/>
          <w:szCs w:val="28"/>
        </w:rPr>
        <w:t xml:space="preserve"> 文钦雷     林业助理工程师     尹大翔     技术员          </w:t>
      </w:r>
      <w:r>
        <w:rPr>
          <w:rFonts w:ascii="仿宋_GB2312" w:eastAsia="仿宋_GB2312"/>
          <w:bCs/>
          <w:sz w:val="28"/>
          <w:szCs w:val="28"/>
        </w:rPr>
        <w:t xml:space="preserve"> </w:t>
      </w:r>
      <w:r>
        <w:rPr>
          <w:rFonts w:hint="eastAsia" w:ascii="仿宋_GB2312" w:eastAsia="仿宋_GB2312"/>
          <w:bCs/>
          <w:sz w:val="28"/>
          <w:szCs w:val="28"/>
        </w:rPr>
        <w:t xml:space="preserve"> </w:t>
      </w:r>
      <w:r>
        <w:rPr>
          <w:rFonts w:ascii="仿宋_GB2312" w:eastAsia="仿宋_GB2312"/>
          <w:bCs/>
          <w:sz w:val="28"/>
          <w:szCs w:val="28"/>
        </w:rPr>
        <w:t xml:space="preserve">  </w:t>
      </w:r>
      <w:r>
        <w:rPr>
          <w:rFonts w:hint="eastAsia" w:ascii="仿宋_GB2312" w:eastAsia="仿宋_GB2312"/>
          <w:bCs/>
          <w:sz w:val="28"/>
          <w:szCs w:val="28"/>
        </w:rPr>
        <w:t xml:space="preserve">  吴多鑫     技术员             韩鹏翼     技术员         </w:t>
      </w:r>
      <w:r>
        <w:rPr>
          <w:rFonts w:ascii="仿宋_GB2312" w:eastAsia="仿宋_GB2312"/>
          <w:bCs/>
          <w:sz w:val="28"/>
          <w:szCs w:val="28"/>
        </w:rPr>
        <w:t xml:space="preserve"> </w:t>
      </w:r>
      <w:r>
        <w:rPr>
          <w:rFonts w:hint="eastAsia" w:ascii="仿宋_GB2312" w:eastAsia="仿宋_GB2312"/>
          <w:bCs/>
          <w:sz w:val="28"/>
          <w:szCs w:val="28"/>
        </w:rPr>
        <w:t xml:space="preserve">  </w:t>
      </w:r>
      <w:r>
        <w:rPr>
          <w:rFonts w:ascii="仿宋_GB2312" w:eastAsia="仿宋_GB2312"/>
          <w:bCs/>
          <w:sz w:val="28"/>
          <w:szCs w:val="28"/>
        </w:rPr>
        <w:t xml:space="preserve">  </w:t>
      </w:r>
      <w:r>
        <w:rPr>
          <w:rFonts w:hint="eastAsia" w:ascii="仿宋_GB2312" w:eastAsia="仿宋_GB2312"/>
          <w:bCs/>
          <w:sz w:val="28"/>
          <w:szCs w:val="28"/>
        </w:rPr>
        <w:t xml:space="preserve">  郑  鹏     技术员</w:t>
      </w:r>
    </w:p>
    <w:p w14:paraId="6230C88D">
      <w:pPr>
        <w:spacing w:line="400" w:lineRule="exact"/>
        <w:jc w:val="left"/>
        <w:rPr>
          <w:rFonts w:hint="eastAsia" w:ascii="仿宋_GB2312" w:eastAsia="仿宋_GB2312"/>
          <w:b/>
          <w:bCs/>
          <w:sz w:val="32"/>
          <w:szCs w:val="36"/>
        </w:rPr>
      </w:pPr>
    </w:p>
    <w:p w14:paraId="048ABCFE">
      <w:pPr>
        <w:spacing w:line="400" w:lineRule="exact"/>
        <w:rPr>
          <w:rFonts w:hint="eastAsia" w:ascii="仿宋_GB2312" w:eastAsia="仿宋_GB2312"/>
          <w:b/>
          <w:bCs/>
          <w:sz w:val="32"/>
          <w:szCs w:val="36"/>
        </w:rPr>
      </w:pPr>
      <w:r>
        <w:rPr>
          <w:rFonts w:hint="eastAsia" w:ascii="仿宋_GB2312" w:eastAsia="仿宋_GB2312"/>
          <w:b/>
          <w:bCs/>
          <w:sz w:val="32"/>
          <w:szCs w:val="36"/>
        </w:rPr>
        <w:t>三亚市林业局</w:t>
      </w:r>
    </w:p>
    <w:p w14:paraId="598101BD">
      <w:pPr>
        <w:spacing w:line="400" w:lineRule="exact"/>
        <w:ind w:firstLine="1120" w:firstLineChars="400"/>
        <w:jc w:val="left"/>
        <w:rPr>
          <w:rFonts w:hint="eastAsia" w:ascii="仿宋_GB2312" w:eastAsia="仿宋_GB2312"/>
          <w:bCs/>
          <w:sz w:val="28"/>
          <w:szCs w:val="36"/>
        </w:rPr>
      </w:pPr>
      <w:r>
        <w:rPr>
          <w:rFonts w:hint="eastAsia" w:ascii="仿宋_GB2312" w:eastAsia="仿宋_GB2312"/>
          <w:bCs/>
          <w:sz w:val="28"/>
          <w:szCs w:val="36"/>
        </w:rPr>
        <w:t xml:space="preserve">陈积明（党组书记、局长）  </w:t>
      </w:r>
      <w:r>
        <w:rPr>
          <w:rFonts w:ascii="仿宋_GB2312" w:eastAsia="仿宋_GB2312"/>
          <w:bCs/>
          <w:sz w:val="28"/>
          <w:szCs w:val="36"/>
        </w:rPr>
        <w:t xml:space="preserve">       </w:t>
      </w:r>
      <w:r>
        <w:rPr>
          <w:rFonts w:hint="eastAsia" w:ascii="仿宋_GB2312" w:eastAsia="仿宋_GB2312"/>
          <w:bCs/>
          <w:sz w:val="28"/>
          <w:szCs w:val="36"/>
        </w:rPr>
        <w:t>林日雄（党组成员、副局长）</w:t>
      </w:r>
    </w:p>
    <w:p w14:paraId="452C829B">
      <w:pPr>
        <w:spacing w:line="400" w:lineRule="exact"/>
        <w:ind w:firstLine="1120" w:firstLineChars="400"/>
        <w:jc w:val="left"/>
        <w:rPr>
          <w:rFonts w:hint="eastAsia" w:ascii="仿宋_GB2312" w:eastAsia="仿宋_GB2312"/>
          <w:bCs/>
          <w:sz w:val="28"/>
          <w:szCs w:val="36"/>
        </w:rPr>
      </w:pPr>
      <w:r>
        <w:rPr>
          <w:rFonts w:hint="eastAsia" w:ascii="仿宋_GB2312" w:eastAsia="仿宋_GB2312"/>
          <w:bCs/>
          <w:sz w:val="28"/>
          <w:szCs w:val="36"/>
        </w:rPr>
        <w:t>陶列平（党组成员、野保中心主任） 董黎明（四级调研员）</w:t>
      </w:r>
    </w:p>
    <w:p w14:paraId="579B5112">
      <w:pPr>
        <w:spacing w:line="400" w:lineRule="exact"/>
        <w:ind w:firstLine="1120" w:firstLineChars="400"/>
        <w:jc w:val="left"/>
        <w:rPr>
          <w:rFonts w:hint="eastAsia" w:ascii="仿宋_GB2312" w:eastAsia="仿宋_GB2312"/>
          <w:bCs/>
          <w:sz w:val="28"/>
          <w:szCs w:val="36"/>
        </w:rPr>
      </w:pPr>
      <w:r>
        <w:rPr>
          <w:rFonts w:hint="eastAsia" w:ascii="仿宋_GB2312" w:eastAsia="仿宋_GB2312"/>
          <w:bCs/>
          <w:sz w:val="28"/>
          <w:szCs w:val="36"/>
        </w:rPr>
        <w:t xml:space="preserve">郭建武（四级调研员） </w:t>
      </w:r>
      <w:r>
        <w:rPr>
          <w:rFonts w:ascii="仿宋_GB2312" w:eastAsia="仿宋_GB2312"/>
          <w:bCs/>
          <w:sz w:val="28"/>
          <w:szCs w:val="36"/>
        </w:rPr>
        <w:t xml:space="preserve">            </w:t>
      </w:r>
      <w:r>
        <w:rPr>
          <w:rFonts w:hint="eastAsia" w:ascii="仿宋_GB2312" w:eastAsia="仿宋_GB2312"/>
          <w:bCs/>
          <w:sz w:val="28"/>
          <w:szCs w:val="36"/>
        </w:rPr>
        <w:t>吴展鹏（四级调研员）</w:t>
      </w:r>
    </w:p>
    <w:p w14:paraId="7C81F46E">
      <w:pPr>
        <w:spacing w:line="400" w:lineRule="exact"/>
        <w:ind w:firstLine="1120" w:firstLineChars="400"/>
        <w:jc w:val="left"/>
        <w:rPr>
          <w:rFonts w:hint="eastAsia" w:ascii="仿宋_GB2312" w:eastAsia="仿宋_GB2312"/>
          <w:bCs/>
          <w:sz w:val="28"/>
          <w:szCs w:val="36"/>
        </w:rPr>
      </w:pPr>
      <w:r>
        <w:rPr>
          <w:rFonts w:hint="eastAsia" w:ascii="仿宋_GB2312" w:eastAsia="仿宋_GB2312"/>
          <w:bCs/>
          <w:sz w:val="28"/>
          <w:szCs w:val="36"/>
        </w:rPr>
        <w:t xml:space="preserve">杨 </w:t>
      </w:r>
      <w:r>
        <w:rPr>
          <w:rFonts w:ascii="仿宋_GB2312" w:eastAsia="仿宋_GB2312"/>
          <w:bCs/>
          <w:sz w:val="28"/>
          <w:szCs w:val="36"/>
        </w:rPr>
        <w:t xml:space="preserve"> </w:t>
      </w:r>
      <w:r>
        <w:rPr>
          <w:rFonts w:hint="eastAsia" w:ascii="仿宋_GB2312" w:eastAsia="仿宋_GB2312"/>
          <w:bCs/>
          <w:sz w:val="28"/>
          <w:szCs w:val="36"/>
        </w:rPr>
        <w:t xml:space="preserve">震（四级调研员） </w:t>
      </w:r>
      <w:r>
        <w:rPr>
          <w:rFonts w:ascii="仿宋_GB2312" w:eastAsia="仿宋_GB2312"/>
          <w:bCs/>
          <w:sz w:val="28"/>
          <w:szCs w:val="36"/>
        </w:rPr>
        <w:t xml:space="preserve">            </w:t>
      </w:r>
      <w:r>
        <w:rPr>
          <w:rFonts w:hint="eastAsia" w:ascii="仿宋_GB2312" w:eastAsia="仿宋_GB2312"/>
          <w:bCs/>
          <w:sz w:val="28"/>
          <w:szCs w:val="36"/>
        </w:rPr>
        <w:t>李志东（四级调研员）</w:t>
      </w:r>
    </w:p>
    <w:p w14:paraId="208B1873">
      <w:pPr>
        <w:spacing w:line="400" w:lineRule="exact"/>
        <w:ind w:firstLine="1120" w:firstLineChars="400"/>
        <w:jc w:val="left"/>
        <w:rPr>
          <w:rFonts w:hint="eastAsia" w:ascii="仿宋_GB2312" w:eastAsia="仿宋_GB2312"/>
          <w:bCs/>
          <w:sz w:val="28"/>
          <w:szCs w:val="36"/>
        </w:rPr>
      </w:pPr>
      <w:r>
        <w:rPr>
          <w:rFonts w:hint="eastAsia" w:ascii="仿宋_GB2312" w:eastAsia="仿宋_GB2312"/>
          <w:bCs/>
          <w:sz w:val="28"/>
          <w:szCs w:val="36"/>
        </w:rPr>
        <w:t xml:space="preserve">陈 </w:t>
      </w:r>
      <w:r>
        <w:rPr>
          <w:rFonts w:ascii="仿宋_GB2312" w:eastAsia="仿宋_GB2312"/>
          <w:bCs/>
          <w:sz w:val="28"/>
          <w:szCs w:val="36"/>
        </w:rPr>
        <w:t xml:space="preserve"> </w:t>
      </w:r>
      <w:r>
        <w:rPr>
          <w:rFonts w:hint="eastAsia" w:ascii="仿宋_GB2312" w:eastAsia="仿宋_GB2312"/>
          <w:bCs/>
          <w:sz w:val="28"/>
          <w:szCs w:val="36"/>
        </w:rPr>
        <w:t xml:space="preserve">伟（生态保护修复科科长） </w:t>
      </w:r>
      <w:r>
        <w:rPr>
          <w:rFonts w:ascii="仿宋_GB2312" w:eastAsia="仿宋_GB2312"/>
          <w:bCs/>
          <w:sz w:val="28"/>
          <w:szCs w:val="36"/>
        </w:rPr>
        <w:t xml:space="preserve">    </w:t>
      </w:r>
      <w:r>
        <w:rPr>
          <w:rFonts w:hint="eastAsia" w:ascii="仿宋_GB2312" w:eastAsia="仿宋_GB2312"/>
          <w:bCs/>
          <w:sz w:val="28"/>
          <w:szCs w:val="36"/>
        </w:rPr>
        <w:t>陈广武（资源管理科科长）</w:t>
      </w:r>
    </w:p>
    <w:p w14:paraId="1335AA41">
      <w:pPr>
        <w:spacing w:line="400" w:lineRule="exact"/>
        <w:ind w:right="-567" w:rightChars="-270" w:firstLine="1120" w:firstLineChars="400"/>
        <w:jc w:val="left"/>
        <w:rPr>
          <w:rFonts w:hint="eastAsia" w:ascii="仿宋_GB2312" w:eastAsia="仿宋_GB2312"/>
          <w:bCs/>
          <w:sz w:val="28"/>
          <w:szCs w:val="36"/>
        </w:rPr>
      </w:pPr>
      <w:r>
        <w:rPr>
          <w:rFonts w:hint="eastAsia" w:ascii="仿宋_GB2312" w:eastAsia="仿宋_GB2312"/>
          <w:bCs/>
          <w:sz w:val="28"/>
          <w:szCs w:val="36"/>
        </w:rPr>
        <w:t xml:space="preserve">黄垂天（规划和政策法规科科长） </w:t>
      </w:r>
      <w:r>
        <w:rPr>
          <w:rFonts w:ascii="仿宋_GB2312" w:eastAsia="仿宋_GB2312"/>
          <w:bCs/>
          <w:sz w:val="28"/>
          <w:szCs w:val="36"/>
        </w:rPr>
        <w:t xml:space="preserve">  </w:t>
      </w:r>
      <w:r>
        <w:rPr>
          <w:rFonts w:hint="eastAsia" w:ascii="仿宋_GB2312" w:eastAsia="仿宋_GB2312"/>
          <w:bCs/>
          <w:sz w:val="28"/>
          <w:szCs w:val="36"/>
        </w:rPr>
        <w:t>伍楚宏（改革和产业发展科科长）</w:t>
      </w:r>
    </w:p>
    <w:p w14:paraId="0CD1351E">
      <w:pPr>
        <w:spacing w:line="400" w:lineRule="exact"/>
        <w:ind w:firstLine="1120" w:firstLineChars="400"/>
        <w:jc w:val="left"/>
        <w:rPr>
          <w:rFonts w:hint="eastAsia" w:ascii="仿宋_GB2312" w:eastAsia="仿宋_GB2312"/>
          <w:bCs/>
          <w:sz w:val="28"/>
          <w:szCs w:val="36"/>
        </w:rPr>
      </w:pPr>
      <w:r>
        <w:rPr>
          <w:rFonts w:hint="eastAsia" w:ascii="仿宋_GB2312" w:eastAsia="仿宋_GB2312"/>
          <w:bCs/>
          <w:sz w:val="28"/>
          <w:szCs w:val="36"/>
        </w:rPr>
        <w:t xml:space="preserve">包 </w:t>
      </w:r>
      <w:r>
        <w:rPr>
          <w:rFonts w:ascii="仿宋_GB2312" w:eastAsia="仿宋_GB2312"/>
          <w:bCs/>
          <w:sz w:val="28"/>
          <w:szCs w:val="36"/>
        </w:rPr>
        <w:t xml:space="preserve"> </w:t>
      </w:r>
      <w:r>
        <w:rPr>
          <w:rFonts w:hint="eastAsia" w:ascii="仿宋_GB2312" w:eastAsia="仿宋_GB2312"/>
          <w:bCs/>
          <w:sz w:val="28"/>
          <w:szCs w:val="36"/>
        </w:rPr>
        <w:t xml:space="preserve">奕（自然保护地科科长） </w:t>
      </w:r>
      <w:r>
        <w:rPr>
          <w:rFonts w:ascii="仿宋_GB2312" w:eastAsia="仿宋_GB2312"/>
          <w:bCs/>
          <w:sz w:val="28"/>
          <w:szCs w:val="36"/>
        </w:rPr>
        <w:t xml:space="preserve">      </w:t>
      </w:r>
      <w:r>
        <w:rPr>
          <w:rFonts w:hint="eastAsia" w:ascii="仿宋_GB2312" w:eastAsia="仿宋_GB2312"/>
          <w:bCs/>
          <w:sz w:val="28"/>
          <w:szCs w:val="36"/>
        </w:rPr>
        <w:t xml:space="preserve">周 </w:t>
      </w:r>
      <w:r>
        <w:rPr>
          <w:rFonts w:ascii="仿宋_GB2312" w:eastAsia="仿宋_GB2312"/>
          <w:bCs/>
          <w:sz w:val="28"/>
          <w:szCs w:val="36"/>
        </w:rPr>
        <w:t xml:space="preserve"> </w:t>
      </w:r>
      <w:r>
        <w:rPr>
          <w:rFonts w:hint="eastAsia" w:ascii="仿宋_GB2312" w:eastAsia="仿宋_GB2312"/>
          <w:bCs/>
          <w:sz w:val="28"/>
          <w:szCs w:val="36"/>
        </w:rPr>
        <w:t>强（森林防火科科长）</w:t>
      </w:r>
    </w:p>
    <w:p w14:paraId="50EF6789">
      <w:pPr>
        <w:spacing w:line="400" w:lineRule="exact"/>
        <w:ind w:firstLine="1120" w:firstLineChars="400"/>
        <w:jc w:val="left"/>
        <w:rPr>
          <w:rFonts w:hint="eastAsia" w:ascii="仿宋_GB2312" w:eastAsia="仿宋_GB2312"/>
          <w:bCs/>
          <w:sz w:val="28"/>
          <w:szCs w:val="36"/>
        </w:rPr>
      </w:pPr>
      <w:r>
        <w:rPr>
          <w:rFonts w:hint="eastAsia" w:ascii="仿宋_GB2312" w:eastAsia="仿宋_GB2312"/>
          <w:bCs/>
          <w:sz w:val="28"/>
          <w:szCs w:val="36"/>
        </w:rPr>
        <w:t>刘虹男（改革和产业发展科科员）</w:t>
      </w:r>
    </w:p>
    <w:p w14:paraId="0B63CFFC">
      <w:pPr>
        <w:spacing w:line="400" w:lineRule="exact"/>
        <w:jc w:val="left"/>
        <w:rPr>
          <w:rFonts w:hint="eastAsia" w:ascii="仿宋_GB2312" w:eastAsia="仿宋_GB2312"/>
          <w:b/>
          <w:bCs/>
          <w:sz w:val="32"/>
          <w:szCs w:val="36"/>
        </w:rPr>
      </w:pPr>
    </w:p>
    <w:p w14:paraId="0F2EA887">
      <w:pPr>
        <w:spacing w:line="400" w:lineRule="exact"/>
        <w:jc w:val="left"/>
        <w:rPr>
          <w:rFonts w:hint="eastAsia" w:ascii="仿宋_GB2312" w:eastAsia="仿宋_GB2312"/>
          <w:b/>
          <w:bCs/>
          <w:sz w:val="32"/>
          <w:szCs w:val="36"/>
        </w:rPr>
      </w:pPr>
    </w:p>
    <w:p w14:paraId="0C03FC71">
      <w:pPr>
        <w:spacing w:line="400" w:lineRule="exact"/>
        <w:jc w:val="left"/>
        <w:rPr>
          <w:rFonts w:hint="eastAsia" w:ascii="仿宋_GB2312" w:eastAsia="仿宋_GB2312"/>
          <w:bCs/>
          <w:sz w:val="28"/>
          <w:szCs w:val="28"/>
        </w:rPr>
      </w:pPr>
      <w:r>
        <w:rPr>
          <w:rFonts w:hint="eastAsia" w:ascii="仿宋_GB2312" w:eastAsia="仿宋_GB2312"/>
          <w:b/>
          <w:bCs/>
          <w:spacing w:val="36"/>
          <w:kern w:val="0"/>
          <w:sz w:val="28"/>
          <w:szCs w:val="28"/>
        </w:rPr>
        <w:t>项目审定</w:t>
      </w:r>
      <w:r>
        <w:rPr>
          <w:rFonts w:hint="eastAsia" w:ascii="仿宋_GB2312" w:eastAsia="仿宋_GB2312"/>
          <w:b/>
          <w:bCs/>
          <w:sz w:val="28"/>
          <w:szCs w:val="28"/>
        </w:rPr>
        <w:t>：</w:t>
      </w:r>
      <w:r>
        <w:rPr>
          <w:rFonts w:hint="eastAsia" w:ascii="仿宋_GB2312" w:eastAsia="仿宋_GB2312"/>
          <w:bCs/>
          <w:sz w:val="28"/>
          <w:szCs w:val="28"/>
        </w:rPr>
        <w:t>罗金环（院长、林业高级工程师）</w:t>
      </w:r>
    </w:p>
    <w:p w14:paraId="0FF833C6">
      <w:pPr>
        <w:spacing w:line="400" w:lineRule="exact"/>
        <w:jc w:val="left"/>
        <w:rPr>
          <w:rFonts w:ascii="仿宋_GB2312" w:eastAsia="仿宋_GB2312"/>
          <w:bCs/>
          <w:sz w:val="28"/>
          <w:szCs w:val="28"/>
        </w:rPr>
      </w:pPr>
      <w:r>
        <w:rPr>
          <w:rFonts w:hint="eastAsia" w:ascii="仿宋_GB2312" w:eastAsia="仿宋_GB2312"/>
          <w:b/>
          <w:bCs/>
          <w:spacing w:val="36"/>
          <w:kern w:val="0"/>
          <w:sz w:val="28"/>
          <w:szCs w:val="28"/>
        </w:rPr>
        <w:t>项目审核</w:t>
      </w:r>
      <w:r>
        <w:rPr>
          <w:rFonts w:hint="eastAsia" w:ascii="仿宋_GB2312" w:eastAsia="仿宋_GB2312"/>
          <w:b/>
          <w:bCs/>
          <w:sz w:val="28"/>
          <w:szCs w:val="28"/>
        </w:rPr>
        <w:t>：</w:t>
      </w:r>
      <w:r>
        <w:rPr>
          <w:rFonts w:hint="eastAsia" w:ascii="仿宋_GB2312" w:eastAsia="仿宋_GB2312"/>
          <w:bCs/>
          <w:sz w:val="28"/>
          <w:szCs w:val="28"/>
        </w:rPr>
        <w:t xml:space="preserve">刘  俊  </w:t>
      </w:r>
      <w:r>
        <w:rPr>
          <w:rFonts w:ascii="仿宋_GB2312" w:eastAsia="仿宋_GB2312"/>
          <w:bCs/>
          <w:sz w:val="28"/>
          <w:szCs w:val="28"/>
        </w:rPr>
        <w:t xml:space="preserve"> </w:t>
      </w:r>
      <w:r>
        <w:rPr>
          <w:rFonts w:hint="eastAsia" w:ascii="仿宋_GB2312" w:eastAsia="仿宋_GB2312"/>
          <w:bCs/>
          <w:sz w:val="28"/>
          <w:szCs w:val="28"/>
        </w:rPr>
        <w:t>羊金殿（副院长、林业高级工程师）</w:t>
      </w:r>
    </w:p>
    <w:p w14:paraId="3FE6F9AA">
      <w:pPr>
        <w:spacing w:line="400" w:lineRule="exact"/>
        <w:jc w:val="left"/>
        <w:rPr>
          <w:rFonts w:hint="eastAsia" w:ascii="仿宋_GB2312" w:eastAsia="仿宋_GB2312"/>
          <w:bCs/>
          <w:sz w:val="28"/>
          <w:szCs w:val="28"/>
        </w:rPr>
      </w:pPr>
      <w:r>
        <w:rPr>
          <w:rFonts w:hint="eastAsia" w:ascii="仿宋_GB2312" w:eastAsia="仿宋_GB2312"/>
          <w:b/>
          <w:bCs/>
          <w:sz w:val="28"/>
          <w:szCs w:val="28"/>
        </w:rPr>
        <w:t>项目负责人：</w:t>
      </w:r>
      <w:r>
        <w:rPr>
          <w:rFonts w:hint="eastAsia" w:ascii="仿宋_GB2312" w:eastAsia="仿宋_GB2312"/>
          <w:bCs/>
          <w:sz w:val="28"/>
          <w:szCs w:val="28"/>
        </w:rPr>
        <w:t>唐  宪（副院长、林业高级工程师）</w:t>
      </w:r>
    </w:p>
    <w:p w14:paraId="1B04B438">
      <w:pPr>
        <w:spacing w:line="400" w:lineRule="exact"/>
        <w:jc w:val="left"/>
        <w:rPr>
          <w:rFonts w:hint="eastAsia" w:ascii="仿宋_GB2312" w:eastAsia="仿宋_GB2312"/>
          <w:bCs/>
          <w:sz w:val="28"/>
          <w:szCs w:val="28"/>
        </w:rPr>
      </w:pPr>
      <w:r>
        <w:rPr>
          <w:rFonts w:hint="eastAsia" w:ascii="仿宋_GB2312" w:eastAsia="仿宋_GB2312"/>
          <w:b/>
          <w:bCs/>
          <w:sz w:val="28"/>
          <w:szCs w:val="28"/>
        </w:rPr>
        <w:t>执      笔：</w:t>
      </w:r>
      <w:r>
        <w:rPr>
          <w:rFonts w:hint="eastAsia" w:ascii="仿宋_GB2312" w:eastAsia="仿宋_GB2312"/>
          <w:bCs/>
          <w:sz w:val="28"/>
          <w:szCs w:val="28"/>
        </w:rPr>
        <w:t xml:space="preserve">洪文君   姚海荣   林  慨  </w:t>
      </w:r>
      <w:r>
        <w:rPr>
          <w:rFonts w:ascii="仿宋_GB2312" w:eastAsia="仿宋_GB2312"/>
          <w:bCs/>
          <w:sz w:val="28"/>
          <w:szCs w:val="28"/>
        </w:rPr>
        <w:t xml:space="preserve"> </w:t>
      </w:r>
      <w:r>
        <w:rPr>
          <w:rFonts w:hint="eastAsia" w:ascii="仿宋_GB2312" w:eastAsia="仿宋_GB2312"/>
          <w:bCs/>
          <w:sz w:val="28"/>
          <w:szCs w:val="28"/>
        </w:rPr>
        <w:t xml:space="preserve">徐金铎 </w:t>
      </w:r>
      <w:r>
        <w:rPr>
          <w:rFonts w:ascii="仿宋_GB2312" w:eastAsia="仿宋_GB2312"/>
          <w:bCs/>
          <w:sz w:val="28"/>
          <w:szCs w:val="28"/>
        </w:rPr>
        <w:t xml:space="preserve"> </w:t>
      </w:r>
      <w:r>
        <w:rPr>
          <w:rFonts w:hint="eastAsia" w:ascii="仿宋_GB2312" w:eastAsia="仿宋_GB2312"/>
          <w:bCs/>
          <w:sz w:val="28"/>
          <w:szCs w:val="28"/>
        </w:rPr>
        <w:t xml:space="preserve"> 蔡开朗  </w:t>
      </w:r>
      <w:r>
        <w:rPr>
          <w:rFonts w:ascii="仿宋_GB2312" w:eastAsia="仿宋_GB2312"/>
          <w:bCs/>
          <w:sz w:val="28"/>
          <w:szCs w:val="28"/>
        </w:rPr>
        <w:t xml:space="preserve"> </w:t>
      </w:r>
      <w:r>
        <w:rPr>
          <w:rFonts w:hint="eastAsia" w:ascii="仿宋_GB2312" w:eastAsia="仿宋_GB2312"/>
          <w:bCs/>
          <w:sz w:val="28"/>
          <w:szCs w:val="28"/>
        </w:rPr>
        <w:t>张孟锦</w:t>
      </w:r>
    </w:p>
    <w:p w14:paraId="1E828A6F">
      <w:pPr>
        <w:spacing w:line="400" w:lineRule="exact"/>
        <w:jc w:val="left"/>
        <w:rPr>
          <w:rFonts w:hint="eastAsia" w:ascii="仿宋_GB2312" w:eastAsia="仿宋_GB2312"/>
          <w:bCs/>
          <w:sz w:val="28"/>
          <w:szCs w:val="28"/>
        </w:rPr>
      </w:pPr>
      <w:r>
        <w:rPr>
          <w:rFonts w:hint="eastAsia" w:ascii="仿宋_GB2312" w:eastAsia="仿宋_GB2312"/>
          <w:b/>
          <w:bCs/>
          <w:sz w:val="28"/>
          <w:szCs w:val="28"/>
        </w:rPr>
        <w:t>制      图：</w:t>
      </w:r>
      <w:r>
        <w:rPr>
          <w:rFonts w:hint="eastAsia" w:ascii="仿宋_GB2312" w:eastAsia="仿宋_GB2312"/>
          <w:bCs/>
          <w:sz w:val="28"/>
          <w:szCs w:val="28"/>
        </w:rPr>
        <w:t xml:space="preserve">吴昌晔  </w:t>
      </w:r>
      <w:r>
        <w:rPr>
          <w:rFonts w:ascii="仿宋_GB2312" w:eastAsia="仿宋_GB2312"/>
          <w:bCs/>
          <w:sz w:val="28"/>
          <w:szCs w:val="28"/>
        </w:rPr>
        <w:t xml:space="preserve"> </w:t>
      </w:r>
      <w:r>
        <w:rPr>
          <w:rFonts w:hint="eastAsia" w:ascii="仿宋_GB2312" w:eastAsia="仿宋_GB2312"/>
          <w:bCs/>
          <w:sz w:val="28"/>
          <w:szCs w:val="28"/>
        </w:rPr>
        <w:t>尹大翔</w:t>
      </w:r>
    </w:p>
    <w:p w14:paraId="11057FBF">
      <w:pPr>
        <w:spacing w:line="400" w:lineRule="exact"/>
        <w:jc w:val="left"/>
        <w:rPr>
          <w:rFonts w:ascii="仿宋_GB2312" w:eastAsia="仿宋_GB2312"/>
          <w:bCs/>
          <w:sz w:val="28"/>
          <w:szCs w:val="28"/>
        </w:rPr>
      </w:pPr>
    </w:p>
    <w:p w14:paraId="1B027770">
      <w:pPr>
        <w:spacing w:line="400" w:lineRule="exact"/>
        <w:jc w:val="left"/>
        <w:rPr>
          <w:rFonts w:hint="eastAsia" w:ascii="仿宋_GB2312" w:eastAsia="仿宋_GB2312"/>
          <w:bCs/>
          <w:sz w:val="28"/>
          <w:szCs w:val="28"/>
        </w:rPr>
      </w:pPr>
    </w:p>
    <w:p w14:paraId="48ACCE3E">
      <w:pPr>
        <w:spacing w:line="400" w:lineRule="exact"/>
        <w:jc w:val="left"/>
        <w:rPr>
          <w:rFonts w:hint="eastAsia" w:ascii="仿宋_GB2312" w:eastAsia="仿宋_GB2312"/>
          <w:bCs/>
          <w:sz w:val="28"/>
          <w:szCs w:val="28"/>
        </w:rPr>
      </w:pPr>
      <w:r>
        <w:rPr>
          <w:lang w:val="en-US" w:eastAsia="zh-CN"/>
        </w:rPr>
        <w:drawing>
          <wp:anchor distT="0" distB="0" distL="114300" distR="114300" simplePos="0" relativeHeight="251659264" behindDoc="0" locked="0" layoutInCell="1" allowOverlap="1">
            <wp:simplePos x="0" y="0"/>
            <wp:positionH relativeFrom="column">
              <wp:posOffset>-88900</wp:posOffset>
            </wp:positionH>
            <wp:positionV relativeFrom="paragraph">
              <wp:posOffset>11430</wp:posOffset>
            </wp:positionV>
            <wp:extent cx="6282690" cy="8870950"/>
            <wp:effectExtent l="0" t="0" r="0" b="0"/>
            <wp:wrapNone/>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282690" cy="8870950"/>
                    </a:xfrm>
                    <a:prstGeom prst="rect">
                      <a:avLst/>
                    </a:prstGeom>
                    <a:noFill/>
                    <a:ln>
                      <a:noFill/>
                    </a:ln>
                  </pic:spPr>
                </pic:pic>
              </a:graphicData>
            </a:graphic>
          </wp:anchor>
        </w:drawing>
      </w:r>
    </w:p>
    <w:p w14:paraId="2870F019">
      <w:pPr>
        <w:jc w:val="left"/>
        <w:rPr>
          <w:rFonts w:ascii="仿宋_GB2312" w:eastAsia="仿宋_GB2312"/>
          <w:bCs/>
          <w:sz w:val="32"/>
          <w:szCs w:val="36"/>
        </w:rPr>
      </w:pPr>
    </w:p>
    <w:p w14:paraId="0FB7C52E">
      <w:pPr>
        <w:jc w:val="left"/>
        <w:rPr>
          <w:rFonts w:hint="eastAsia" w:ascii="仿宋_GB2312" w:eastAsia="仿宋_GB2312"/>
          <w:b/>
          <w:bCs/>
          <w:sz w:val="32"/>
          <w:szCs w:val="36"/>
        </w:rPr>
        <w:sectPr>
          <w:footerReference r:id="rId3" w:type="default"/>
          <w:pgSz w:w="11906" w:h="16838"/>
          <w:pgMar w:top="1418" w:right="1133" w:bottom="1418" w:left="1418" w:header="851" w:footer="992" w:gutter="0"/>
          <w:pgNumType w:start="1"/>
          <w:cols w:space="720" w:num="1"/>
          <w:docGrid w:type="lines" w:linePitch="312" w:charSpace="0"/>
        </w:sectPr>
      </w:pPr>
    </w:p>
    <w:p w14:paraId="18141DE0">
      <w:pPr>
        <w:jc w:val="center"/>
        <w:rPr>
          <w:rFonts w:ascii="黑体" w:hAnsi="黑体" w:eastAsia="黑体"/>
          <w:b/>
          <w:sz w:val="40"/>
        </w:rPr>
      </w:pPr>
      <w:bookmarkStart w:id="0" w:name="_Toc70597429"/>
      <w:bookmarkStart w:id="1" w:name="_Toc23221"/>
      <w:bookmarkStart w:id="2" w:name="_Toc28240"/>
      <w:bookmarkStart w:id="3" w:name="_Toc68225091"/>
      <w:bookmarkStart w:id="4" w:name="_Toc13295"/>
      <w:bookmarkStart w:id="5" w:name="_Toc32144"/>
      <w:bookmarkStart w:id="6" w:name="_Toc70491295"/>
      <w:bookmarkStart w:id="7" w:name="_Toc737"/>
      <w:bookmarkStart w:id="8" w:name="_Toc8016"/>
      <w:bookmarkStart w:id="9" w:name="_Toc1247"/>
      <w:bookmarkStart w:id="10" w:name="_Toc9246"/>
      <w:r>
        <w:rPr>
          <w:rFonts w:ascii="黑体" w:hAnsi="黑体" w:eastAsia="黑体"/>
          <w:b/>
          <w:sz w:val="40"/>
        </w:rPr>
        <w:t>前  言</w:t>
      </w:r>
      <w:bookmarkEnd w:id="0"/>
      <w:bookmarkEnd w:id="1"/>
      <w:bookmarkEnd w:id="2"/>
      <w:bookmarkEnd w:id="3"/>
      <w:bookmarkEnd w:id="4"/>
      <w:bookmarkEnd w:id="5"/>
      <w:bookmarkEnd w:id="6"/>
      <w:bookmarkEnd w:id="7"/>
      <w:bookmarkEnd w:id="8"/>
      <w:bookmarkEnd w:id="9"/>
      <w:bookmarkEnd w:id="10"/>
    </w:p>
    <w:p w14:paraId="56CADBA3">
      <w:pPr>
        <w:spacing w:before="156" w:beforeLines="50" w:line="360" w:lineRule="auto"/>
        <w:ind w:firstLine="640" w:firstLineChars="200"/>
        <w:rPr>
          <w:rFonts w:eastAsia="仿宋_GB2312"/>
          <w:sz w:val="32"/>
          <w:szCs w:val="32"/>
        </w:rPr>
      </w:pPr>
      <w:r>
        <w:rPr>
          <w:rFonts w:eastAsia="仿宋_GB2312"/>
          <w:sz w:val="32"/>
          <w:szCs w:val="32"/>
        </w:rPr>
        <w:t>绿色发展是人类共同的价值诉求，人类的文明史就是利用绿色资源提高人类生活质量的历史。当今世界，林业正在从一个部门产业向奠定人类可持续发展基础的定位转变，力促林业在全球可持续发展中发挥重要作用，提升地球的健康水平和人类的福祉。特别是进入新世纪以来，林业资源作为地球上最重要的自然资本，将在实现全球绿色、智能、可持续的发展中承担特殊的重要历史使命。</w:t>
      </w:r>
    </w:p>
    <w:p w14:paraId="3F58DE12">
      <w:pPr>
        <w:autoSpaceDE w:val="0"/>
        <w:autoSpaceDN w:val="0"/>
        <w:adjustRightInd w:val="0"/>
        <w:spacing w:line="360" w:lineRule="auto"/>
        <w:ind w:firstLine="640" w:firstLineChars="200"/>
        <w:rPr>
          <w:rFonts w:eastAsia="仿宋_GB2312"/>
          <w:sz w:val="32"/>
          <w:szCs w:val="32"/>
        </w:rPr>
      </w:pPr>
      <w:r>
        <w:rPr>
          <w:rFonts w:eastAsia="仿宋_GB2312"/>
          <w:sz w:val="32"/>
          <w:szCs w:val="32"/>
        </w:rPr>
        <w:t>中共中央、国务院《关于加快林业发展的决定》(2003年6月25日)（以下简称《决定》）指出：“森林是陆地生态系统的主体，林业是一项重要的公益事业和基础产业，承担着生态建设和林产品供给的重要任务。”2016年12月2日习近平总书记对生态文明建设作出重要指示强调，切实贯彻新发展理念，树立“绿水青山就是金山银山”的理念，结合推进供给侧结构性改革，建立绿色循环低碳发展产业体系，努力走向社会主义生态文明新时代。</w:t>
      </w:r>
      <w:r>
        <w:rPr>
          <w:rFonts w:eastAsia="仿宋_GB2312"/>
          <w:sz w:val="32"/>
          <w:szCs w:val="32"/>
          <w:lang w:val="zh-CN"/>
        </w:rPr>
        <w:t>林业产业是一个独具特色的产业体系，涉及国民经济第一产业、第二产业、第三产业的多个门类，属于涵盖范围广、产业链条长、产品种类多的复合产业群体。</w:t>
      </w:r>
      <w:r>
        <w:rPr>
          <w:rFonts w:eastAsia="仿宋_GB2312"/>
          <w:sz w:val="32"/>
          <w:szCs w:val="32"/>
        </w:rPr>
        <w:t>当前我国林业正经历着以木材生产为主向以生态建设为主的历史性转变，在大力加强林业生态建设的同时，必须加快林业产业发展，实现林业生态建设与产业发展的良性互动。</w:t>
      </w:r>
    </w:p>
    <w:p w14:paraId="4F4C3AEB">
      <w:pPr>
        <w:spacing w:line="360" w:lineRule="auto"/>
        <w:ind w:firstLine="640" w:firstLineChars="200"/>
        <w:rPr>
          <w:rFonts w:eastAsia="仿宋_GB2312"/>
          <w:sz w:val="32"/>
          <w:szCs w:val="32"/>
        </w:rPr>
      </w:pPr>
      <w:r>
        <w:rPr>
          <w:rFonts w:eastAsia="仿宋_GB2312"/>
          <w:sz w:val="32"/>
          <w:szCs w:val="32"/>
        </w:rPr>
        <w:t>林业产业的高度发展是实施以生态建设为主的林业发展战略的重要组成部分。没有林业产业的支持，林业就不能全面、协调发展，也难以实现可持续发展。必须从林业生态建设为主的林业发展战略和国民经济社会发展的全局中把握林业产业的发展方向。发展林业产业不仅是新时代的要求，也是实现生态文明建设的载体，同时也是实现人与自然和谐共处的生态产业，发展前景十分广阔。</w:t>
      </w:r>
    </w:p>
    <w:p w14:paraId="3A7D362B">
      <w:pPr>
        <w:spacing w:line="360" w:lineRule="auto"/>
        <w:ind w:firstLine="640" w:firstLineChars="200"/>
        <w:rPr>
          <w:rFonts w:eastAsia="仿宋_GB2312"/>
          <w:sz w:val="32"/>
          <w:szCs w:val="32"/>
        </w:rPr>
      </w:pPr>
      <w:r>
        <w:rPr>
          <w:rFonts w:eastAsia="仿宋_GB2312"/>
          <w:sz w:val="32"/>
          <w:szCs w:val="32"/>
        </w:rPr>
        <w:t>为促进林业生态建设和林业产业协调发展，按照三亚市委市政府和市林业局的工作部署，三亚市林业科学研究院（以下简称“市林科院”）承担了《三亚市林业产业发展规划（2021-2035年）》</w:t>
      </w:r>
      <w:r>
        <w:rPr>
          <w:rFonts w:hint="eastAsia" w:eastAsia="仿宋_GB2312"/>
          <w:sz w:val="32"/>
          <w:szCs w:val="32"/>
        </w:rPr>
        <w:t>（</w:t>
      </w:r>
      <w:r>
        <w:rPr>
          <w:rFonts w:eastAsia="仿宋_GB2312"/>
          <w:sz w:val="32"/>
          <w:szCs w:val="32"/>
        </w:rPr>
        <w:t>以下简称《林业产业规划》</w:t>
      </w:r>
      <w:r>
        <w:rPr>
          <w:rFonts w:hint="eastAsia" w:eastAsia="仿宋_GB2312"/>
          <w:sz w:val="32"/>
          <w:szCs w:val="32"/>
        </w:rPr>
        <w:t>）</w:t>
      </w:r>
      <w:r>
        <w:rPr>
          <w:rFonts w:eastAsia="仿宋_GB2312"/>
          <w:sz w:val="32"/>
          <w:szCs w:val="32"/>
        </w:rPr>
        <w:t>的编制工作，编制单位在市林业局、海棠区、吉阳区、天涯区、崖州区和育才生态区等单位的协助下，充分调查</w:t>
      </w:r>
      <w:r>
        <w:rPr>
          <w:rFonts w:hint="eastAsia" w:eastAsia="仿宋_GB2312"/>
          <w:sz w:val="32"/>
          <w:szCs w:val="32"/>
        </w:rPr>
        <w:t>三亚市森林</w:t>
      </w:r>
      <w:r>
        <w:rPr>
          <w:rFonts w:eastAsia="仿宋_GB2312"/>
          <w:sz w:val="32"/>
          <w:szCs w:val="32"/>
        </w:rPr>
        <w:t>资源现状</w:t>
      </w:r>
      <w:r>
        <w:rPr>
          <w:rFonts w:hint="eastAsia" w:eastAsia="仿宋_GB2312"/>
          <w:sz w:val="32"/>
          <w:szCs w:val="32"/>
        </w:rPr>
        <w:t>和</w:t>
      </w:r>
      <w:r>
        <w:rPr>
          <w:rFonts w:eastAsia="仿宋_GB2312"/>
          <w:sz w:val="32"/>
          <w:szCs w:val="32"/>
        </w:rPr>
        <w:t>产业基础</w:t>
      </w:r>
      <w:r>
        <w:rPr>
          <w:rFonts w:hint="eastAsia" w:eastAsia="仿宋_GB2312"/>
          <w:sz w:val="32"/>
          <w:szCs w:val="32"/>
        </w:rPr>
        <w:t>，</w:t>
      </w:r>
      <w:r>
        <w:rPr>
          <w:rFonts w:eastAsia="仿宋_GB2312"/>
          <w:sz w:val="32"/>
          <w:szCs w:val="32"/>
        </w:rPr>
        <w:t>并分析存在的问题，结合产业发展趋势和市场需求，编制《林业产业规划》，该规划以《中共中央关于制定国民经济和社会发展第十四个五年规划和二</w:t>
      </w:r>
      <w:r>
        <w:rPr>
          <w:sz w:val="32"/>
          <w:szCs w:val="32"/>
        </w:rPr>
        <w:t>〇</w:t>
      </w:r>
      <w:r>
        <w:rPr>
          <w:rFonts w:eastAsia="仿宋_GB2312"/>
          <w:sz w:val="32"/>
          <w:szCs w:val="32"/>
        </w:rPr>
        <w:t>三五年远景目标的建议》为总纲，《海南关于制定国民经济和社会发展第十四个五年规划和二</w:t>
      </w:r>
      <w:r>
        <w:rPr>
          <w:sz w:val="32"/>
          <w:szCs w:val="32"/>
        </w:rPr>
        <w:t>〇</w:t>
      </w:r>
      <w:r>
        <w:rPr>
          <w:rFonts w:eastAsia="仿宋_GB2312"/>
          <w:sz w:val="32"/>
          <w:szCs w:val="32"/>
        </w:rPr>
        <w:t>三五年远景目标的建议》为方向，紧密围绕《三亚市国民经济和社会发展第十四个五年规划和二</w:t>
      </w:r>
      <w:r>
        <w:rPr>
          <w:sz w:val="32"/>
          <w:szCs w:val="32"/>
        </w:rPr>
        <w:t>〇</w:t>
      </w:r>
      <w:r>
        <w:rPr>
          <w:rFonts w:eastAsia="仿宋_GB2312"/>
          <w:sz w:val="32"/>
          <w:szCs w:val="32"/>
        </w:rPr>
        <w:t>三五年远景目标</w:t>
      </w:r>
      <w:r>
        <w:rPr>
          <w:rFonts w:hint="eastAsia" w:eastAsia="仿宋_GB2312"/>
          <w:sz w:val="32"/>
          <w:szCs w:val="32"/>
        </w:rPr>
        <w:t>纲要</w:t>
      </w:r>
      <w:r>
        <w:rPr>
          <w:rFonts w:eastAsia="仿宋_GB2312"/>
          <w:sz w:val="32"/>
          <w:szCs w:val="32"/>
        </w:rPr>
        <w:t>》布局，经林业系统内部</w:t>
      </w:r>
      <w:r>
        <w:rPr>
          <w:rFonts w:hint="eastAsia" w:eastAsia="仿宋_GB2312"/>
          <w:sz w:val="32"/>
          <w:szCs w:val="32"/>
        </w:rPr>
        <w:t>讨论</w:t>
      </w:r>
      <w:r>
        <w:rPr>
          <w:rFonts w:eastAsia="仿宋_GB2312"/>
          <w:sz w:val="32"/>
          <w:szCs w:val="32"/>
        </w:rPr>
        <w:t>，</w:t>
      </w:r>
      <w:r>
        <w:rPr>
          <w:rFonts w:hint="eastAsia" w:eastAsia="仿宋_GB2312"/>
          <w:sz w:val="32"/>
          <w:szCs w:val="32"/>
        </w:rPr>
        <w:t>并</w:t>
      </w:r>
      <w:r>
        <w:rPr>
          <w:rFonts w:eastAsia="仿宋_GB2312"/>
          <w:sz w:val="32"/>
          <w:szCs w:val="32"/>
        </w:rPr>
        <w:t>征求全市各部门意见，</w:t>
      </w:r>
      <w:r>
        <w:rPr>
          <w:rFonts w:hint="eastAsia" w:eastAsia="仿宋_GB2312"/>
          <w:sz w:val="32"/>
          <w:szCs w:val="32"/>
        </w:rPr>
        <w:t>结合</w:t>
      </w:r>
      <w:r>
        <w:rPr>
          <w:rFonts w:eastAsia="仿宋_GB2312"/>
          <w:sz w:val="32"/>
          <w:szCs w:val="32"/>
        </w:rPr>
        <w:t>专家评审意见后修改完成，得到各部门的大力支持和帮助，在此表示衷心感谢！</w:t>
      </w:r>
    </w:p>
    <w:p w14:paraId="7093DF91">
      <w:pPr>
        <w:spacing w:line="360" w:lineRule="auto"/>
        <w:ind w:firstLine="640" w:firstLineChars="200"/>
        <w:rPr>
          <w:rFonts w:eastAsia="仿宋_GB2312"/>
          <w:sz w:val="32"/>
          <w:szCs w:val="32"/>
        </w:rPr>
      </w:pPr>
    </w:p>
    <w:p w14:paraId="73F4B69B">
      <w:pPr>
        <w:spacing w:line="360" w:lineRule="auto"/>
        <w:ind w:firstLine="640" w:firstLineChars="200"/>
        <w:rPr>
          <w:rFonts w:hint="eastAsia" w:eastAsia="仿宋_GB2312"/>
          <w:sz w:val="32"/>
          <w:szCs w:val="32"/>
        </w:rPr>
      </w:pPr>
    </w:p>
    <w:p w14:paraId="0E0E5F1C">
      <w:pPr>
        <w:pStyle w:val="12"/>
        <w:tabs>
          <w:tab w:val="right" w:leader="dot" w:pos="9060"/>
        </w:tabs>
        <w:jc w:val="center"/>
        <w:rPr>
          <w:rFonts w:hint="eastAsia" w:ascii="黑体" w:hAnsi="黑体" w:eastAsia="黑体"/>
          <w:b/>
          <w:sz w:val="40"/>
        </w:rPr>
      </w:pPr>
      <w:bookmarkStart w:id="11" w:name="_Toc29700"/>
      <w:bookmarkStart w:id="12" w:name="_Toc5297"/>
      <w:bookmarkStart w:id="13" w:name="_Toc6176"/>
      <w:bookmarkStart w:id="14" w:name="_Toc4729"/>
      <w:bookmarkStart w:id="15" w:name="_Toc23520"/>
      <w:r>
        <w:rPr>
          <w:sz w:val="32"/>
          <w:szCs w:val="32"/>
        </w:rPr>
        <w:br w:type="page"/>
      </w:r>
      <w:bookmarkStart w:id="16" w:name="_Toc19036"/>
      <w:bookmarkStart w:id="17" w:name="_Toc28893"/>
      <w:bookmarkStart w:id="18" w:name="_Toc70597430"/>
      <w:bookmarkStart w:id="19" w:name="_Toc70491296"/>
      <w:bookmarkStart w:id="20" w:name="_Toc31437"/>
      <w:r>
        <w:rPr>
          <w:rFonts w:ascii="黑体" w:hAnsi="黑体" w:eastAsia="黑体"/>
          <w:b/>
          <w:sz w:val="40"/>
        </w:rPr>
        <w:t>目  录</w:t>
      </w:r>
      <w:bookmarkEnd w:id="11"/>
      <w:bookmarkEnd w:id="12"/>
      <w:bookmarkEnd w:id="13"/>
      <w:bookmarkEnd w:id="14"/>
      <w:bookmarkEnd w:id="15"/>
      <w:bookmarkEnd w:id="16"/>
      <w:bookmarkEnd w:id="17"/>
      <w:bookmarkEnd w:id="18"/>
      <w:bookmarkEnd w:id="19"/>
      <w:bookmarkEnd w:id="20"/>
    </w:p>
    <w:p w14:paraId="58635FF4">
      <w:pPr>
        <w:pStyle w:val="12"/>
        <w:tabs>
          <w:tab w:val="right" w:leader="dot" w:pos="9060"/>
        </w:tabs>
        <w:rPr>
          <w:rFonts w:ascii="Calibri" w:hAnsi="Calibri"/>
          <w:szCs w:val="22"/>
          <w:lang w:val="en-US" w:eastAsia="zh-CN"/>
        </w:rPr>
      </w:pPr>
      <w:r>
        <w:rPr>
          <w:rFonts w:ascii="黑体" w:hAnsi="黑体" w:eastAsia="黑体"/>
          <w:b/>
          <w:szCs w:val="32"/>
          <w:lang w:val="en-US" w:eastAsia="zh-CN"/>
        </w:rPr>
        <w:fldChar w:fldCharType="begin"/>
      </w:r>
      <w:r>
        <w:rPr>
          <w:rFonts w:ascii="黑体" w:hAnsi="黑体" w:eastAsia="黑体"/>
          <w:b/>
          <w:szCs w:val="32"/>
          <w:lang w:val="en-US" w:eastAsia="zh-CN"/>
        </w:rPr>
        <w:instrText xml:space="preserve">TOC \o "1-2" \h \u </w:instrText>
      </w:r>
      <w:r>
        <w:rPr>
          <w:rFonts w:ascii="黑体" w:hAnsi="黑体" w:eastAsia="黑体"/>
          <w:b/>
          <w:szCs w:val="32"/>
          <w:lang w:val="en-US" w:eastAsia="zh-CN"/>
        </w:rPr>
        <w:fldChar w:fldCharType="separate"/>
      </w:r>
      <w:r>
        <w:fldChar w:fldCharType="begin"/>
      </w:r>
      <w:r>
        <w:instrText xml:space="preserve"> HYPERLINK \l "_Toc82546053" </w:instrText>
      </w:r>
      <w:r>
        <w:fldChar w:fldCharType="separate"/>
      </w:r>
      <w:r>
        <w:rPr>
          <w:rStyle w:val="26"/>
          <w:rFonts w:hint="eastAsia" w:eastAsia="黑体"/>
          <w:color w:val="auto"/>
          <w:lang w:val="en-US" w:eastAsia="zh-CN"/>
        </w:rPr>
        <w:t>第一章</w:t>
      </w:r>
      <w:r>
        <w:rPr>
          <w:rStyle w:val="26"/>
          <w:rFonts w:eastAsia="黑体"/>
          <w:color w:val="auto"/>
          <w:lang w:val="en-US" w:eastAsia="zh-CN"/>
        </w:rPr>
        <w:t xml:space="preserve"> </w:t>
      </w:r>
      <w:r>
        <w:rPr>
          <w:rStyle w:val="26"/>
          <w:rFonts w:hint="eastAsia" w:eastAsia="黑体"/>
          <w:color w:val="auto"/>
          <w:lang w:val="en-US" w:eastAsia="zh-CN"/>
        </w:rPr>
        <w:t>总论</w:t>
      </w:r>
      <w:r>
        <w:rPr>
          <w:lang w:val="en-US" w:eastAsia="zh-CN"/>
        </w:rPr>
        <w:tab/>
      </w:r>
      <w:r>
        <w:rPr>
          <w:lang w:val="en-US" w:eastAsia="zh-CN"/>
        </w:rPr>
        <w:fldChar w:fldCharType="begin"/>
      </w:r>
      <w:r>
        <w:rPr>
          <w:lang w:val="en-US" w:eastAsia="zh-CN"/>
        </w:rPr>
        <w:instrText xml:space="preserve"> PAGEREF _Toc82546053 \h </w:instrText>
      </w:r>
      <w:r>
        <w:rPr>
          <w:lang w:val="en-US" w:eastAsia="zh-CN"/>
        </w:rPr>
        <w:fldChar w:fldCharType="separate"/>
      </w:r>
      <w:r>
        <w:rPr>
          <w:lang w:val="en-US" w:eastAsia="zh-CN"/>
        </w:rPr>
        <w:t>1</w:t>
      </w:r>
      <w:r>
        <w:rPr>
          <w:lang w:val="en-US" w:eastAsia="zh-CN"/>
        </w:rPr>
        <w:fldChar w:fldCharType="end"/>
      </w:r>
      <w:r>
        <w:rPr>
          <w:lang w:val="en-US" w:eastAsia="zh-CN"/>
        </w:rPr>
        <w:fldChar w:fldCharType="end"/>
      </w:r>
    </w:p>
    <w:p w14:paraId="776508FA">
      <w:pPr>
        <w:pStyle w:val="13"/>
        <w:tabs>
          <w:tab w:val="right" w:leader="dot" w:pos="9060"/>
        </w:tabs>
        <w:rPr>
          <w:rFonts w:ascii="Calibri" w:hAnsi="Calibri"/>
          <w:szCs w:val="22"/>
          <w:lang w:val="en-US" w:eastAsia="zh-CN"/>
        </w:rPr>
      </w:pPr>
      <w:r>
        <w:fldChar w:fldCharType="begin"/>
      </w:r>
      <w:r>
        <w:instrText xml:space="preserve"> HYPERLINK \l "_Toc82546054" </w:instrText>
      </w:r>
      <w:r>
        <w:fldChar w:fldCharType="separate"/>
      </w:r>
      <w:r>
        <w:rPr>
          <w:rStyle w:val="26"/>
          <w:rFonts w:eastAsia="黑体"/>
          <w:color w:val="auto"/>
          <w:lang w:val="en-US" w:eastAsia="zh-CN"/>
        </w:rPr>
        <w:t xml:space="preserve">1.1 </w:t>
      </w:r>
      <w:r>
        <w:rPr>
          <w:rStyle w:val="26"/>
          <w:rFonts w:hint="eastAsia" w:eastAsia="黑体"/>
          <w:color w:val="auto"/>
          <w:lang w:val="en-US" w:eastAsia="zh-CN"/>
        </w:rPr>
        <w:t>项目名称</w:t>
      </w:r>
      <w:r>
        <w:rPr>
          <w:lang w:val="en-US" w:eastAsia="zh-CN"/>
        </w:rPr>
        <w:tab/>
      </w:r>
      <w:r>
        <w:rPr>
          <w:lang w:val="en-US" w:eastAsia="zh-CN"/>
        </w:rPr>
        <w:fldChar w:fldCharType="begin"/>
      </w:r>
      <w:r>
        <w:rPr>
          <w:lang w:val="en-US" w:eastAsia="zh-CN"/>
        </w:rPr>
        <w:instrText xml:space="preserve"> PAGEREF _Toc82546054 \h </w:instrText>
      </w:r>
      <w:r>
        <w:rPr>
          <w:lang w:val="en-US" w:eastAsia="zh-CN"/>
        </w:rPr>
        <w:fldChar w:fldCharType="separate"/>
      </w:r>
      <w:r>
        <w:rPr>
          <w:lang w:val="en-US" w:eastAsia="zh-CN"/>
        </w:rPr>
        <w:t>1</w:t>
      </w:r>
      <w:r>
        <w:rPr>
          <w:lang w:val="en-US" w:eastAsia="zh-CN"/>
        </w:rPr>
        <w:fldChar w:fldCharType="end"/>
      </w:r>
      <w:r>
        <w:rPr>
          <w:lang w:val="en-US" w:eastAsia="zh-CN"/>
        </w:rPr>
        <w:fldChar w:fldCharType="end"/>
      </w:r>
    </w:p>
    <w:p w14:paraId="7A1649E4">
      <w:pPr>
        <w:pStyle w:val="13"/>
        <w:tabs>
          <w:tab w:val="right" w:leader="dot" w:pos="9060"/>
        </w:tabs>
        <w:rPr>
          <w:rFonts w:ascii="Calibri" w:hAnsi="Calibri"/>
          <w:szCs w:val="22"/>
          <w:lang w:val="en-US" w:eastAsia="zh-CN"/>
        </w:rPr>
      </w:pPr>
      <w:r>
        <w:fldChar w:fldCharType="begin"/>
      </w:r>
      <w:r>
        <w:instrText xml:space="preserve"> HYPERLINK \l "_Toc82546055" </w:instrText>
      </w:r>
      <w:r>
        <w:fldChar w:fldCharType="separate"/>
      </w:r>
      <w:r>
        <w:rPr>
          <w:rStyle w:val="26"/>
          <w:rFonts w:eastAsia="黑体"/>
          <w:color w:val="auto"/>
          <w:lang w:val="en-US" w:eastAsia="zh-CN"/>
        </w:rPr>
        <w:t xml:space="preserve">1.2 </w:t>
      </w:r>
      <w:r>
        <w:rPr>
          <w:rStyle w:val="26"/>
          <w:rFonts w:hint="eastAsia" w:eastAsia="黑体"/>
          <w:color w:val="auto"/>
          <w:lang w:val="en-US" w:eastAsia="zh-CN"/>
        </w:rPr>
        <w:t>项目主管部门</w:t>
      </w:r>
      <w:r>
        <w:rPr>
          <w:lang w:val="en-US" w:eastAsia="zh-CN"/>
        </w:rPr>
        <w:tab/>
      </w:r>
      <w:r>
        <w:rPr>
          <w:lang w:val="en-US" w:eastAsia="zh-CN"/>
        </w:rPr>
        <w:fldChar w:fldCharType="begin"/>
      </w:r>
      <w:r>
        <w:rPr>
          <w:lang w:val="en-US" w:eastAsia="zh-CN"/>
        </w:rPr>
        <w:instrText xml:space="preserve"> PAGEREF _Toc82546055 \h </w:instrText>
      </w:r>
      <w:r>
        <w:rPr>
          <w:lang w:val="en-US" w:eastAsia="zh-CN"/>
        </w:rPr>
        <w:fldChar w:fldCharType="separate"/>
      </w:r>
      <w:r>
        <w:rPr>
          <w:lang w:val="en-US" w:eastAsia="zh-CN"/>
        </w:rPr>
        <w:t>1</w:t>
      </w:r>
      <w:r>
        <w:rPr>
          <w:lang w:val="en-US" w:eastAsia="zh-CN"/>
        </w:rPr>
        <w:fldChar w:fldCharType="end"/>
      </w:r>
      <w:r>
        <w:rPr>
          <w:lang w:val="en-US" w:eastAsia="zh-CN"/>
        </w:rPr>
        <w:fldChar w:fldCharType="end"/>
      </w:r>
    </w:p>
    <w:p w14:paraId="441D9F65">
      <w:pPr>
        <w:pStyle w:val="13"/>
        <w:tabs>
          <w:tab w:val="right" w:leader="dot" w:pos="9060"/>
        </w:tabs>
        <w:rPr>
          <w:rFonts w:ascii="Calibri" w:hAnsi="Calibri"/>
          <w:szCs w:val="22"/>
          <w:lang w:val="en-US" w:eastAsia="zh-CN"/>
        </w:rPr>
      </w:pPr>
      <w:r>
        <w:fldChar w:fldCharType="begin"/>
      </w:r>
      <w:r>
        <w:instrText xml:space="preserve"> HYPERLINK \l "_Toc82546056" </w:instrText>
      </w:r>
      <w:r>
        <w:fldChar w:fldCharType="separate"/>
      </w:r>
      <w:r>
        <w:rPr>
          <w:rStyle w:val="26"/>
          <w:rFonts w:eastAsia="黑体"/>
          <w:color w:val="auto"/>
          <w:lang w:val="en-US" w:eastAsia="zh-CN"/>
        </w:rPr>
        <w:t xml:space="preserve">1.3 </w:t>
      </w:r>
      <w:r>
        <w:rPr>
          <w:rStyle w:val="26"/>
          <w:rFonts w:hint="eastAsia" w:eastAsia="黑体"/>
          <w:color w:val="auto"/>
          <w:lang w:val="en-US" w:eastAsia="zh-CN"/>
        </w:rPr>
        <w:t>规划期限</w:t>
      </w:r>
      <w:r>
        <w:rPr>
          <w:lang w:val="en-US" w:eastAsia="zh-CN"/>
        </w:rPr>
        <w:tab/>
      </w:r>
      <w:r>
        <w:rPr>
          <w:lang w:val="en-US" w:eastAsia="zh-CN"/>
        </w:rPr>
        <w:fldChar w:fldCharType="begin"/>
      </w:r>
      <w:r>
        <w:rPr>
          <w:lang w:val="en-US" w:eastAsia="zh-CN"/>
        </w:rPr>
        <w:instrText xml:space="preserve"> PAGEREF _Toc82546056 \h </w:instrText>
      </w:r>
      <w:r>
        <w:rPr>
          <w:lang w:val="en-US" w:eastAsia="zh-CN"/>
        </w:rPr>
        <w:fldChar w:fldCharType="separate"/>
      </w:r>
      <w:r>
        <w:rPr>
          <w:lang w:val="en-US" w:eastAsia="zh-CN"/>
        </w:rPr>
        <w:t>1</w:t>
      </w:r>
      <w:r>
        <w:rPr>
          <w:lang w:val="en-US" w:eastAsia="zh-CN"/>
        </w:rPr>
        <w:fldChar w:fldCharType="end"/>
      </w:r>
      <w:r>
        <w:rPr>
          <w:lang w:val="en-US" w:eastAsia="zh-CN"/>
        </w:rPr>
        <w:fldChar w:fldCharType="end"/>
      </w:r>
    </w:p>
    <w:p w14:paraId="3F78D15D">
      <w:pPr>
        <w:pStyle w:val="13"/>
        <w:tabs>
          <w:tab w:val="right" w:leader="dot" w:pos="9060"/>
        </w:tabs>
        <w:rPr>
          <w:rFonts w:ascii="Calibri" w:hAnsi="Calibri"/>
          <w:szCs w:val="22"/>
          <w:lang w:val="en-US" w:eastAsia="zh-CN"/>
        </w:rPr>
      </w:pPr>
      <w:r>
        <w:fldChar w:fldCharType="begin"/>
      </w:r>
      <w:r>
        <w:instrText xml:space="preserve"> HYPERLINK \l "_Toc82546057" </w:instrText>
      </w:r>
      <w:r>
        <w:fldChar w:fldCharType="separate"/>
      </w:r>
      <w:r>
        <w:rPr>
          <w:rStyle w:val="26"/>
          <w:rFonts w:eastAsia="黑体"/>
          <w:color w:val="auto"/>
          <w:lang w:val="en-US" w:eastAsia="zh-CN"/>
        </w:rPr>
        <w:t xml:space="preserve">1.4 </w:t>
      </w:r>
      <w:r>
        <w:rPr>
          <w:rStyle w:val="26"/>
          <w:rFonts w:hint="eastAsia" w:eastAsia="黑体"/>
          <w:color w:val="auto"/>
          <w:lang w:val="en-US" w:eastAsia="zh-CN"/>
        </w:rPr>
        <w:t>规划范围</w:t>
      </w:r>
      <w:r>
        <w:rPr>
          <w:lang w:val="en-US" w:eastAsia="zh-CN"/>
        </w:rPr>
        <w:tab/>
      </w:r>
      <w:r>
        <w:rPr>
          <w:lang w:val="en-US" w:eastAsia="zh-CN"/>
        </w:rPr>
        <w:fldChar w:fldCharType="begin"/>
      </w:r>
      <w:r>
        <w:rPr>
          <w:lang w:val="en-US" w:eastAsia="zh-CN"/>
        </w:rPr>
        <w:instrText xml:space="preserve"> PAGEREF _Toc82546057 \h </w:instrText>
      </w:r>
      <w:r>
        <w:rPr>
          <w:lang w:val="en-US" w:eastAsia="zh-CN"/>
        </w:rPr>
        <w:fldChar w:fldCharType="separate"/>
      </w:r>
      <w:r>
        <w:rPr>
          <w:lang w:val="en-US" w:eastAsia="zh-CN"/>
        </w:rPr>
        <w:t>1</w:t>
      </w:r>
      <w:r>
        <w:rPr>
          <w:lang w:val="en-US" w:eastAsia="zh-CN"/>
        </w:rPr>
        <w:fldChar w:fldCharType="end"/>
      </w:r>
      <w:r>
        <w:rPr>
          <w:lang w:val="en-US" w:eastAsia="zh-CN"/>
        </w:rPr>
        <w:fldChar w:fldCharType="end"/>
      </w:r>
    </w:p>
    <w:p w14:paraId="1904B74D">
      <w:pPr>
        <w:pStyle w:val="13"/>
        <w:tabs>
          <w:tab w:val="right" w:leader="dot" w:pos="9060"/>
        </w:tabs>
        <w:rPr>
          <w:rFonts w:ascii="Calibri" w:hAnsi="Calibri"/>
          <w:szCs w:val="22"/>
          <w:lang w:val="en-US" w:eastAsia="zh-CN"/>
        </w:rPr>
      </w:pPr>
      <w:r>
        <w:fldChar w:fldCharType="begin"/>
      </w:r>
      <w:r>
        <w:instrText xml:space="preserve"> HYPERLINK \l "_Toc82546058" </w:instrText>
      </w:r>
      <w:r>
        <w:fldChar w:fldCharType="separate"/>
      </w:r>
      <w:r>
        <w:rPr>
          <w:rStyle w:val="26"/>
          <w:rFonts w:eastAsia="黑体"/>
          <w:color w:val="auto"/>
          <w:lang w:val="en-US" w:eastAsia="zh-CN"/>
        </w:rPr>
        <w:t xml:space="preserve">1.5 </w:t>
      </w:r>
      <w:r>
        <w:rPr>
          <w:rStyle w:val="26"/>
          <w:rFonts w:hint="eastAsia" w:eastAsia="黑体"/>
          <w:color w:val="auto"/>
          <w:lang w:val="en-US" w:eastAsia="zh-CN"/>
        </w:rPr>
        <w:t>规划目标与主要内容</w:t>
      </w:r>
      <w:r>
        <w:rPr>
          <w:lang w:val="en-US" w:eastAsia="zh-CN"/>
        </w:rPr>
        <w:tab/>
      </w:r>
      <w:r>
        <w:rPr>
          <w:lang w:val="en-US" w:eastAsia="zh-CN"/>
        </w:rPr>
        <w:fldChar w:fldCharType="begin"/>
      </w:r>
      <w:r>
        <w:rPr>
          <w:lang w:val="en-US" w:eastAsia="zh-CN"/>
        </w:rPr>
        <w:instrText xml:space="preserve"> PAGEREF _Toc82546058 \h </w:instrText>
      </w:r>
      <w:r>
        <w:rPr>
          <w:lang w:val="en-US" w:eastAsia="zh-CN"/>
        </w:rPr>
        <w:fldChar w:fldCharType="separate"/>
      </w:r>
      <w:r>
        <w:rPr>
          <w:lang w:val="en-US" w:eastAsia="zh-CN"/>
        </w:rPr>
        <w:t>1</w:t>
      </w:r>
      <w:r>
        <w:rPr>
          <w:lang w:val="en-US" w:eastAsia="zh-CN"/>
        </w:rPr>
        <w:fldChar w:fldCharType="end"/>
      </w:r>
      <w:r>
        <w:rPr>
          <w:lang w:val="en-US" w:eastAsia="zh-CN"/>
        </w:rPr>
        <w:fldChar w:fldCharType="end"/>
      </w:r>
    </w:p>
    <w:p w14:paraId="64F8C8A2">
      <w:pPr>
        <w:pStyle w:val="13"/>
        <w:tabs>
          <w:tab w:val="right" w:leader="dot" w:pos="9060"/>
        </w:tabs>
        <w:rPr>
          <w:rFonts w:ascii="Calibri" w:hAnsi="Calibri"/>
          <w:szCs w:val="22"/>
          <w:lang w:val="en-US" w:eastAsia="zh-CN"/>
        </w:rPr>
      </w:pPr>
      <w:r>
        <w:fldChar w:fldCharType="begin"/>
      </w:r>
      <w:r>
        <w:instrText xml:space="preserve"> HYPERLINK \l "_Toc82546059" </w:instrText>
      </w:r>
      <w:r>
        <w:fldChar w:fldCharType="separate"/>
      </w:r>
      <w:r>
        <w:rPr>
          <w:rStyle w:val="26"/>
          <w:rFonts w:eastAsia="黑体"/>
          <w:color w:val="auto"/>
          <w:lang w:val="en-US" w:eastAsia="zh-CN"/>
        </w:rPr>
        <w:t xml:space="preserve">1.6 </w:t>
      </w:r>
      <w:r>
        <w:rPr>
          <w:rStyle w:val="26"/>
          <w:rFonts w:hint="eastAsia" w:eastAsia="黑体"/>
          <w:color w:val="auto"/>
          <w:lang w:val="en-US" w:eastAsia="zh-CN"/>
        </w:rPr>
        <w:t>投资规模与资金来源</w:t>
      </w:r>
      <w:r>
        <w:rPr>
          <w:lang w:val="en-US" w:eastAsia="zh-CN"/>
        </w:rPr>
        <w:tab/>
      </w:r>
      <w:r>
        <w:rPr>
          <w:lang w:val="en-US" w:eastAsia="zh-CN"/>
        </w:rPr>
        <w:fldChar w:fldCharType="begin"/>
      </w:r>
      <w:r>
        <w:rPr>
          <w:lang w:val="en-US" w:eastAsia="zh-CN"/>
        </w:rPr>
        <w:instrText xml:space="preserve"> PAGEREF _Toc82546059 \h </w:instrText>
      </w:r>
      <w:r>
        <w:rPr>
          <w:lang w:val="en-US" w:eastAsia="zh-CN"/>
        </w:rPr>
        <w:fldChar w:fldCharType="separate"/>
      </w:r>
      <w:r>
        <w:rPr>
          <w:lang w:val="en-US" w:eastAsia="zh-CN"/>
        </w:rPr>
        <w:t>2</w:t>
      </w:r>
      <w:r>
        <w:rPr>
          <w:lang w:val="en-US" w:eastAsia="zh-CN"/>
        </w:rPr>
        <w:fldChar w:fldCharType="end"/>
      </w:r>
      <w:r>
        <w:rPr>
          <w:lang w:val="en-US" w:eastAsia="zh-CN"/>
        </w:rPr>
        <w:fldChar w:fldCharType="end"/>
      </w:r>
    </w:p>
    <w:p w14:paraId="3735C984">
      <w:pPr>
        <w:pStyle w:val="12"/>
        <w:tabs>
          <w:tab w:val="right" w:leader="dot" w:pos="9060"/>
        </w:tabs>
        <w:rPr>
          <w:rFonts w:ascii="Calibri" w:hAnsi="Calibri"/>
          <w:szCs w:val="22"/>
          <w:lang w:val="en-US" w:eastAsia="zh-CN"/>
        </w:rPr>
      </w:pPr>
      <w:r>
        <w:fldChar w:fldCharType="begin"/>
      </w:r>
      <w:r>
        <w:instrText xml:space="preserve"> HYPERLINK \l "_Toc82546060" </w:instrText>
      </w:r>
      <w:r>
        <w:fldChar w:fldCharType="separate"/>
      </w:r>
      <w:r>
        <w:rPr>
          <w:rStyle w:val="26"/>
          <w:rFonts w:hint="eastAsia" w:eastAsia="黑体"/>
          <w:color w:val="auto"/>
          <w:lang w:val="en-US" w:eastAsia="zh-CN"/>
        </w:rPr>
        <w:t>第二章</w:t>
      </w:r>
      <w:r>
        <w:rPr>
          <w:rStyle w:val="26"/>
          <w:rFonts w:eastAsia="黑体"/>
          <w:color w:val="auto"/>
          <w:lang w:val="en-US" w:eastAsia="zh-CN"/>
        </w:rPr>
        <w:t xml:space="preserve"> </w:t>
      </w:r>
      <w:r>
        <w:rPr>
          <w:rStyle w:val="26"/>
          <w:rFonts w:hint="eastAsia" w:eastAsia="黑体"/>
          <w:color w:val="auto"/>
          <w:lang w:val="en-US" w:eastAsia="zh-CN"/>
        </w:rPr>
        <w:t>规划背景与意义</w:t>
      </w:r>
      <w:r>
        <w:rPr>
          <w:lang w:val="en-US" w:eastAsia="zh-CN"/>
        </w:rPr>
        <w:tab/>
      </w:r>
      <w:r>
        <w:rPr>
          <w:lang w:val="en-US" w:eastAsia="zh-CN"/>
        </w:rPr>
        <w:fldChar w:fldCharType="begin"/>
      </w:r>
      <w:r>
        <w:rPr>
          <w:lang w:val="en-US" w:eastAsia="zh-CN"/>
        </w:rPr>
        <w:instrText xml:space="preserve"> PAGEREF _Toc82546060 \h </w:instrText>
      </w:r>
      <w:r>
        <w:rPr>
          <w:lang w:val="en-US" w:eastAsia="zh-CN"/>
        </w:rPr>
        <w:fldChar w:fldCharType="separate"/>
      </w:r>
      <w:r>
        <w:rPr>
          <w:lang w:val="en-US" w:eastAsia="zh-CN"/>
        </w:rPr>
        <w:t>4</w:t>
      </w:r>
      <w:r>
        <w:rPr>
          <w:lang w:val="en-US" w:eastAsia="zh-CN"/>
        </w:rPr>
        <w:fldChar w:fldCharType="end"/>
      </w:r>
      <w:r>
        <w:rPr>
          <w:lang w:val="en-US" w:eastAsia="zh-CN"/>
        </w:rPr>
        <w:fldChar w:fldCharType="end"/>
      </w:r>
    </w:p>
    <w:p w14:paraId="25809E8D">
      <w:pPr>
        <w:pStyle w:val="13"/>
        <w:tabs>
          <w:tab w:val="right" w:leader="dot" w:pos="9060"/>
        </w:tabs>
        <w:rPr>
          <w:rFonts w:ascii="Calibri" w:hAnsi="Calibri"/>
          <w:szCs w:val="22"/>
          <w:lang w:val="en-US" w:eastAsia="zh-CN"/>
        </w:rPr>
      </w:pPr>
      <w:r>
        <w:fldChar w:fldCharType="begin"/>
      </w:r>
      <w:r>
        <w:instrText xml:space="preserve"> HYPERLINK \l "_Toc82546061" </w:instrText>
      </w:r>
      <w:r>
        <w:fldChar w:fldCharType="separate"/>
      </w:r>
      <w:r>
        <w:rPr>
          <w:rStyle w:val="26"/>
          <w:rFonts w:eastAsia="黑体"/>
          <w:color w:val="auto"/>
          <w:lang w:val="en-US" w:eastAsia="zh-CN"/>
        </w:rPr>
        <w:t xml:space="preserve">2.1 </w:t>
      </w:r>
      <w:r>
        <w:rPr>
          <w:rStyle w:val="26"/>
          <w:rFonts w:hint="eastAsia" w:eastAsia="黑体"/>
          <w:color w:val="auto"/>
          <w:lang w:val="en-US" w:eastAsia="zh-CN"/>
        </w:rPr>
        <w:t>规划背景</w:t>
      </w:r>
      <w:r>
        <w:rPr>
          <w:lang w:val="en-US" w:eastAsia="zh-CN"/>
        </w:rPr>
        <w:tab/>
      </w:r>
      <w:r>
        <w:rPr>
          <w:lang w:val="en-US" w:eastAsia="zh-CN"/>
        </w:rPr>
        <w:fldChar w:fldCharType="begin"/>
      </w:r>
      <w:r>
        <w:rPr>
          <w:lang w:val="en-US" w:eastAsia="zh-CN"/>
        </w:rPr>
        <w:instrText xml:space="preserve"> PAGEREF _Toc82546061 \h </w:instrText>
      </w:r>
      <w:r>
        <w:rPr>
          <w:lang w:val="en-US" w:eastAsia="zh-CN"/>
        </w:rPr>
        <w:fldChar w:fldCharType="separate"/>
      </w:r>
      <w:r>
        <w:rPr>
          <w:lang w:val="en-US" w:eastAsia="zh-CN"/>
        </w:rPr>
        <w:t>4</w:t>
      </w:r>
      <w:r>
        <w:rPr>
          <w:lang w:val="en-US" w:eastAsia="zh-CN"/>
        </w:rPr>
        <w:fldChar w:fldCharType="end"/>
      </w:r>
      <w:r>
        <w:rPr>
          <w:lang w:val="en-US" w:eastAsia="zh-CN"/>
        </w:rPr>
        <w:fldChar w:fldCharType="end"/>
      </w:r>
    </w:p>
    <w:p w14:paraId="524F59A5">
      <w:pPr>
        <w:pStyle w:val="13"/>
        <w:tabs>
          <w:tab w:val="right" w:leader="dot" w:pos="9060"/>
        </w:tabs>
        <w:rPr>
          <w:rFonts w:ascii="Calibri" w:hAnsi="Calibri"/>
          <w:szCs w:val="22"/>
          <w:lang w:val="en-US" w:eastAsia="zh-CN"/>
        </w:rPr>
      </w:pPr>
      <w:r>
        <w:fldChar w:fldCharType="begin"/>
      </w:r>
      <w:r>
        <w:instrText xml:space="preserve"> HYPERLINK \l "_Toc82546062" </w:instrText>
      </w:r>
      <w:r>
        <w:fldChar w:fldCharType="separate"/>
      </w:r>
      <w:r>
        <w:rPr>
          <w:rStyle w:val="26"/>
          <w:rFonts w:eastAsia="黑体"/>
          <w:color w:val="auto"/>
          <w:lang w:val="en-US" w:eastAsia="zh-CN"/>
        </w:rPr>
        <w:t xml:space="preserve">2.2 </w:t>
      </w:r>
      <w:r>
        <w:rPr>
          <w:rStyle w:val="26"/>
          <w:rFonts w:hint="eastAsia" w:eastAsia="黑体"/>
          <w:color w:val="auto"/>
          <w:lang w:val="en-US" w:eastAsia="zh-CN"/>
        </w:rPr>
        <w:t>规划的必要性</w:t>
      </w:r>
      <w:r>
        <w:rPr>
          <w:lang w:val="en-US" w:eastAsia="zh-CN"/>
        </w:rPr>
        <w:tab/>
      </w:r>
      <w:r>
        <w:rPr>
          <w:lang w:val="en-US" w:eastAsia="zh-CN"/>
        </w:rPr>
        <w:fldChar w:fldCharType="begin"/>
      </w:r>
      <w:r>
        <w:rPr>
          <w:lang w:val="en-US" w:eastAsia="zh-CN"/>
        </w:rPr>
        <w:instrText xml:space="preserve"> PAGEREF _Toc82546062 \h </w:instrText>
      </w:r>
      <w:r>
        <w:rPr>
          <w:lang w:val="en-US" w:eastAsia="zh-CN"/>
        </w:rPr>
        <w:fldChar w:fldCharType="separate"/>
      </w:r>
      <w:r>
        <w:rPr>
          <w:lang w:val="en-US" w:eastAsia="zh-CN"/>
        </w:rPr>
        <w:t>6</w:t>
      </w:r>
      <w:r>
        <w:rPr>
          <w:lang w:val="en-US" w:eastAsia="zh-CN"/>
        </w:rPr>
        <w:fldChar w:fldCharType="end"/>
      </w:r>
      <w:r>
        <w:rPr>
          <w:lang w:val="en-US" w:eastAsia="zh-CN"/>
        </w:rPr>
        <w:fldChar w:fldCharType="end"/>
      </w:r>
    </w:p>
    <w:p w14:paraId="492EE14A">
      <w:pPr>
        <w:pStyle w:val="13"/>
        <w:tabs>
          <w:tab w:val="right" w:leader="dot" w:pos="9060"/>
        </w:tabs>
        <w:rPr>
          <w:rFonts w:ascii="Calibri" w:hAnsi="Calibri"/>
          <w:szCs w:val="22"/>
          <w:lang w:val="en-US" w:eastAsia="zh-CN"/>
        </w:rPr>
      </w:pPr>
      <w:r>
        <w:fldChar w:fldCharType="begin"/>
      </w:r>
      <w:r>
        <w:instrText xml:space="preserve"> HYPERLINK \l "_Toc82546063" </w:instrText>
      </w:r>
      <w:r>
        <w:fldChar w:fldCharType="separate"/>
      </w:r>
      <w:r>
        <w:rPr>
          <w:rStyle w:val="26"/>
          <w:rFonts w:eastAsia="黑体"/>
          <w:color w:val="auto"/>
          <w:lang w:val="en-US" w:eastAsia="zh-CN"/>
        </w:rPr>
        <w:t xml:space="preserve">2.3 </w:t>
      </w:r>
      <w:r>
        <w:rPr>
          <w:rStyle w:val="26"/>
          <w:rFonts w:hint="eastAsia" w:eastAsia="黑体"/>
          <w:color w:val="auto"/>
          <w:lang w:val="en-US" w:eastAsia="zh-CN"/>
        </w:rPr>
        <w:t>规划的意义</w:t>
      </w:r>
      <w:r>
        <w:rPr>
          <w:lang w:val="en-US" w:eastAsia="zh-CN"/>
        </w:rPr>
        <w:tab/>
      </w:r>
      <w:r>
        <w:rPr>
          <w:lang w:val="en-US" w:eastAsia="zh-CN"/>
        </w:rPr>
        <w:fldChar w:fldCharType="begin"/>
      </w:r>
      <w:r>
        <w:rPr>
          <w:lang w:val="en-US" w:eastAsia="zh-CN"/>
        </w:rPr>
        <w:instrText xml:space="preserve"> PAGEREF _Toc82546063 \h </w:instrText>
      </w:r>
      <w:r>
        <w:rPr>
          <w:lang w:val="en-US" w:eastAsia="zh-CN"/>
        </w:rPr>
        <w:fldChar w:fldCharType="separate"/>
      </w:r>
      <w:r>
        <w:rPr>
          <w:lang w:val="en-US" w:eastAsia="zh-CN"/>
        </w:rPr>
        <w:t>10</w:t>
      </w:r>
      <w:r>
        <w:rPr>
          <w:lang w:val="en-US" w:eastAsia="zh-CN"/>
        </w:rPr>
        <w:fldChar w:fldCharType="end"/>
      </w:r>
      <w:r>
        <w:rPr>
          <w:lang w:val="en-US" w:eastAsia="zh-CN"/>
        </w:rPr>
        <w:fldChar w:fldCharType="end"/>
      </w:r>
    </w:p>
    <w:p w14:paraId="26859F43">
      <w:pPr>
        <w:pStyle w:val="12"/>
        <w:tabs>
          <w:tab w:val="right" w:leader="dot" w:pos="9060"/>
        </w:tabs>
        <w:rPr>
          <w:rFonts w:ascii="Calibri" w:hAnsi="Calibri"/>
          <w:szCs w:val="22"/>
          <w:lang w:val="en-US" w:eastAsia="zh-CN"/>
        </w:rPr>
      </w:pPr>
      <w:r>
        <w:fldChar w:fldCharType="begin"/>
      </w:r>
      <w:r>
        <w:instrText xml:space="preserve"> HYPERLINK \l "_Toc82546064" </w:instrText>
      </w:r>
      <w:r>
        <w:fldChar w:fldCharType="separate"/>
      </w:r>
      <w:r>
        <w:rPr>
          <w:rStyle w:val="26"/>
          <w:rFonts w:hint="eastAsia" w:eastAsia="黑体"/>
          <w:color w:val="auto"/>
          <w:lang w:val="en-US" w:eastAsia="zh-CN"/>
        </w:rPr>
        <w:t>第三章</w:t>
      </w:r>
      <w:r>
        <w:rPr>
          <w:rStyle w:val="26"/>
          <w:rFonts w:eastAsia="黑体"/>
          <w:color w:val="auto"/>
          <w:lang w:val="en-US" w:eastAsia="zh-CN"/>
        </w:rPr>
        <w:t xml:space="preserve"> </w:t>
      </w:r>
      <w:r>
        <w:rPr>
          <w:rStyle w:val="26"/>
          <w:rFonts w:hint="eastAsia" w:eastAsia="黑体"/>
          <w:color w:val="auto"/>
          <w:lang w:val="en-US" w:eastAsia="zh-CN"/>
        </w:rPr>
        <w:t>林业产业发展条件</w:t>
      </w:r>
      <w:r>
        <w:rPr>
          <w:lang w:val="en-US" w:eastAsia="zh-CN"/>
        </w:rPr>
        <w:tab/>
      </w:r>
      <w:r>
        <w:rPr>
          <w:lang w:val="en-US" w:eastAsia="zh-CN"/>
        </w:rPr>
        <w:fldChar w:fldCharType="begin"/>
      </w:r>
      <w:r>
        <w:rPr>
          <w:lang w:val="en-US" w:eastAsia="zh-CN"/>
        </w:rPr>
        <w:instrText xml:space="preserve"> PAGEREF _Toc82546064 \h </w:instrText>
      </w:r>
      <w:r>
        <w:rPr>
          <w:lang w:val="en-US" w:eastAsia="zh-CN"/>
        </w:rPr>
        <w:fldChar w:fldCharType="separate"/>
      </w:r>
      <w:r>
        <w:rPr>
          <w:lang w:val="en-US" w:eastAsia="zh-CN"/>
        </w:rPr>
        <w:t>12</w:t>
      </w:r>
      <w:r>
        <w:rPr>
          <w:lang w:val="en-US" w:eastAsia="zh-CN"/>
        </w:rPr>
        <w:fldChar w:fldCharType="end"/>
      </w:r>
      <w:r>
        <w:rPr>
          <w:lang w:val="en-US" w:eastAsia="zh-CN"/>
        </w:rPr>
        <w:fldChar w:fldCharType="end"/>
      </w:r>
    </w:p>
    <w:p w14:paraId="6F3B9CD6">
      <w:pPr>
        <w:pStyle w:val="13"/>
        <w:tabs>
          <w:tab w:val="right" w:leader="dot" w:pos="9060"/>
        </w:tabs>
        <w:rPr>
          <w:rFonts w:ascii="Calibri" w:hAnsi="Calibri"/>
          <w:szCs w:val="22"/>
          <w:lang w:val="en-US" w:eastAsia="zh-CN"/>
        </w:rPr>
      </w:pPr>
      <w:r>
        <w:fldChar w:fldCharType="begin"/>
      </w:r>
      <w:r>
        <w:instrText xml:space="preserve"> HYPERLINK \l "_Toc82546065" </w:instrText>
      </w:r>
      <w:r>
        <w:fldChar w:fldCharType="separate"/>
      </w:r>
      <w:r>
        <w:rPr>
          <w:rStyle w:val="26"/>
          <w:rFonts w:eastAsia="黑体"/>
          <w:color w:val="auto"/>
          <w:lang w:val="en-US" w:eastAsia="zh-CN"/>
        </w:rPr>
        <w:t xml:space="preserve">3.1 </w:t>
      </w:r>
      <w:r>
        <w:rPr>
          <w:rStyle w:val="26"/>
          <w:rFonts w:hint="eastAsia" w:eastAsia="黑体"/>
          <w:color w:val="auto"/>
          <w:lang w:val="en-US" w:eastAsia="zh-CN"/>
        </w:rPr>
        <w:t>三亚市概况</w:t>
      </w:r>
      <w:r>
        <w:rPr>
          <w:lang w:val="en-US" w:eastAsia="zh-CN"/>
        </w:rPr>
        <w:tab/>
      </w:r>
      <w:r>
        <w:rPr>
          <w:lang w:val="en-US" w:eastAsia="zh-CN"/>
        </w:rPr>
        <w:fldChar w:fldCharType="begin"/>
      </w:r>
      <w:r>
        <w:rPr>
          <w:lang w:val="en-US" w:eastAsia="zh-CN"/>
        </w:rPr>
        <w:instrText xml:space="preserve"> PAGEREF _Toc82546065 \h </w:instrText>
      </w:r>
      <w:r>
        <w:rPr>
          <w:lang w:val="en-US" w:eastAsia="zh-CN"/>
        </w:rPr>
        <w:fldChar w:fldCharType="separate"/>
      </w:r>
      <w:r>
        <w:rPr>
          <w:lang w:val="en-US" w:eastAsia="zh-CN"/>
        </w:rPr>
        <w:t>12</w:t>
      </w:r>
      <w:r>
        <w:rPr>
          <w:lang w:val="en-US" w:eastAsia="zh-CN"/>
        </w:rPr>
        <w:fldChar w:fldCharType="end"/>
      </w:r>
      <w:r>
        <w:rPr>
          <w:lang w:val="en-US" w:eastAsia="zh-CN"/>
        </w:rPr>
        <w:fldChar w:fldCharType="end"/>
      </w:r>
    </w:p>
    <w:p w14:paraId="5CFCB33A">
      <w:pPr>
        <w:pStyle w:val="13"/>
        <w:tabs>
          <w:tab w:val="right" w:leader="dot" w:pos="9060"/>
        </w:tabs>
        <w:rPr>
          <w:rFonts w:ascii="Calibri" w:hAnsi="Calibri"/>
          <w:szCs w:val="22"/>
          <w:lang w:val="en-US" w:eastAsia="zh-CN"/>
        </w:rPr>
      </w:pPr>
      <w:r>
        <w:fldChar w:fldCharType="begin"/>
      </w:r>
      <w:r>
        <w:instrText xml:space="preserve"> HYPERLINK \l "_Toc82546066" </w:instrText>
      </w:r>
      <w:r>
        <w:fldChar w:fldCharType="separate"/>
      </w:r>
      <w:r>
        <w:rPr>
          <w:rStyle w:val="26"/>
          <w:rFonts w:eastAsia="黑体"/>
          <w:color w:val="auto"/>
          <w:lang w:val="en-US" w:eastAsia="zh-CN"/>
        </w:rPr>
        <w:t>3.2</w:t>
      </w:r>
      <w:r>
        <w:rPr>
          <w:rStyle w:val="26"/>
          <w:rFonts w:hint="eastAsia" w:eastAsia="黑体"/>
          <w:color w:val="auto"/>
          <w:lang w:val="en-US" w:eastAsia="zh-CN"/>
        </w:rPr>
        <w:t>林业产业现状</w:t>
      </w:r>
      <w:r>
        <w:rPr>
          <w:lang w:val="en-US" w:eastAsia="zh-CN"/>
        </w:rPr>
        <w:tab/>
      </w:r>
      <w:r>
        <w:rPr>
          <w:lang w:val="en-US" w:eastAsia="zh-CN"/>
        </w:rPr>
        <w:fldChar w:fldCharType="begin"/>
      </w:r>
      <w:r>
        <w:rPr>
          <w:lang w:val="en-US" w:eastAsia="zh-CN"/>
        </w:rPr>
        <w:instrText xml:space="preserve"> PAGEREF _Toc82546066 \h </w:instrText>
      </w:r>
      <w:r>
        <w:rPr>
          <w:lang w:val="en-US" w:eastAsia="zh-CN"/>
        </w:rPr>
        <w:fldChar w:fldCharType="separate"/>
      </w:r>
      <w:r>
        <w:rPr>
          <w:lang w:val="en-US" w:eastAsia="zh-CN"/>
        </w:rPr>
        <w:t>18</w:t>
      </w:r>
      <w:r>
        <w:rPr>
          <w:lang w:val="en-US" w:eastAsia="zh-CN"/>
        </w:rPr>
        <w:fldChar w:fldCharType="end"/>
      </w:r>
      <w:r>
        <w:rPr>
          <w:lang w:val="en-US" w:eastAsia="zh-CN"/>
        </w:rPr>
        <w:fldChar w:fldCharType="end"/>
      </w:r>
    </w:p>
    <w:p w14:paraId="6574B114">
      <w:pPr>
        <w:pStyle w:val="13"/>
        <w:tabs>
          <w:tab w:val="right" w:leader="dot" w:pos="9060"/>
        </w:tabs>
        <w:rPr>
          <w:rFonts w:ascii="Calibri" w:hAnsi="Calibri"/>
          <w:szCs w:val="22"/>
          <w:lang w:val="en-US" w:eastAsia="zh-CN"/>
        </w:rPr>
      </w:pPr>
      <w:r>
        <w:fldChar w:fldCharType="begin"/>
      </w:r>
      <w:r>
        <w:instrText xml:space="preserve"> HYPERLINK \l "_Toc82546068" </w:instrText>
      </w:r>
      <w:r>
        <w:fldChar w:fldCharType="separate"/>
      </w:r>
      <w:r>
        <w:rPr>
          <w:rStyle w:val="26"/>
          <w:rFonts w:eastAsia="黑体"/>
          <w:color w:val="auto"/>
          <w:lang w:val="en-US" w:eastAsia="zh-CN"/>
        </w:rPr>
        <w:t xml:space="preserve">3.3 </w:t>
      </w:r>
      <w:r>
        <w:rPr>
          <w:rStyle w:val="26"/>
          <w:rFonts w:hint="eastAsia" w:eastAsia="黑体"/>
          <w:color w:val="auto"/>
          <w:lang w:val="en-US" w:eastAsia="zh-CN"/>
        </w:rPr>
        <w:t>林业产业发展优势与制约因素</w:t>
      </w:r>
      <w:r>
        <w:rPr>
          <w:lang w:val="en-US" w:eastAsia="zh-CN"/>
        </w:rPr>
        <w:tab/>
      </w:r>
      <w:r>
        <w:rPr>
          <w:lang w:val="en-US" w:eastAsia="zh-CN"/>
        </w:rPr>
        <w:fldChar w:fldCharType="begin"/>
      </w:r>
      <w:r>
        <w:rPr>
          <w:lang w:val="en-US" w:eastAsia="zh-CN"/>
        </w:rPr>
        <w:instrText xml:space="preserve"> PAGEREF _Toc82546068 \h </w:instrText>
      </w:r>
      <w:r>
        <w:rPr>
          <w:lang w:val="en-US" w:eastAsia="zh-CN"/>
        </w:rPr>
        <w:fldChar w:fldCharType="separate"/>
      </w:r>
      <w:r>
        <w:rPr>
          <w:lang w:val="en-US" w:eastAsia="zh-CN"/>
        </w:rPr>
        <w:t>20</w:t>
      </w:r>
      <w:r>
        <w:rPr>
          <w:lang w:val="en-US" w:eastAsia="zh-CN"/>
        </w:rPr>
        <w:fldChar w:fldCharType="end"/>
      </w:r>
      <w:r>
        <w:rPr>
          <w:lang w:val="en-US" w:eastAsia="zh-CN"/>
        </w:rPr>
        <w:fldChar w:fldCharType="end"/>
      </w:r>
    </w:p>
    <w:p w14:paraId="48BA3384">
      <w:pPr>
        <w:pStyle w:val="12"/>
        <w:tabs>
          <w:tab w:val="right" w:leader="dot" w:pos="9060"/>
        </w:tabs>
        <w:rPr>
          <w:rFonts w:ascii="Calibri" w:hAnsi="Calibri"/>
          <w:szCs w:val="22"/>
          <w:lang w:val="en-US" w:eastAsia="zh-CN"/>
        </w:rPr>
      </w:pPr>
      <w:r>
        <w:fldChar w:fldCharType="begin"/>
      </w:r>
      <w:r>
        <w:instrText xml:space="preserve"> HYPERLINK \l "_Toc82546069" </w:instrText>
      </w:r>
      <w:r>
        <w:fldChar w:fldCharType="separate"/>
      </w:r>
      <w:r>
        <w:rPr>
          <w:rStyle w:val="26"/>
          <w:rFonts w:hint="eastAsia" w:eastAsia="黑体"/>
          <w:color w:val="auto"/>
          <w:lang w:val="en-US" w:eastAsia="zh-CN"/>
        </w:rPr>
        <w:t>第四章</w:t>
      </w:r>
      <w:r>
        <w:rPr>
          <w:rStyle w:val="26"/>
          <w:rFonts w:eastAsia="黑体"/>
          <w:color w:val="auto"/>
          <w:lang w:val="en-US" w:eastAsia="zh-CN"/>
        </w:rPr>
        <w:t xml:space="preserve"> </w:t>
      </w:r>
      <w:r>
        <w:rPr>
          <w:rStyle w:val="26"/>
          <w:rFonts w:hint="eastAsia" w:eastAsia="黑体"/>
          <w:color w:val="auto"/>
          <w:lang w:val="en-US" w:eastAsia="zh-CN"/>
        </w:rPr>
        <w:t>规划总体思路</w:t>
      </w:r>
      <w:r>
        <w:rPr>
          <w:lang w:val="en-US" w:eastAsia="zh-CN"/>
        </w:rPr>
        <w:tab/>
      </w:r>
      <w:r>
        <w:rPr>
          <w:lang w:val="en-US" w:eastAsia="zh-CN"/>
        </w:rPr>
        <w:fldChar w:fldCharType="begin"/>
      </w:r>
      <w:r>
        <w:rPr>
          <w:lang w:val="en-US" w:eastAsia="zh-CN"/>
        </w:rPr>
        <w:instrText xml:space="preserve"> PAGEREF _Toc82546069 \h </w:instrText>
      </w:r>
      <w:r>
        <w:rPr>
          <w:lang w:val="en-US" w:eastAsia="zh-CN"/>
        </w:rPr>
        <w:fldChar w:fldCharType="separate"/>
      </w:r>
      <w:r>
        <w:rPr>
          <w:lang w:val="en-US" w:eastAsia="zh-CN"/>
        </w:rPr>
        <w:t>26</w:t>
      </w:r>
      <w:r>
        <w:rPr>
          <w:lang w:val="en-US" w:eastAsia="zh-CN"/>
        </w:rPr>
        <w:fldChar w:fldCharType="end"/>
      </w:r>
      <w:r>
        <w:rPr>
          <w:lang w:val="en-US" w:eastAsia="zh-CN"/>
        </w:rPr>
        <w:fldChar w:fldCharType="end"/>
      </w:r>
    </w:p>
    <w:p w14:paraId="2A573455">
      <w:pPr>
        <w:pStyle w:val="13"/>
        <w:tabs>
          <w:tab w:val="right" w:leader="dot" w:pos="9060"/>
        </w:tabs>
        <w:rPr>
          <w:rFonts w:ascii="Calibri" w:hAnsi="Calibri"/>
          <w:szCs w:val="22"/>
          <w:lang w:val="en-US" w:eastAsia="zh-CN"/>
        </w:rPr>
      </w:pPr>
      <w:r>
        <w:fldChar w:fldCharType="begin"/>
      </w:r>
      <w:r>
        <w:instrText xml:space="preserve"> HYPERLINK \l "_Toc82546070" </w:instrText>
      </w:r>
      <w:r>
        <w:fldChar w:fldCharType="separate"/>
      </w:r>
      <w:r>
        <w:rPr>
          <w:rStyle w:val="26"/>
          <w:rFonts w:eastAsia="黑体"/>
          <w:color w:val="auto"/>
          <w:lang w:val="en-US" w:eastAsia="zh-CN"/>
        </w:rPr>
        <w:t xml:space="preserve">4.1 </w:t>
      </w:r>
      <w:r>
        <w:rPr>
          <w:rStyle w:val="26"/>
          <w:rFonts w:hint="eastAsia" w:eastAsia="黑体"/>
          <w:color w:val="auto"/>
          <w:lang w:val="en-US" w:eastAsia="zh-CN"/>
        </w:rPr>
        <w:t>指导思想</w:t>
      </w:r>
      <w:r>
        <w:rPr>
          <w:lang w:val="en-US" w:eastAsia="zh-CN"/>
        </w:rPr>
        <w:tab/>
      </w:r>
      <w:r>
        <w:rPr>
          <w:lang w:val="en-US" w:eastAsia="zh-CN"/>
        </w:rPr>
        <w:fldChar w:fldCharType="begin"/>
      </w:r>
      <w:r>
        <w:rPr>
          <w:lang w:val="en-US" w:eastAsia="zh-CN"/>
        </w:rPr>
        <w:instrText xml:space="preserve"> PAGEREF _Toc82546070 \h </w:instrText>
      </w:r>
      <w:r>
        <w:rPr>
          <w:lang w:val="en-US" w:eastAsia="zh-CN"/>
        </w:rPr>
        <w:fldChar w:fldCharType="separate"/>
      </w:r>
      <w:r>
        <w:rPr>
          <w:lang w:val="en-US" w:eastAsia="zh-CN"/>
        </w:rPr>
        <w:t>26</w:t>
      </w:r>
      <w:r>
        <w:rPr>
          <w:lang w:val="en-US" w:eastAsia="zh-CN"/>
        </w:rPr>
        <w:fldChar w:fldCharType="end"/>
      </w:r>
      <w:r>
        <w:rPr>
          <w:lang w:val="en-US" w:eastAsia="zh-CN"/>
        </w:rPr>
        <w:fldChar w:fldCharType="end"/>
      </w:r>
    </w:p>
    <w:p w14:paraId="6E7F7180">
      <w:pPr>
        <w:pStyle w:val="13"/>
        <w:tabs>
          <w:tab w:val="right" w:leader="dot" w:pos="9060"/>
        </w:tabs>
        <w:rPr>
          <w:rFonts w:ascii="Calibri" w:hAnsi="Calibri"/>
          <w:szCs w:val="22"/>
          <w:lang w:val="en-US" w:eastAsia="zh-CN"/>
        </w:rPr>
      </w:pPr>
      <w:r>
        <w:fldChar w:fldCharType="begin"/>
      </w:r>
      <w:r>
        <w:instrText xml:space="preserve"> HYPERLINK \l "_Toc82546071" </w:instrText>
      </w:r>
      <w:r>
        <w:fldChar w:fldCharType="separate"/>
      </w:r>
      <w:r>
        <w:rPr>
          <w:rStyle w:val="26"/>
          <w:rFonts w:eastAsia="黑体"/>
          <w:color w:val="auto"/>
          <w:lang w:val="en-US" w:eastAsia="zh-CN"/>
        </w:rPr>
        <w:t xml:space="preserve">4.2 </w:t>
      </w:r>
      <w:r>
        <w:rPr>
          <w:rStyle w:val="26"/>
          <w:rFonts w:hint="eastAsia" w:eastAsia="黑体"/>
          <w:color w:val="auto"/>
          <w:lang w:val="en-US" w:eastAsia="zh-CN"/>
        </w:rPr>
        <w:t>规划目标</w:t>
      </w:r>
      <w:r>
        <w:rPr>
          <w:lang w:val="en-US" w:eastAsia="zh-CN"/>
        </w:rPr>
        <w:tab/>
      </w:r>
      <w:r>
        <w:rPr>
          <w:lang w:val="en-US" w:eastAsia="zh-CN"/>
        </w:rPr>
        <w:fldChar w:fldCharType="begin"/>
      </w:r>
      <w:r>
        <w:rPr>
          <w:lang w:val="en-US" w:eastAsia="zh-CN"/>
        </w:rPr>
        <w:instrText xml:space="preserve"> PAGEREF _Toc82546071 \h </w:instrText>
      </w:r>
      <w:r>
        <w:rPr>
          <w:lang w:val="en-US" w:eastAsia="zh-CN"/>
        </w:rPr>
        <w:fldChar w:fldCharType="separate"/>
      </w:r>
      <w:r>
        <w:rPr>
          <w:lang w:val="en-US" w:eastAsia="zh-CN"/>
        </w:rPr>
        <w:t>26</w:t>
      </w:r>
      <w:r>
        <w:rPr>
          <w:lang w:val="en-US" w:eastAsia="zh-CN"/>
        </w:rPr>
        <w:fldChar w:fldCharType="end"/>
      </w:r>
      <w:r>
        <w:rPr>
          <w:lang w:val="en-US" w:eastAsia="zh-CN"/>
        </w:rPr>
        <w:fldChar w:fldCharType="end"/>
      </w:r>
    </w:p>
    <w:p w14:paraId="2A32266D">
      <w:pPr>
        <w:pStyle w:val="13"/>
        <w:tabs>
          <w:tab w:val="right" w:leader="dot" w:pos="9060"/>
        </w:tabs>
        <w:rPr>
          <w:rFonts w:ascii="Calibri" w:hAnsi="Calibri"/>
          <w:szCs w:val="22"/>
          <w:lang w:val="en-US" w:eastAsia="zh-CN"/>
        </w:rPr>
      </w:pPr>
      <w:r>
        <w:fldChar w:fldCharType="begin"/>
      </w:r>
      <w:r>
        <w:instrText xml:space="preserve"> HYPERLINK \l "_Toc82546072" </w:instrText>
      </w:r>
      <w:r>
        <w:fldChar w:fldCharType="separate"/>
      </w:r>
      <w:r>
        <w:rPr>
          <w:rStyle w:val="26"/>
          <w:rFonts w:eastAsia="黑体"/>
          <w:color w:val="auto"/>
          <w:lang w:val="en-US" w:eastAsia="zh-CN"/>
        </w:rPr>
        <w:t xml:space="preserve">4.3 </w:t>
      </w:r>
      <w:r>
        <w:rPr>
          <w:rStyle w:val="26"/>
          <w:rFonts w:hint="eastAsia" w:eastAsia="黑体"/>
          <w:color w:val="auto"/>
          <w:lang w:val="en-US" w:eastAsia="zh-CN"/>
        </w:rPr>
        <w:t>总体布局与主要内容</w:t>
      </w:r>
      <w:r>
        <w:rPr>
          <w:lang w:val="en-US" w:eastAsia="zh-CN"/>
        </w:rPr>
        <w:tab/>
      </w:r>
      <w:r>
        <w:rPr>
          <w:lang w:val="en-US" w:eastAsia="zh-CN"/>
        </w:rPr>
        <w:fldChar w:fldCharType="begin"/>
      </w:r>
      <w:r>
        <w:rPr>
          <w:lang w:val="en-US" w:eastAsia="zh-CN"/>
        </w:rPr>
        <w:instrText xml:space="preserve"> PAGEREF _Toc82546072 \h </w:instrText>
      </w:r>
      <w:r>
        <w:rPr>
          <w:lang w:val="en-US" w:eastAsia="zh-CN"/>
        </w:rPr>
        <w:fldChar w:fldCharType="separate"/>
      </w:r>
      <w:r>
        <w:rPr>
          <w:lang w:val="en-US" w:eastAsia="zh-CN"/>
        </w:rPr>
        <w:t>28</w:t>
      </w:r>
      <w:r>
        <w:rPr>
          <w:lang w:val="en-US" w:eastAsia="zh-CN"/>
        </w:rPr>
        <w:fldChar w:fldCharType="end"/>
      </w:r>
      <w:r>
        <w:rPr>
          <w:lang w:val="en-US" w:eastAsia="zh-CN"/>
        </w:rPr>
        <w:fldChar w:fldCharType="end"/>
      </w:r>
    </w:p>
    <w:p w14:paraId="60F8DEDD">
      <w:pPr>
        <w:pStyle w:val="13"/>
        <w:tabs>
          <w:tab w:val="right" w:leader="dot" w:pos="9060"/>
        </w:tabs>
        <w:rPr>
          <w:rFonts w:ascii="Calibri" w:hAnsi="Calibri"/>
          <w:szCs w:val="22"/>
          <w:lang w:val="en-US" w:eastAsia="zh-CN"/>
        </w:rPr>
      </w:pPr>
      <w:r>
        <w:fldChar w:fldCharType="begin"/>
      </w:r>
      <w:r>
        <w:instrText xml:space="preserve"> HYPERLINK \l "_Toc82546073" </w:instrText>
      </w:r>
      <w:r>
        <w:fldChar w:fldCharType="separate"/>
      </w:r>
      <w:r>
        <w:rPr>
          <w:rStyle w:val="26"/>
          <w:rFonts w:eastAsia="黑体"/>
          <w:color w:val="auto"/>
          <w:lang w:val="en-US" w:eastAsia="zh-CN"/>
        </w:rPr>
        <w:t xml:space="preserve">4.4 </w:t>
      </w:r>
      <w:r>
        <w:rPr>
          <w:rStyle w:val="26"/>
          <w:rFonts w:hint="eastAsia" w:eastAsia="黑体"/>
          <w:color w:val="auto"/>
          <w:lang w:val="en-US" w:eastAsia="zh-CN"/>
        </w:rPr>
        <w:t>规划原则与依据</w:t>
      </w:r>
      <w:r>
        <w:rPr>
          <w:lang w:val="en-US" w:eastAsia="zh-CN"/>
        </w:rPr>
        <w:tab/>
      </w:r>
      <w:r>
        <w:rPr>
          <w:lang w:val="en-US" w:eastAsia="zh-CN"/>
        </w:rPr>
        <w:fldChar w:fldCharType="begin"/>
      </w:r>
      <w:r>
        <w:rPr>
          <w:lang w:val="en-US" w:eastAsia="zh-CN"/>
        </w:rPr>
        <w:instrText xml:space="preserve"> PAGEREF _Toc82546073 \h </w:instrText>
      </w:r>
      <w:r>
        <w:rPr>
          <w:lang w:val="en-US" w:eastAsia="zh-CN"/>
        </w:rPr>
        <w:fldChar w:fldCharType="separate"/>
      </w:r>
      <w:r>
        <w:rPr>
          <w:lang w:val="en-US" w:eastAsia="zh-CN"/>
        </w:rPr>
        <w:t>29</w:t>
      </w:r>
      <w:r>
        <w:rPr>
          <w:lang w:val="en-US" w:eastAsia="zh-CN"/>
        </w:rPr>
        <w:fldChar w:fldCharType="end"/>
      </w:r>
      <w:r>
        <w:rPr>
          <w:lang w:val="en-US" w:eastAsia="zh-CN"/>
        </w:rPr>
        <w:fldChar w:fldCharType="end"/>
      </w:r>
    </w:p>
    <w:p w14:paraId="468AB820">
      <w:pPr>
        <w:pStyle w:val="12"/>
        <w:tabs>
          <w:tab w:val="right" w:leader="dot" w:pos="9060"/>
        </w:tabs>
        <w:rPr>
          <w:rFonts w:ascii="Calibri" w:hAnsi="Calibri"/>
          <w:szCs w:val="22"/>
          <w:lang w:val="en-US" w:eastAsia="zh-CN"/>
        </w:rPr>
      </w:pPr>
      <w:r>
        <w:fldChar w:fldCharType="begin"/>
      </w:r>
      <w:r>
        <w:instrText xml:space="preserve"> HYPERLINK \l "_Toc82546074" </w:instrText>
      </w:r>
      <w:r>
        <w:fldChar w:fldCharType="separate"/>
      </w:r>
      <w:r>
        <w:rPr>
          <w:rStyle w:val="26"/>
          <w:rFonts w:hint="eastAsia" w:ascii="黑体" w:hAnsi="黑体" w:eastAsia="黑体"/>
          <w:color w:val="auto"/>
          <w:lang w:val="en-US" w:eastAsia="zh-CN"/>
        </w:rPr>
        <w:t>第五章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重点工程规划</w:t>
      </w:r>
      <w:r>
        <w:rPr>
          <w:lang w:val="en-US" w:eastAsia="zh-CN"/>
        </w:rPr>
        <w:tab/>
      </w:r>
      <w:r>
        <w:rPr>
          <w:lang w:val="en-US" w:eastAsia="zh-CN"/>
        </w:rPr>
        <w:fldChar w:fldCharType="begin"/>
      </w:r>
      <w:r>
        <w:rPr>
          <w:lang w:val="en-US" w:eastAsia="zh-CN"/>
        </w:rPr>
        <w:instrText xml:space="preserve"> PAGEREF _Toc82546074 \h </w:instrText>
      </w:r>
      <w:r>
        <w:rPr>
          <w:lang w:val="en-US" w:eastAsia="zh-CN"/>
        </w:rPr>
        <w:fldChar w:fldCharType="separate"/>
      </w:r>
      <w:r>
        <w:rPr>
          <w:lang w:val="en-US" w:eastAsia="zh-CN"/>
        </w:rPr>
        <w:t>36</w:t>
      </w:r>
      <w:r>
        <w:rPr>
          <w:lang w:val="en-US" w:eastAsia="zh-CN"/>
        </w:rPr>
        <w:fldChar w:fldCharType="end"/>
      </w:r>
      <w:r>
        <w:rPr>
          <w:lang w:val="en-US" w:eastAsia="zh-CN"/>
        </w:rPr>
        <w:fldChar w:fldCharType="end"/>
      </w:r>
    </w:p>
    <w:p w14:paraId="52C6766C">
      <w:pPr>
        <w:pStyle w:val="12"/>
        <w:tabs>
          <w:tab w:val="right" w:leader="dot" w:pos="9060"/>
        </w:tabs>
        <w:rPr>
          <w:rFonts w:ascii="Calibri" w:hAnsi="Calibri"/>
          <w:szCs w:val="22"/>
          <w:lang w:val="en-US" w:eastAsia="zh-CN"/>
        </w:rPr>
      </w:pPr>
      <w:r>
        <w:fldChar w:fldCharType="begin"/>
      </w:r>
      <w:r>
        <w:instrText xml:space="preserve"> HYPERLINK \l "_Toc82546075" </w:instrText>
      </w:r>
      <w:r>
        <w:fldChar w:fldCharType="separate"/>
      </w:r>
      <w:r>
        <w:rPr>
          <w:rStyle w:val="26"/>
          <w:rFonts w:hint="eastAsia" w:ascii="黑体" w:hAnsi="黑体" w:eastAsia="黑体"/>
          <w:color w:val="auto"/>
          <w:lang w:val="en-US" w:eastAsia="zh-CN"/>
        </w:rPr>
        <w:t>第六章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森林旅游与森林康养产业规划</w:t>
      </w:r>
      <w:r>
        <w:rPr>
          <w:lang w:val="en-US" w:eastAsia="zh-CN"/>
        </w:rPr>
        <w:tab/>
      </w:r>
      <w:r>
        <w:rPr>
          <w:lang w:val="en-US" w:eastAsia="zh-CN"/>
        </w:rPr>
        <w:fldChar w:fldCharType="begin"/>
      </w:r>
      <w:r>
        <w:rPr>
          <w:lang w:val="en-US" w:eastAsia="zh-CN"/>
        </w:rPr>
        <w:instrText xml:space="preserve"> PAGEREF _Toc82546075 \h </w:instrText>
      </w:r>
      <w:r>
        <w:rPr>
          <w:lang w:val="en-US" w:eastAsia="zh-CN"/>
        </w:rPr>
        <w:fldChar w:fldCharType="separate"/>
      </w:r>
      <w:r>
        <w:rPr>
          <w:lang w:val="en-US" w:eastAsia="zh-CN"/>
        </w:rPr>
        <w:t>40</w:t>
      </w:r>
      <w:r>
        <w:rPr>
          <w:lang w:val="en-US" w:eastAsia="zh-CN"/>
        </w:rPr>
        <w:fldChar w:fldCharType="end"/>
      </w:r>
      <w:r>
        <w:rPr>
          <w:lang w:val="en-US" w:eastAsia="zh-CN"/>
        </w:rPr>
        <w:fldChar w:fldCharType="end"/>
      </w:r>
    </w:p>
    <w:p w14:paraId="22B9DC10">
      <w:pPr>
        <w:pStyle w:val="13"/>
        <w:tabs>
          <w:tab w:val="right" w:leader="dot" w:pos="9060"/>
        </w:tabs>
        <w:rPr>
          <w:rFonts w:ascii="Calibri" w:hAnsi="Calibri"/>
          <w:szCs w:val="22"/>
          <w:lang w:val="en-US" w:eastAsia="zh-CN"/>
        </w:rPr>
      </w:pPr>
      <w:r>
        <w:fldChar w:fldCharType="begin"/>
      </w:r>
      <w:r>
        <w:instrText xml:space="preserve"> HYPERLINK \l "_Toc82546076" </w:instrText>
      </w:r>
      <w:r>
        <w:fldChar w:fldCharType="separate"/>
      </w:r>
      <w:r>
        <w:rPr>
          <w:rStyle w:val="26"/>
          <w:rFonts w:eastAsia="黑体"/>
          <w:color w:val="auto"/>
          <w:lang w:val="en-US" w:eastAsia="zh-CN"/>
        </w:rPr>
        <w:t xml:space="preserve">6.1 </w:t>
      </w:r>
      <w:r>
        <w:rPr>
          <w:rStyle w:val="26"/>
          <w:rFonts w:hint="eastAsia" w:eastAsia="黑体"/>
          <w:color w:val="auto"/>
          <w:lang w:val="en-US" w:eastAsia="zh-CN"/>
        </w:rPr>
        <w:t>产业现状</w:t>
      </w:r>
      <w:r>
        <w:rPr>
          <w:lang w:val="en-US" w:eastAsia="zh-CN"/>
        </w:rPr>
        <w:tab/>
      </w:r>
      <w:r>
        <w:rPr>
          <w:lang w:val="en-US" w:eastAsia="zh-CN"/>
        </w:rPr>
        <w:fldChar w:fldCharType="begin"/>
      </w:r>
      <w:r>
        <w:rPr>
          <w:lang w:val="en-US" w:eastAsia="zh-CN"/>
        </w:rPr>
        <w:instrText xml:space="preserve"> PAGEREF _Toc82546076 \h </w:instrText>
      </w:r>
      <w:r>
        <w:rPr>
          <w:lang w:val="en-US" w:eastAsia="zh-CN"/>
        </w:rPr>
        <w:fldChar w:fldCharType="separate"/>
      </w:r>
      <w:r>
        <w:rPr>
          <w:lang w:val="en-US" w:eastAsia="zh-CN"/>
        </w:rPr>
        <w:t>40</w:t>
      </w:r>
      <w:r>
        <w:rPr>
          <w:lang w:val="en-US" w:eastAsia="zh-CN"/>
        </w:rPr>
        <w:fldChar w:fldCharType="end"/>
      </w:r>
      <w:r>
        <w:rPr>
          <w:lang w:val="en-US" w:eastAsia="zh-CN"/>
        </w:rPr>
        <w:fldChar w:fldCharType="end"/>
      </w:r>
    </w:p>
    <w:p w14:paraId="4F3C0896">
      <w:pPr>
        <w:pStyle w:val="13"/>
        <w:tabs>
          <w:tab w:val="right" w:leader="dot" w:pos="9060"/>
        </w:tabs>
        <w:rPr>
          <w:rFonts w:ascii="Calibri" w:hAnsi="Calibri"/>
          <w:szCs w:val="22"/>
          <w:lang w:val="en-US" w:eastAsia="zh-CN"/>
        </w:rPr>
      </w:pPr>
      <w:r>
        <w:fldChar w:fldCharType="begin"/>
      </w:r>
      <w:r>
        <w:instrText xml:space="preserve"> HYPERLINK \l "_Toc82546077" </w:instrText>
      </w:r>
      <w:r>
        <w:fldChar w:fldCharType="separate"/>
      </w:r>
      <w:r>
        <w:rPr>
          <w:rStyle w:val="26"/>
          <w:rFonts w:eastAsia="黑体"/>
          <w:color w:val="auto"/>
          <w:lang w:val="en-US" w:eastAsia="zh-CN"/>
        </w:rPr>
        <w:t xml:space="preserve">6.2 </w:t>
      </w:r>
      <w:r>
        <w:rPr>
          <w:rStyle w:val="26"/>
          <w:rFonts w:hint="eastAsia" w:eastAsia="黑体"/>
          <w:color w:val="auto"/>
          <w:lang w:val="en-US" w:eastAsia="zh-CN"/>
        </w:rPr>
        <w:t>存在的主要问题</w:t>
      </w:r>
      <w:r>
        <w:rPr>
          <w:lang w:val="en-US" w:eastAsia="zh-CN"/>
        </w:rPr>
        <w:tab/>
      </w:r>
      <w:r>
        <w:rPr>
          <w:lang w:val="en-US" w:eastAsia="zh-CN"/>
        </w:rPr>
        <w:fldChar w:fldCharType="begin"/>
      </w:r>
      <w:r>
        <w:rPr>
          <w:lang w:val="en-US" w:eastAsia="zh-CN"/>
        </w:rPr>
        <w:instrText xml:space="preserve"> PAGEREF _Toc82546077 \h </w:instrText>
      </w:r>
      <w:r>
        <w:rPr>
          <w:lang w:val="en-US" w:eastAsia="zh-CN"/>
        </w:rPr>
        <w:fldChar w:fldCharType="separate"/>
      </w:r>
      <w:r>
        <w:rPr>
          <w:lang w:val="en-US" w:eastAsia="zh-CN"/>
        </w:rPr>
        <w:t>43</w:t>
      </w:r>
      <w:r>
        <w:rPr>
          <w:lang w:val="en-US" w:eastAsia="zh-CN"/>
        </w:rPr>
        <w:fldChar w:fldCharType="end"/>
      </w:r>
      <w:r>
        <w:rPr>
          <w:lang w:val="en-US" w:eastAsia="zh-CN"/>
        </w:rPr>
        <w:fldChar w:fldCharType="end"/>
      </w:r>
    </w:p>
    <w:p w14:paraId="4D2233DD">
      <w:pPr>
        <w:pStyle w:val="13"/>
        <w:tabs>
          <w:tab w:val="right" w:leader="dot" w:pos="9060"/>
        </w:tabs>
        <w:rPr>
          <w:rFonts w:ascii="Calibri" w:hAnsi="Calibri"/>
          <w:szCs w:val="22"/>
          <w:lang w:val="en-US" w:eastAsia="zh-CN"/>
        </w:rPr>
      </w:pPr>
      <w:r>
        <w:fldChar w:fldCharType="begin"/>
      </w:r>
      <w:r>
        <w:instrText xml:space="preserve"> HYPERLINK \l "_Toc82546078" </w:instrText>
      </w:r>
      <w:r>
        <w:fldChar w:fldCharType="separate"/>
      </w:r>
      <w:r>
        <w:rPr>
          <w:rStyle w:val="26"/>
          <w:rFonts w:eastAsia="黑体"/>
          <w:color w:val="auto"/>
          <w:lang w:val="en-US" w:eastAsia="zh-CN"/>
        </w:rPr>
        <w:t xml:space="preserve">6.3 </w:t>
      </w:r>
      <w:r>
        <w:rPr>
          <w:rStyle w:val="26"/>
          <w:rFonts w:hint="eastAsia" w:eastAsia="黑体"/>
          <w:color w:val="auto"/>
          <w:lang w:val="en-US" w:eastAsia="zh-CN"/>
        </w:rPr>
        <w:t>总体布局与规划目标</w:t>
      </w:r>
      <w:r>
        <w:rPr>
          <w:lang w:val="en-US" w:eastAsia="zh-CN"/>
        </w:rPr>
        <w:tab/>
      </w:r>
      <w:r>
        <w:rPr>
          <w:lang w:val="en-US" w:eastAsia="zh-CN"/>
        </w:rPr>
        <w:fldChar w:fldCharType="begin"/>
      </w:r>
      <w:r>
        <w:rPr>
          <w:lang w:val="en-US" w:eastAsia="zh-CN"/>
        </w:rPr>
        <w:instrText xml:space="preserve"> PAGEREF _Toc82546078 \h </w:instrText>
      </w:r>
      <w:r>
        <w:rPr>
          <w:lang w:val="en-US" w:eastAsia="zh-CN"/>
        </w:rPr>
        <w:fldChar w:fldCharType="separate"/>
      </w:r>
      <w:r>
        <w:rPr>
          <w:lang w:val="en-US" w:eastAsia="zh-CN"/>
        </w:rPr>
        <w:t>44</w:t>
      </w:r>
      <w:r>
        <w:rPr>
          <w:lang w:val="en-US" w:eastAsia="zh-CN"/>
        </w:rPr>
        <w:fldChar w:fldCharType="end"/>
      </w:r>
      <w:r>
        <w:rPr>
          <w:lang w:val="en-US" w:eastAsia="zh-CN"/>
        </w:rPr>
        <w:fldChar w:fldCharType="end"/>
      </w:r>
    </w:p>
    <w:p w14:paraId="342C892A">
      <w:pPr>
        <w:pStyle w:val="13"/>
        <w:tabs>
          <w:tab w:val="right" w:leader="dot" w:pos="9060"/>
        </w:tabs>
        <w:rPr>
          <w:rFonts w:ascii="Calibri" w:hAnsi="Calibri"/>
          <w:szCs w:val="22"/>
          <w:lang w:val="en-US" w:eastAsia="zh-CN"/>
        </w:rPr>
      </w:pPr>
      <w:r>
        <w:fldChar w:fldCharType="begin"/>
      </w:r>
      <w:r>
        <w:instrText xml:space="preserve"> HYPERLINK \l "_Toc82546079" </w:instrText>
      </w:r>
      <w:r>
        <w:fldChar w:fldCharType="separate"/>
      </w:r>
      <w:r>
        <w:rPr>
          <w:rStyle w:val="26"/>
          <w:rFonts w:eastAsia="黑体"/>
          <w:color w:val="auto"/>
          <w:lang w:val="en-US" w:eastAsia="zh-CN"/>
        </w:rPr>
        <w:t xml:space="preserve">6.4 </w:t>
      </w:r>
      <w:r>
        <w:rPr>
          <w:rStyle w:val="26"/>
          <w:rFonts w:hint="eastAsia" w:eastAsia="黑体"/>
          <w:color w:val="auto"/>
          <w:lang w:val="en-US" w:eastAsia="zh-CN"/>
        </w:rPr>
        <w:t>重点建设工程或内容</w:t>
      </w:r>
      <w:r>
        <w:rPr>
          <w:lang w:val="en-US" w:eastAsia="zh-CN"/>
        </w:rPr>
        <w:tab/>
      </w:r>
      <w:r>
        <w:rPr>
          <w:lang w:val="en-US" w:eastAsia="zh-CN"/>
        </w:rPr>
        <w:fldChar w:fldCharType="begin"/>
      </w:r>
      <w:r>
        <w:rPr>
          <w:lang w:val="en-US" w:eastAsia="zh-CN"/>
        </w:rPr>
        <w:instrText xml:space="preserve"> PAGEREF _Toc82546079 \h </w:instrText>
      </w:r>
      <w:r>
        <w:rPr>
          <w:lang w:val="en-US" w:eastAsia="zh-CN"/>
        </w:rPr>
        <w:fldChar w:fldCharType="separate"/>
      </w:r>
      <w:r>
        <w:rPr>
          <w:lang w:val="en-US" w:eastAsia="zh-CN"/>
        </w:rPr>
        <w:t>46</w:t>
      </w:r>
      <w:r>
        <w:rPr>
          <w:lang w:val="en-US" w:eastAsia="zh-CN"/>
        </w:rPr>
        <w:fldChar w:fldCharType="end"/>
      </w:r>
      <w:r>
        <w:rPr>
          <w:lang w:val="en-US" w:eastAsia="zh-CN"/>
        </w:rPr>
        <w:fldChar w:fldCharType="end"/>
      </w:r>
    </w:p>
    <w:p w14:paraId="2B96EEF8">
      <w:pPr>
        <w:pStyle w:val="13"/>
        <w:tabs>
          <w:tab w:val="right" w:leader="dot" w:pos="9060"/>
        </w:tabs>
        <w:rPr>
          <w:rFonts w:ascii="Calibri" w:hAnsi="Calibri"/>
          <w:szCs w:val="22"/>
          <w:lang w:val="en-US" w:eastAsia="zh-CN"/>
        </w:rPr>
      </w:pPr>
      <w:r>
        <w:fldChar w:fldCharType="begin"/>
      </w:r>
      <w:r>
        <w:instrText xml:space="preserve"> HYPERLINK \l "_Toc82546080" </w:instrText>
      </w:r>
      <w:r>
        <w:fldChar w:fldCharType="separate"/>
      </w:r>
      <w:r>
        <w:rPr>
          <w:rStyle w:val="26"/>
          <w:rFonts w:eastAsia="黑体"/>
          <w:color w:val="auto"/>
          <w:lang w:val="en-US" w:eastAsia="zh-CN"/>
        </w:rPr>
        <w:t xml:space="preserve">6.5 </w:t>
      </w:r>
      <w:r>
        <w:rPr>
          <w:rStyle w:val="26"/>
          <w:rFonts w:hint="eastAsia" w:eastAsia="黑体"/>
          <w:color w:val="auto"/>
          <w:lang w:val="en-US" w:eastAsia="zh-CN"/>
        </w:rPr>
        <w:t>投资估算与资金来源</w:t>
      </w:r>
      <w:r>
        <w:rPr>
          <w:lang w:val="en-US" w:eastAsia="zh-CN"/>
        </w:rPr>
        <w:tab/>
      </w:r>
      <w:r>
        <w:rPr>
          <w:lang w:val="en-US" w:eastAsia="zh-CN"/>
        </w:rPr>
        <w:fldChar w:fldCharType="begin"/>
      </w:r>
      <w:r>
        <w:rPr>
          <w:lang w:val="en-US" w:eastAsia="zh-CN"/>
        </w:rPr>
        <w:instrText xml:space="preserve"> PAGEREF _Toc82546080 \h </w:instrText>
      </w:r>
      <w:r>
        <w:rPr>
          <w:lang w:val="en-US" w:eastAsia="zh-CN"/>
        </w:rPr>
        <w:fldChar w:fldCharType="separate"/>
      </w:r>
      <w:r>
        <w:rPr>
          <w:lang w:val="en-US" w:eastAsia="zh-CN"/>
        </w:rPr>
        <w:t>54</w:t>
      </w:r>
      <w:r>
        <w:rPr>
          <w:lang w:val="en-US" w:eastAsia="zh-CN"/>
        </w:rPr>
        <w:fldChar w:fldCharType="end"/>
      </w:r>
      <w:r>
        <w:rPr>
          <w:lang w:val="en-US" w:eastAsia="zh-CN"/>
        </w:rPr>
        <w:fldChar w:fldCharType="end"/>
      </w:r>
    </w:p>
    <w:p w14:paraId="585A6A59">
      <w:pPr>
        <w:pStyle w:val="12"/>
        <w:tabs>
          <w:tab w:val="right" w:leader="dot" w:pos="9060"/>
        </w:tabs>
        <w:rPr>
          <w:rFonts w:ascii="Calibri" w:hAnsi="Calibri"/>
          <w:szCs w:val="22"/>
          <w:lang w:val="en-US" w:eastAsia="zh-CN"/>
        </w:rPr>
      </w:pPr>
      <w:r>
        <w:fldChar w:fldCharType="begin"/>
      </w:r>
      <w:r>
        <w:instrText xml:space="preserve"> HYPERLINK \l "_Toc82546081" </w:instrText>
      </w:r>
      <w:r>
        <w:fldChar w:fldCharType="separate"/>
      </w:r>
      <w:r>
        <w:rPr>
          <w:rStyle w:val="26"/>
          <w:rFonts w:hint="eastAsia" w:eastAsia="黑体"/>
          <w:color w:val="auto"/>
          <w:lang w:val="en-US" w:eastAsia="zh-CN"/>
        </w:rPr>
        <w:t>第七章</w:t>
      </w:r>
      <w:r>
        <w:rPr>
          <w:rStyle w:val="26"/>
          <w:rFonts w:eastAsia="黑体"/>
          <w:color w:val="auto"/>
          <w:lang w:val="en-US" w:eastAsia="zh-CN"/>
        </w:rPr>
        <w:t xml:space="preserve">  </w:t>
      </w:r>
      <w:r>
        <w:rPr>
          <w:rStyle w:val="26"/>
          <w:rFonts w:hint="eastAsia" w:eastAsia="黑体"/>
          <w:color w:val="auto"/>
          <w:lang w:val="en-US" w:eastAsia="zh-CN"/>
        </w:rPr>
        <w:t>林木种苗与花卉产业规划</w:t>
      </w:r>
      <w:r>
        <w:rPr>
          <w:lang w:val="en-US" w:eastAsia="zh-CN"/>
        </w:rPr>
        <w:tab/>
      </w:r>
      <w:r>
        <w:rPr>
          <w:lang w:val="en-US" w:eastAsia="zh-CN"/>
        </w:rPr>
        <w:fldChar w:fldCharType="begin"/>
      </w:r>
      <w:r>
        <w:rPr>
          <w:lang w:val="en-US" w:eastAsia="zh-CN"/>
        </w:rPr>
        <w:instrText xml:space="preserve"> PAGEREF _Toc82546081 \h </w:instrText>
      </w:r>
      <w:r>
        <w:rPr>
          <w:lang w:val="en-US" w:eastAsia="zh-CN"/>
        </w:rPr>
        <w:fldChar w:fldCharType="separate"/>
      </w:r>
      <w:r>
        <w:rPr>
          <w:lang w:val="en-US" w:eastAsia="zh-CN"/>
        </w:rPr>
        <w:t>57</w:t>
      </w:r>
      <w:r>
        <w:rPr>
          <w:lang w:val="en-US" w:eastAsia="zh-CN"/>
        </w:rPr>
        <w:fldChar w:fldCharType="end"/>
      </w:r>
      <w:r>
        <w:rPr>
          <w:lang w:val="en-US" w:eastAsia="zh-CN"/>
        </w:rPr>
        <w:fldChar w:fldCharType="end"/>
      </w:r>
    </w:p>
    <w:p w14:paraId="1FAEB266">
      <w:pPr>
        <w:pStyle w:val="13"/>
        <w:tabs>
          <w:tab w:val="right" w:leader="dot" w:pos="9060"/>
        </w:tabs>
        <w:rPr>
          <w:rFonts w:ascii="Calibri" w:hAnsi="Calibri"/>
          <w:szCs w:val="22"/>
          <w:lang w:val="en-US" w:eastAsia="zh-CN"/>
        </w:rPr>
      </w:pPr>
      <w:r>
        <w:fldChar w:fldCharType="begin"/>
      </w:r>
      <w:r>
        <w:instrText xml:space="preserve"> HYPERLINK \l "_Toc82546082" </w:instrText>
      </w:r>
      <w:r>
        <w:fldChar w:fldCharType="separate"/>
      </w:r>
      <w:r>
        <w:rPr>
          <w:rStyle w:val="26"/>
          <w:rFonts w:eastAsia="黑体"/>
          <w:color w:val="auto"/>
          <w:lang w:val="en-US" w:eastAsia="zh-CN"/>
        </w:rPr>
        <w:t xml:space="preserve">7.1 </w:t>
      </w:r>
      <w:r>
        <w:rPr>
          <w:rStyle w:val="26"/>
          <w:rFonts w:hint="eastAsia" w:eastAsia="黑体"/>
          <w:color w:val="auto"/>
          <w:lang w:val="en-US" w:eastAsia="zh-CN"/>
        </w:rPr>
        <w:t>产业现状</w:t>
      </w:r>
      <w:r>
        <w:rPr>
          <w:lang w:val="en-US" w:eastAsia="zh-CN"/>
        </w:rPr>
        <w:tab/>
      </w:r>
      <w:r>
        <w:rPr>
          <w:lang w:val="en-US" w:eastAsia="zh-CN"/>
        </w:rPr>
        <w:fldChar w:fldCharType="begin"/>
      </w:r>
      <w:r>
        <w:rPr>
          <w:lang w:val="en-US" w:eastAsia="zh-CN"/>
        </w:rPr>
        <w:instrText xml:space="preserve"> PAGEREF _Toc82546082 \h </w:instrText>
      </w:r>
      <w:r>
        <w:rPr>
          <w:lang w:val="en-US" w:eastAsia="zh-CN"/>
        </w:rPr>
        <w:fldChar w:fldCharType="separate"/>
      </w:r>
      <w:r>
        <w:rPr>
          <w:lang w:val="en-US" w:eastAsia="zh-CN"/>
        </w:rPr>
        <w:t>57</w:t>
      </w:r>
      <w:r>
        <w:rPr>
          <w:lang w:val="en-US" w:eastAsia="zh-CN"/>
        </w:rPr>
        <w:fldChar w:fldCharType="end"/>
      </w:r>
      <w:r>
        <w:rPr>
          <w:lang w:val="en-US" w:eastAsia="zh-CN"/>
        </w:rPr>
        <w:fldChar w:fldCharType="end"/>
      </w:r>
    </w:p>
    <w:p w14:paraId="0BFEB346">
      <w:pPr>
        <w:pStyle w:val="13"/>
        <w:tabs>
          <w:tab w:val="right" w:leader="dot" w:pos="9060"/>
        </w:tabs>
        <w:rPr>
          <w:rFonts w:ascii="Calibri" w:hAnsi="Calibri"/>
          <w:szCs w:val="22"/>
          <w:lang w:val="en-US" w:eastAsia="zh-CN"/>
        </w:rPr>
      </w:pPr>
      <w:r>
        <w:fldChar w:fldCharType="begin"/>
      </w:r>
      <w:r>
        <w:instrText xml:space="preserve"> HYPERLINK \l "_Toc82546083" </w:instrText>
      </w:r>
      <w:r>
        <w:fldChar w:fldCharType="separate"/>
      </w:r>
      <w:r>
        <w:rPr>
          <w:rStyle w:val="26"/>
          <w:rFonts w:eastAsia="黑体"/>
          <w:color w:val="auto"/>
          <w:lang w:val="en-US" w:eastAsia="zh-CN"/>
        </w:rPr>
        <w:t xml:space="preserve">7.2 </w:t>
      </w:r>
      <w:r>
        <w:rPr>
          <w:rStyle w:val="26"/>
          <w:rFonts w:hint="eastAsia" w:eastAsia="黑体"/>
          <w:color w:val="auto"/>
          <w:lang w:val="en-US" w:eastAsia="zh-CN"/>
        </w:rPr>
        <w:t>存在的主要问题</w:t>
      </w:r>
      <w:r>
        <w:rPr>
          <w:lang w:val="en-US" w:eastAsia="zh-CN"/>
        </w:rPr>
        <w:tab/>
      </w:r>
      <w:r>
        <w:rPr>
          <w:lang w:val="en-US" w:eastAsia="zh-CN"/>
        </w:rPr>
        <w:fldChar w:fldCharType="begin"/>
      </w:r>
      <w:r>
        <w:rPr>
          <w:lang w:val="en-US" w:eastAsia="zh-CN"/>
        </w:rPr>
        <w:instrText xml:space="preserve"> PAGEREF _Toc82546083 \h </w:instrText>
      </w:r>
      <w:r>
        <w:rPr>
          <w:lang w:val="en-US" w:eastAsia="zh-CN"/>
        </w:rPr>
        <w:fldChar w:fldCharType="separate"/>
      </w:r>
      <w:r>
        <w:rPr>
          <w:lang w:val="en-US" w:eastAsia="zh-CN"/>
        </w:rPr>
        <w:t>58</w:t>
      </w:r>
      <w:r>
        <w:rPr>
          <w:lang w:val="en-US" w:eastAsia="zh-CN"/>
        </w:rPr>
        <w:fldChar w:fldCharType="end"/>
      </w:r>
      <w:r>
        <w:rPr>
          <w:lang w:val="en-US" w:eastAsia="zh-CN"/>
        </w:rPr>
        <w:fldChar w:fldCharType="end"/>
      </w:r>
    </w:p>
    <w:p w14:paraId="45302B18">
      <w:pPr>
        <w:pStyle w:val="13"/>
        <w:tabs>
          <w:tab w:val="right" w:leader="dot" w:pos="9060"/>
        </w:tabs>
        <w:rPr>
          <w:rFonts w:ascii="Calibri" w:hAnsi="Calibri"/>
          <w:szCs w:val="22"/>
          <w:lang w:val="en-US" w:eastAsia="zh-CN"/>
        </w:rPr>
      </w:pPr>
      <w:r>
        <w:fldChar w:fldCharType="begin"/>
      </w:r>
      <w:r>
        <w:instrText xml:space="preserve"> HYPERLINK \l "_Toc82546084" </w:instrText>
      </w:r>
      <w:r>
        <w:fldChar w:fldCharType="separate"/>
      </w:r>
      <w:r>
        <w:rPr>
          <w:rStyle w:val="26"/>
          <w:rFonts w:eastAsia="黑体"/>
          <w:color w:val="auto"/>
          <w:lang w:val="en-US" w:eastAsia="zh-CN"/>
        </w:rPr>
        <w:t xml:space="preserve">7.3 </w:t>
      </w:r>
      <w:r>
        <w:rPr>
          <w:rStyle w:val="26"/>
          <w:rFonts w:hint="eastAsia" w:eastAsia="黑体"/>
          <w:color w:val="auto"/>
          <w:lang w:val="en-US" w:eastAsia="zh-CN"/>
        </w:rPr>
        <w:t>总体布局与规划目标</w:t>
      </w:r>
      <w:r>
        <w:rPr>
          <w:lang w:val="en-US" w:eastAsia="zh-CN"/>
        </w:rPr>
        <w:tab/>
      </w:r>
      <w:r>
        <w:rPr>
          <w:lang w:val="en-US" w:eastAsia="zh-CN"/>
        </w:rPr>
        <w:fldChar w:fldCharType="begin"/>
      </w:r>
      <w:r>
        <w:rPr>
          <w:lang w:val="en-US" w:eastAsia="zh-CN"/>
        </w:rPr>
        <w:instrText xml:space="preserve"> PAGEREF _Toc82546084 \h </w:instrText>
      </w:r>
      <w:r>
        <w:rPr>
          <w:lang w:val="en-US" w:eastAsia="zh-CN"/>
        </w:rPr>
        <w:fldChar w:fldCharType="separate"/>
      </w:r>
      <w:r>
        <w:rPr>
          <w:lang w:val="en-US" w:eastAsia="zh-CN"/>
        </w:rPr>
        <w:t>60</w:t>
      </w:r>
      <w:r>
        <w:rPr>
          <w:lang w:val="en-US" w:eastAsia="zh-CN"/>
        </w:rPr>
        <w:fldChar w:fldCharType="end"/>
      </w:r>
      <w:r>
        <w:rPr>
          <w:lang w:val="en-US" w:eastAsia="zh-CN"/>
        </w:rPr>
        <w:fldChar w:fldCharType="end"/>
      </w:r>
    </w:p>
    <w:p w14:paraId="63F20711">
      <w:pPr>
        <w:pStyle w:val="13"/>
        <w:tabs>
          <w:tab w:val="right" w:leader="dot" w:pos="9060"/>
        </w:tabs>
        <w:rPr>
          <w:rFonts w:ascii="Calibri" w:hAnsi="Calibri"/>
          <w:szCs w:val="22"/>
          <w:lang w:val="en-US" w:eastAsia="zh-CN"/>
        </w:rPr>
      </w:pPr>
      <w:r>
        <w:fldChar w:fldCharType="begin"/>
      </w:r>
      <w:r>
        <w:instrText xml:space="preserve"> HYPERLINK \l "_Toc82546085" </w:instrText>
      </w:r>
      <w:r>
        <w:fldChar w:fldCharType="separate"/>
      </w:r>
      <w:r>
        <w:rPr>
          <w:rStyle w:val="26"/>
          <w:rFonts w:eastAsia="黑体"/>
          <w:color w:val="auto"/>
          <w:lang w:val="en-US" w:eastAsia="zh-CN"/>
        </w:rPr>
        <w:t xml:space="preserve">7.4 </w:t>
      </w:r>
      <w:r>
        <w:rPr>
          <w:rStyle w:val="26"/>
          <w:rFonts w:hint="eastAsia" w:eastAsia="黑体"/>
          <w:color w:val="auto"/>
          <w:lang w:val="en-US" w:eastAsia="zh-CN"/>
        </w:rPr>
        <w:t>重点建设工程或内容</w:t>
      </w:r>
      <w:r>
        <w:rPr>
          <w:lang w:val="en-US" w:eastAsia="zh-CN"/>
        </w:rPr>
        <w:tab/>
      </w:r>
      <w:r>
        <w:rPr>
          <w:lang w:val="en-US" w:eastAsia="zh-CN"/>
        </w:rPr>
        <w:fldChar w:fldCharType="begin"/>
      </w:r>
      <w:r>
        <w:rPr>
          <w:lang w:val="en-US" w:eastAsia="zh-CN"/>
        </w:rPr>
        <w:instrText xml:space="preserve"> PAGEREF _Toc82546085 \h </w:instrText>
      </w:r>
      <w:r>
        <w:rPr>
          <w:lang w:val="en-US" w:eastAsia="zh-CN"/>
        </w:rPr>
        <w:fldChar w:fldCharType="separate"/>
      </w:r>
      <w:r>
        <w:rPr>
          <w:lang w:val="en-US" w:eastAsia="zh-CN"/>
        </w:rPr>
        <w:t>61</w:t>
      </w:r>
      <w:r>
        <w:rPr>
          <w:lang w:val="en-US" w:eastAsia="zh-CN"/>
        </w:rPr>
        <w:fldChar w:fldCharType="end"/>
      </w:r>
      <w:r>
        <w:rPr>
          <w:lang w:val="en-US" w:eastAsia="zh-CN"/>
        </w:rPr>
        <w:fldChar w:fldCharType="end"/>
      </w:r>
    </w:p>
    <w:p w14:paraId="5705FEBA">
      <w:pPr>
        <w:pStyle w:val="13"/>
        <w:tabs>
          <w:tab w:val="right" w:leader="dot" w:pos="9060"/>
        </w:tabs>
        <w:rPr>
          <w:rFonts w:ascii="Calibri" w:hAnsi="Calibri"/>
          <w:szCs w:val="22"/>
          <w:lang w:val="en-US" w:eastAsia="zh-CN"/>
        </w:rPr>
      </w:pPr>
      <w:r>
        <w:fldChar w:fldCharType="begin"/>
      </w:r>
      <w:r>
        <w:instrText xml:space="preserve"> HYPERLINK \l "_Toc82546086" </w:instrText>
      </w:r>
      <w:r>
        <w:fldChar w:fldCharType="separate"/>
      </w:r>
      <w:r>
        <w:rPr>
          <w:rStyle w:val="26"/>
          <w:rFonts w:eastAsia="黑体"/>
          <w:color w:val="auto"/>
          <w:lang w:val="en-US" w:eastAsia="zh-CN"/>
        </w:rPr>
        <w:t xml:space="preserve">7.5 </w:t>
      </w:r>
      <w:r>
        <w:rPr>
          <w:rStyle w:val="26"/>
          <w:rFonts w:hint="eastAsia" w:eastAsia="黑体"/>
          <w:color w:val="auto"/>
          <w:lang w:val="en-US" w:eastAsia="zh-CN"/>
        </w:rPr>
        <w:t>投资估算与资金来源</w:t>
      </w:r>
      <w:r>
        <w:rPr>
          <w:lang w:val="en-US" w:eastAsia="zh-CN"/>
        </w:rPr>
        <w:tab/>
      </w:r>
      <w:r>
        <w:rPr>
          <w:lang w:val="en-US" w:eastAsia="zh-CN"/>
        </w:rPr>
        <w:fldChar w:fldCharType="begin"/>
      </w:r>
      <w:r>
        <w:rPr>
          <w:lang w:val="en-US" w:eastAsia="zh-CN"/>
        </w:rPr>
        <w:instrText xml:space="preserve"> PAGEREF _Toc82546086 \h </w:instrText>
      </w:r>
      <w:r>
        <w:rPr>
          <w:lang w:val="en-US" w:eastAsia="zh-CN"/>
        </w:rPr>
        <w:fldChar w:fldCharType="separate"/>
      </w:r>
      <w:r>
        <w:rPr>
          <w:lang w:val="en-US" w:eastAsia="zh-CN"/>
        </w:rPr>
        <w:t>67</w:t>
      </w:r>
      <w:r>
        <w:rPr>
          <w:lang w:val="en-US" w:eastAsia="zh-CN"/>
        </w:rPr>
        <w:fldChar w:fldCharType="end"/>
      </w:r>
      <w:r>
        <w:rPr>
          <w:lang w:val="en-US" w:eastAsia="zh-CN"/>
        </w:rPr>
        <w:fldChar w:fldCharType="end"/>
      </w:r>
    </w:p>
    <w:p w14:paraId="1C0A0076">
      <w:pPr>
        <w:pStyle w:val="12"/>
        <w:tabs>
          <w:tab w:val="right" w:leader="dot" w:pos="9060"/>
        </w:tabs>
        <w:rPr>
          <w:rFonts w:ascii="Calibri" w:hAnsi="Calibri"/>
          <w:szCs w:val="22"/>
          <w:lang w:val="en-US" w:eastAsia="zh-CN"/>
        </w:rPr>
      </w:pPr>
      <w:r>
        <w:fldChar w:fldCharType="begin"/>
      </w:r>
      <w:r>
        <w:instrText xml:space="preserve"> HYPERLINK \l "_Toc82546087" </w:instrText>
      </w:r>
      <w:r>
        <w:fldChar w:fldCharType="separate"/>
      </w:r>
      <w:r>
        <w:rPr>
          <w:rStyle w:val="26"/>
          <w:rFonts w:hint="eastAsia" w:ascii="黑体" w:hAnsi="黑体" w:eastAsia="黑体"/>
          <w:color w:val="auto"/>
          <w:lang w:val="en-US" w:eastAsia="zh-CN"/>
        </w:rPr>
        <w:t>第八章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用材林产业规划</w:t>
      </w:r>
      <w:r>
        <w:rPr>
          <w:lang w:val="en-US" w:eastAsia="zh-CN"/>
        </w:rPr>
        <w:tab/>
      </w:r>
      <w:r>
        <w:rPr>
          <w:lang w:val="en-US" w:eastAsia="zh-CN"/>
        </w:rPr>
        <w:fldChar w:fldCharType="begin"/>
      </w:r>
      <w:r>
        <w:rPr>
          <w:lang w:val="en-US" w:eastAsia="zh-CN"/>
        </w:rPr>
        <w:instrText xml:space="preserve"> PAGEREF _Toc82546087 \h </w:instrText>
      </w:r>
      <w:r>
        <w:rPr>
          <w:lang w:val="en-US" w:eastAsia="zh-CN"/>
        </w:rPr>
        <w:fldChar w:fldCharType="separate"/>
      </w:r>
      <w:r>
        <w:rPr>
          <w:lang w:val="en-US" w:eastAsia="zh-CN"/>
        </w:rPr>
        <w:t>70</w:t>
      </w:r>
      <w:r>
        <w:rPr>
          <w:lang w:val="en-US" w:eastAsia="zh-CN"/>
        </w:rPr>
        <w:fldChar w:fldCharType="end"/>
      </w:r>
      <w:r>
        <w:rPr>
          <w:lang w:val="en-US" w:eastAsia="zh-CN"/>
        </w:rPr>
        <w:fldChar w:fldCharType="end"/>
      </w:r>
    </w:p>
    <w:p w14:paraId="46C06F01">
      <w:pPr>
        <w:pStyle w:val="13"/>
        <w:tabs>
          <w:tab w:val="right" w:leader="dot" w:pos="9060"/>
        </w:tabs>
        <w:rPr>
          <w:rFonts w:ascii="Calibri" w:hAnsi="Calibri"/>
          <w:szCs w:val="22"/>
          <w:lang w:val="en-US" w:eastAsia="zh-CN"/>
        </w:rPr>
      </w:pPr>
      <w:r>
        <w:fldChar w:fldCharType="begin"/>
      </w:r>
      <w:r>
        <w:instrText xml:space="preserve"> HYPERLINK \l "_Toc82546088" </w:instrText>
      </w:r>
      <w:r>
        <w:fldChar w:fldCharType="separate"/>
      </w:r>
      <w:r>
        <w:rPr>
          <w:rStyle w:val="26"/>
          <w:rFonts w:eastAsia="黑体"/>
          <w:color w:val="auto"/>
          <w:lang w:val="en-US" w:eastAsia="zh-CN"/>
        </w:rPr>
        <w:t xml:space="preserve">8.1 </w:t>
      </w:r>
      <w:r>
        <w:rPr>
          <w:rStyle w:val="26"/>
          <w:rFonts w:hint="eastAsia" w:eastAsia="黑体"/>
          <w:color w:val="auto"/>
          <w:lang w:val="en-US" w:eastAsia="zh-CN"/>
        </w:rPr>
        <w:t>产业现状</w:t>
      </w:r>
      <w:r>
        <w:rPr>
          <w:lang w:val="en-US" w:eastAsia="zh-CN"/>
        </w:rPr>
        <w:tab/>
      </w:r>
      <w:r>
        <w:rPr>
          <w:lang w:val="en-US" w:eastAsia="zh-CN"/>
        </w:rPr>
        <w:fldChar w:fldCharType="begin"/>
      </w:r>
      <w:r>
        <w:rPr>
          <w:lang w:val="en-US" w:eastAsia="zh-CN"/>
        </w:rPr>
        <w:instrText xml:space="preserve"> PAGEREF _Toc82546088 \h </w:instrText>
      </w:r>
      <w:r>
        <w:rPr>
          <w:lang w:val="en-US" w:eastAsia="zh-CN"/>
        </w:rPr>
        <w:fldChar w:fldCharType="separate"/>
      </w:r>
      <w:r>
        <w:rPr>
          <w:lang w:val="en-US" w:eastAsia="zh-CN"/>
        </w:rPr>
        <w:t>70</w:t>
      </w:r>
      <w:r>
        <w:rPr>
          <w:lang w:val="en-US" w:eastAsia="zh-CN"/>
        </w:rPr>
        <w:fldChar w:fldCharType="end"/>
      </w:r>
      <w:r>
        <w:rPr>
          <w:lang w:val="en-US" w:eastAsia="zh-CN"/>
        </w:rPr>
        <w:fldChar w:fldCharType="end"/>
      </w:r>
    </w:p>
    <w:p w14:paraId="5F6F65C8">
      <w:pPr>
        <w:pStyle w:val="13"/>
        <w:tabs>
          <w:tab w:val="right" w:leader="dot" w:pos="9060"/>
        </w:tabs>
        <w:rPr>
          <w:rFonts w:ascii="Calibri" w:hAnsi="Calibri"/>
          <w:szCs w:val="22"/>
          <w:lang w:val="en-US" w:eastAsia="zh-CN"/>
        </w:rPr>
      </w:pPr>
      <w:r>
        <w:fldChar w:fldCharType="begin"/>
      </w:r>
      <w:r>
        <w:instrText xml:space="preserve"> HYPERLINK \l "_Toc82546089" </w:instrText>
      </w:r>
      <w:r>
        <w:fldChar w:fldCharType="separate"/>
      </w:r>
      <w:r>
        <w:rPr>
          <w:rStyle w:val="26"/>
          <w:rFonts w:eastAsia="黑体"/>
          <w:color w:val="auto"/>
          <w:lang w:val="en-US" w:eastAsia="zh-CN"/>
        </w:rPr>
        <w:t xml:space="preserve">8.2 </w:t>
      </w:r>
      <w:r>
        <w:rPr>
          <w:rStyle w:val="26"/>
          <w:rFonts w:hint="eastAsia" w:eastAsia="黑体"/>
          <w:color w:val="auto"/>
          <w:lang w:val="en-US" w:eastAsia="zh-CN"/>
        </w:rPr>
        <w:t>存在的主要问题</w:t>
      </w:r>
      <w:r>
        <w:rPr>
          <w:lang w:val="en-US" w:eastAsia="zh-CN"/>
        </w:rPr>
        <w:tab/>
      </w:r>
      <w:r>
        <w:rPr>
          <w:lang w:val="en-US" w:eastAsia="zh-CN"/>
        </w:rPr>
        <w:fldChar w:fldCharType="begin"/>
      </w:r>
      <w:r>
        <w:rPr>
          <w:lang w:val="en-US" w:eastAsia="zh-CN"/>
        </w:rPr>
        <w:instrText xml:space="preserve"> PAGEREF _Toc82546089 \h </w:instrText>
      </w:r>
      <w:r>
        <w:rPr>
          <w:lang w:val="en-US" w:eastAsia="zh-CN"/>
        </w:rPr>
        <w:fldChar w:fldCharType="separate"/>
      </w:r>
      <w:r>
        <w:rPr>
          <w:lang w:val="en-US" w:eastAsia="zh-CN"/>
        </w:rPr>
        <w:t>71</w:t>
      </w:r>
      <w:r>
        <w:rPr>
          <w:lang w:val="en-US" w:eastAsia="zh-CN"/>
        </w:rPr>
        <w:fldChar w:fldCharType="end"/>
      </w:r>
      <w:r>
        <w:rPr>
          <w:lang w:val="en-US" w:eastAsia="zh-CN"/>
        </w:rPr>
        <w:fldChar w:fldCharType="end"/>
      </w:r>
    </w:p>
    <w:p w14:paraId="4FA0A37D">
      <w:pPr>
        <w:pStyle w:val="13"/>
        <w:tabs>
          <w:tab w:val="right" w:leader="dot" w:pos="9060"/>
        </w:tabs>
        <w:rPr>
          <w:rFonts w:ascii="Calibri" w:hAnsi="Calibri"/>
          <w:szCs w:val="22"/>
          <w:lang w:val="en-US" w:eastAsia="zh-CN"/>
        </w:rPr>
      </w:pPr>
      <w:r>
        <w:fldChar w:fldCharType="begin"/>
      </w:r>
      <w:r>
        <w:instrText xml:space="preserve"> HYPERLINK \l "_Toc82546090" </w:instrText>
      </w:r>
      <w:r>
        <w:fldChar w:fldCharType="separate"/>
      </w:r>
      <w:r>
        <w:rPr>
          <w:rStyle w:val="26"/>
          <w:rFonts w:eastAsia="黑体"/>
          <w:color w:val="auto"/>
          <w:lang w:val="en-US" w:eastAsia="zh-CN"/>
        </w:rPr>
        <w:t xml:space="preserve">8.3 </w:t>
      </w:r>
      <w:r>
        <w:rPr>
          <w:rStyle w:val="26"/>
          <w:rFonts w:hint="eastAsia" w:eastAsia="黑体"/>
          <w:color w:val="auto"/>
          <w:lang w:val="en-US" w:eastAsia="zh-CN"/>
        </w:rPr>
        <w:t>总体布局与规划目标</w:t>
      </w:r>
      <w:r>
        <w:rPr>
          <w:lang w:val="en-US" w:eastAsia="zh-CN"/>
        </w:rPr>
        <w:tab/>
      </w:r>
      <w:r>
        <w:rPr>
          <w:lang w:val="en-US" w:eastAsia="zh-CN"/>
        </w:rPr>
        <w:fldChar w:fldCharType="begin"/>
      </w:r>
      <w:r>
        <w:rPr>
          <w:lang w:val="en-US" w:eastAsia="zh-CN"/>
        </w:rPr>
        <w:instrText xml:space="preserve"> PAGEREF _Toc82546090 \h </w:instrText>
      </w:r>
      <w:r>
        <w:rPr>
          <w:lang w:val="en-US" w:eastAsia="zh-CN"/>
        </w:rPr>
        <w:fldChar w:fldCharType="separate"/>
      </w:r>
      <w:r>
        <w:rPr>
          <w:lang w:val="en-US" w:eastAsia="zh-CN"/>
        </w:rPr>
        <w:t>71</w:t>
      </w:r>
      <w:r>
        <w:rPr>
          <w:lang w:val="en-US" w:eastAsia="zh-CN"/>
        </w:rPr>
        <w:fldChar w:fldCharType="end"/>
      </w:r>
      <w:r>
        <w:rPr>
          <w:lang w:val="en-US" w:eastAsia="zh-CN"/>
        </w:rPr>
        <w:fldChar w:fldCharType="end"/>
      </w:r>
    </w:p>
    <w:p w14:paraId="60ACD996">
      <w:pPr>
        <w:pStyle w:val="13"/>
        <w:tabs>
          <w:tab w:val="right" w:leader="dot" w:pos="9060"/>
        </w:tabs>
        <w:rPr>
          <w:rFonts w:ascii="Calibri" w:hAnsi="Calibri"/>
          <w:szCs w:val="22"/>
          <w:lang w:val="en-US" w:eastAsia="zh-CN"/>
        </w:rPr>
      </w:pPr>
      <w:r>
        <w:fldChar w:fldCharType="begin"/>
      </w:r>
      <w:r>
        <w:instrText xml:space="preserve"> HYPERLINK \l "_Toc82546091" </w:instrText>
      </w:r>
      <w:r>
        <w:fldChar w:fldCharType="separate"/>
      </w:r>
      <w:r>
        <w:rPr>
          <w:rStyle w:val="26"/>
          <w:rFonts w:eastAsia="黑体"/>
          <w:color w:val="auto"/>
          <w:lang w:val="en-US" w:eastAsia="zh-CN"/>
        </w:rPr>
        <w:t xml:space="preserve">8.4 </w:t>
      </w:r>
      <w:r>
        <w:rPr>
          <w:rStyle w:val="26"/>
          <w:rFonts w:hint="eastAsia" w:eastAsia="黑体"/>
          <w:color w:val="auto"/>
          <w:lang w:val="en-US" w:eastAsia="zh-CN"/>
        </w:rPr>
        <w:t>重点建设工程或内容</w:t>
      </w:r>
      <w:r>
        <w:rPr>
          <w:lang w:val="en-US" w:eastAsia="zh-CN"/>
        </w:rPr>
        <w:tab/>
      </w:r>
      <w:r>
        <w:rPr>
          <w:lang w:val="en-US" w:eastAsia="zh-CN"/>
        </w:rPr>
        <w:fldChar w:fldCharType="begin"/>
      </w:r>
      <w:r>
        <w:rPr>
          <w:lang w:val="en-US" w:eastAsia="zh-CN"/>
        </w:rPr>
        <w:instrText xml:space="preserve"> PAGEREF _Toc82546091 \h </w:instrText>
      </w:r>
      <w:r>
        <w:rPr>
          <w:lang w:val="en-US" w:eastAsia="zh-CN"/>
        </w:rPr>
        <w:fldChar w:fldCharType="separate"/>
      </w:r>
      <w:r>
        <w:rPr>
          <w:lang w:val="en-US" w:eastAsia="zh-CN"/>
        </w:rPr>
        <w:t>72</w:t>
      </w:r>
      <w:r>
        <w:rPr>
          <w:lang w:val="en-US" w:eastAsia="zh-CN"/>
        </w:rPr>
        <w:fldChar w:fldCharType="end"/>
      </w:r>
      <w:r>
        <w:rPr>
          <w:lang w:val="en-US" w:eastAsia="zh-CN"/>
        </w:rPr>
        <w:fldChar w:fldCharType="end"/>
      </w:r>
    </w:p>
    <w:p w14:paraId="62242DE6">
      <w:pPr>
        <w:pStyle w:val="13"/>
        <w:tabs>
          <w:tab w:val="right" w:leader="dot" w:pos="9060"/>
        </w:tabs>
        <w:rPr>
          <w:rFonts w:ascii="Calibri" w:hAnsi="Calibri"/>
          <w:szCs w:val="22"/>
          <w:lang w:val="en-US" w:eastAsia="zh-CN"/>
        </w:rPr>
      </w:pPr>
      <w:r>
        <w:fldChar w:fldCharType="begin"/>
      </w:r>
      <w:r>
        <w:instrText xml:space="preserve"> HYPERLINK \l "_Toc82546092" </w:instrText>
      </w:r>
      <w:r>
        <w:fldChar w:fldCharType="separate"/>
      </w:r>
      <w:r>
        <w:rPr>
          <w:rStyle w:val="26"/>
          <w:rFonts w:eastAsia="黑体"/>
          <w:color w:val="auto"/>
          <w:lang w:val="en-US" w:eastAsia="zh-CN"/>
        </w:rPr>
        <w:t xml:space="preserve">8.5 </w:t>
      </w:r>
      <w:r>
        <w:rPr>
          <w:rStyle w:val="26"/>
          <w:rFonts w:hint="eastAsia" w:eastAsia="黑体"/>
          <w:color w:val="auto"/>
          <w:lang w:val="en-US" w:eastAsia="zh-CN"/>
        </w:rPr>
        <w:t>投资估算与资金来源</w:t>
      </w:r>
      <w:r>
        <w:rPr>
          <w:lang w:val="en-US" w:eastAsia="zh-CN"/>
        </w:rPr>
        <w:tab/>
      </w:r>
      <w:r>
        <w:rPr>
          <w:lang w:val="en-US" w:eastAsia="zh-CN"/>
        </w:rPr>
        <w:fldChar w:fldCharType="begin"/>
      </w:r>
      <w:r>
        <w:rPr>
          <w:lang w:val="en-US" w:eastAsia="zh-CN"/>
        </w:rPr>
        <w:instrText xml:space="preserve"> PAGEREF _Toc82546092 \h </w:instrText>
      </w:r>
      <w:r>
        <w:rPr>
          <w:lang w:val="en-US" w:eastAsia="zh-CN"/>
        </w:rPr>
        <w:fldChar w:fldCharType="separate"/>
      </w:r>
      <w:r>
        <w:rPr>
          <w:lang w:val="en-US" w:eastAsia="zh-CN"/>
        </w:rPr>
        <w:t>75</w:t>
      </w:r>
      <w:r>
        <w:rPr>
          <w:lang w:val="en-US" w:eastAsia="zh-CN"/>
        </w:rPr>
        <w:fldChar w:fldCharType="end"/>
      </w:r>
      <w:r>
        <w:rPr>
          <w:lang w:val="en-US" w:eastAsia="zh-CN"/>
        </w:rPr>
        <w:fldChar w:fldCharType="end"/>
      </w:r>
    </w:p>
    <w:p w14:paraId="2101CBAA">
      <w:pPr>
        <w:pStyle w:val="12"/>
        <w:tabs>
          <w:tab w:val="right" w:leader="dot" w:pos="9060"/>
        </w:tabs>
        <w:rPr>
          <w:rFonts w:ascii="Calibri" w:hAnsi="Calibri"/>
          <w:szCs w:val="22"/>
          <w:lang w:val="en-US" w:eastAsia="zh-CN"/>
        </w:rPr>
      </w:pPr>
      <w:r>
        <w:fldChar w:fldCharType="begin"/>
      </w:r>
      <w:r>
        <w:instrText xml:space="preserve"> HYPERLINK \l "_Toc82546093" </w:instrText>
      </w:r>
      <w:r>
        <w:fldChar w:fldCharType="separate"/>
      </w:r>
      <w:r>
        <w:rPr>
          <w:rStyle w:val="26"/>
          <w:rFonts w:hint="eastAsia" w:ascii="黑体" w:hAnsi="黑体" w:eastAsia="黑体"/>
          <w:color w:val="auto"/>
          <w:lang w:val="en-US" w:eastAsia="zh-CN"/>
        </w:rPr>
        <w:t>第九章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经济林产业规划</w:t>
      </w:r>
      <w:r>
        <w:rPr>
          <w:lang w:val="en-US" w:eastAsia="zh-CN"/>
        </w:rPr>
        <w:tab/>
      </w:r>
      <w:r>
        <w:rPr>
          <w:lang w:val="en-US" w:eastAsia="zh-CN"/>
        </w:rPr>
        <w:fldChar w:fldCharType="begin"/>
      </w:r>
      <w:r>
        <w:rPr>
          <w:lang w:val="en-US" w:eastAsia="zh-CN"/>
        </w:rPr>
        <w:instrText xml:space="preserve"> PAGEREF _Toc82546093 \h </w:instrText>
      </w:r>
      <w:r>
        <w:rPr>
          <w:lang w:val="en-US" w:eastAsia="zh-CN"/>
        </w:rPr>
        <w:fldChar w:fldCharType="separate"/>
      </w:r>
      <w:r>
        <w:rPr>
          <w:lang w:val="en-US" w:eastAsia="zh-CN"/>
        </w:rPr>
        <w:t>77</w:t>
      </w:r>
      <w:r>
        <w:rPr>
          <w:lang w:val="en-US" w:eastAsia="zh-CN"/>
        </w:rPr>
        <w:fldChar w:fldCharType="end"/>
      </w:r>
      <w:r>
        <w:rPr>
          <w:lang w:val="en-US" w:eastAsia="zh-CN"/>
        </w:rPr>
        <w:fldChar w:fldCharType="end"/>
      </w:r>
    </w:p>
    <w:p w14:paraId="5CEEFCF1">
      <w:pPr>
        <w:pStyle w:val="13"/>
        <w:tabs>
          <w:tab w:val="right" w:leader="dot" w:pos="9060"/>
        </w:tabs>
        <w:rPr>
          <w:rFonts w:ascii="Calibri" w:hAnsi="Calibri"/>
          <w:szCs w:val="22"/>
          <w:lang w:val="en-US" w:eastAsia="zh-CN"/>
        </w:rPr>
      </w:pPr>
      <w:r>
        <w:fldChar w:fldCharType="begin"/>
      </w:r>
      <w:r>
        <w:instrText xml:space="preserve"> HYPERLINK \l "_Toc82546094" </w:instrText>
      </w:r>
      <w:r>
        <w:fldChar w:fldCharType="separate"/>
      </w:r>
      <w:r>
        <w:rPr>
          <w:rStyle w:val="26"/>
          <w:rFonts w:eastAsia="黑体"/>
          <w:color w:val="auto"/>
          <w:lang w:val="en-US" w:eastAsia="zh-CN"/>
        </w:rPr>
        <w:t xml:space="preserve">9.1 </w:t>
      </w:r>
      <w:r>
        <w:rPr>
          <w:rStyle w:val="26"/>
          <w:rFonts w:hint="eastAsia" w:eastAsia="黑体"/>
          <w:color w:val="auto"/>
          <w:lang w:val="en-US" w:eastAsia="zh-CN"/>
        </w:rPr>
        <w:t>产业现状</w:t>
      </w:r>
      <w:r>
        <w:rPr>
          <w:lang w:val="en-US" w:eastAsia="zh-CN"/>
        </w:rPr>
        <w:tab/>
      </w:r>
      <w:r>
        <w:rPr>
          <w:lang w:val="en-US" w:eastAsia="zh-CN"/>
        </w:rPr>
        <w:fldChar w:fldCharType="begin"/>
      </w:r>
      <w:r>
        <w:rPr>
          <w:lang w:val="en-US" w:eastAsia="zh-CN"/>
        </w:rPr>
        <w:instrText xml:space="preserve"> PAGEREF _Toc82546094 \h </w:instrText>
      </w:r>
      <w:r>
        <w:rPr>
          <w:lang w:val="en-US" w:eastAsia="zh-CN"/>
        </w:rPr>
        <w:fldChar w:fldCharType="separate"/>
      </w:r>
      <w:r>
        <w:rPr>
          <w:lang w:val="en-US" w:eastAsia="zh-CN"/>
        </w:rPr>
        <w:t>77</w:t>
      </w:r>
      <w:r>
        <w:rPr>
          <w:lang w:val="en-US" w:eastAsia="zh-CN"/>
        </w:rPr>
        <w:fldChar w:fldCharType="end"/>
      </w:r>
      <w:r>
        <w:rPr>
          <w:lang w:val="en-US" w:eastAsia="zh-CN"/>
        </w:rPr>
        <w:fldChar w:fldCharType="end"/>
      </w:r>
    </w:p>
    <w:p w14:paraId="576A8EA1">
      <w:pPr>
        <w:pStyle w:val="13"/>
        <w:tabs>
          <w:tab w:val="right" w:leader="dot" w:pos="9060"/>
        </w:tabs>
        <w:rPr>
          <w:rFonts w:ascii="Calibri" w:hAnsi="Calibri"/>
          <w:szCs w:val="22"/>
          <w:lang w:val="en-US" w:eastAsia="zh-CN"/>
        </w:rPr>
      </w:pPr>
      <w:r>
        <w:fldChar w:fldCharType="begin"/>
      </w:r>
      <w:r>
        <w:instrText xml:space="preserve"> HYPERLINK \l "_Toc82546095" </w:instrText>
      </w:r>
      <w:r>
        <w:fldChar w:fldCharType="separate"/>
      </w:r>
      <w:r>
        <w:rPr>
          <w:rStyle w:val="26"/>
          <w:rFonts w:eastAsia="黑体"/>
          <w:color w:val="auto"/>
          <w:lang w:val="en-US" w:eastAsia="zh-CN"/>
        </w:rPr>
        <w:t xml:space="preserve">9.2 </w:t>
      </w:r>
      <w:r>
        <w:rPr>
          <w:rStyle w:val="26"/>
          <w:rFonts w:hint="eastAsia" w:eastAsia="黑体"/>
          <w:color w:val="auto"/>
          <w:lang w:val="en-US" w:eastAsia="zh-CN"/>
        </w:rPr>
        <w:t>存在的主要问题</w:t>
      </w:r>
      <w:r>
        <w:rPr>
          <w:lang w:val="en-US" w:eastAsia="zh-CN"/>
        </w:rPr>
        <w:tab/>
      </w:r>
      <w:r>
        <w:rPr>
          <w:lang w:val="en-US" w:eastAsia="zh-CN"/>
        </w:rPr>
        <w:fldChar w:fldCharType="begin"/>
      </w:r>
      <w:r>
        <w:rPr>
          <w:lang w:val="en-US" w:eastAsia="zh-CN"/>
        </w:rPr>
        <w:instrText xml:space="preserve"> PAGEREF _Toc82546095 \h </w:instrText>
      </w:r>
      <w:r>
        <w:rPr>
          <w:lang w:val="en-US" w:eastAsia="zh-CN"/>
        </w:rPr>
        <w:fldChar w:fldCharType="separate"/>
      </w:r>
      <w:r>
        <w:rPr>
          <w:lang w:val="en-US" w:eastAsia="zh-CN"/>
        </w:rPr>
        <w:t>81</w:t>
      </w:r>
      <w:r>
        <w:rPr>
          <w:lang w:val="en-US" w:eastAsia="zh-CN"/>
        </w:rPr>
        <w:fldChar w:fldCharType="end"/>
      </w:r>
      <w:r>
        <w:rPr>
          <w:lang w:val="en-US" w:eastAsia="zh-CN"/>
        </w:rPr>
        <w:fldChar w:fldCharType="end"/>
      </w:r>
    </w:p>
    <w:p w14:paraId="2DEE919A">
      <w:pPr>
        <w:pStyle w:val="13"/>
        <w:tabs>
          <w:tab w:val="right" w:leader="dot" w:pos="9060"/>
        </w:tabs>
        <w:rPr>
          <w:rFonts w:ascii="Calibri" w:hAnsi="Calibri"/>
          <w:szCs w:val="22"/>
          <w:lang w:val="en-US" w:eastAsia="zh-CN"/>
        </w:rPr>
      </w:pPr>
      <w:r>
        <w:fldChar w:fldCharType="begin"/>
      </w:r>
      <w:r>
        <w:instrText xml:space="preserve"> HYPERLINK \l "_Toc82546096" </w:instrText>
      </w:r>
      <w:r>
        <w:fldChar w:fldCharType="separate"/>
      </w:r>
      <w:r>
        <w:rPr>
          <w:rStyle w:val="26"/>
          <w:rFonts w:eastAsia="黑体"/>
          <w:color w:val="auto"/>
          <w:lang w:val="en-US" w:eastAsia="zh-CN"/>
        </w:rPr>
        <w:t xml:space="preserve">9.3 </w:t>
      </w:r>
      <w:r>
        <w:rPr>
          <w:rStyle w:val="26"/>
          <w:rFonts w:hint="eastAsia" w:eastAsia="黑体"/>
          <w:color w:val="auto"/>
          <w:lang w:val="en-US" w:eastAsia="zh-CN"/>
        </w:rPr>
        <w:t>总体布局与规划目标</w:t>
      </w:r>
      <w:r>
        <w:rPr>
          <w:lang w:val="en-US" w:eastAsia="zh-CN"/>
        </w:rPr>
        <w:tab/>
      </w:r>
      <w:r>
        <w:rPr>
          <w:lang w:val="en-US" w:eastAsia="zh-CN"/>
        </w:rPr>
        <w:fldChar w:fldCharType="begin"/>
      </w:r>
      <w:r>
        <w:rPr>
          <w:lang w:val="en-US" w:eastAsia="zh-CN"/>
        </w:rPr>
        <w:instrText xml:space="preserve"> PAGEREF _Toc82546096 \h </w:instrText>
      </w:r>
      <w:r>
        <w:rPr>
          <w:lang w:val="en-US" w:eastAsia="zh-CN"/>
        </w:rPr>
        <w:fldChar w:fldCharType="separate"/>
      </w:r>
      <w:r>
        <w:rPr>
          <w:lang w:val="en-US" w:eastAsia="zh-CN"/>
        </w:rPr>
        <w:t>83</w:t>
      </w:r>
      <w:r>
        <w:rPr>
          <w:lang w:val="en-US" w:eastAsia="zh-CN"/>
        </w:rPr>
        <w:fldChar w:fldCharType="end"/>
      </w:r>
      <w:r>
        <w:rPr>
          <w:lang w:val="en-US" w:eastAsia="zh-CN"/>
        </w:rPr>
        <w:fldChar w:fldCharType="end"/>
      </w:r>
    </w:p>
    <w:p w14:paraId="345495FD">
      <w:pPr>
        <w:pStyle w:val="13"/>
        <w:tabs>
          <w:tab w:val="right" w:leader="dot" w:pos="9060"/>
        </w:tabs>
        <w:rPr>
          <w:rFonts w:ascii="Calibri" w:hAnsi="Calibri"/>
          <w:szCs w:val="22"/>
          <w:lang w:val="en-US" w:eastAsia="zh-CN"/>
        </w:rPr>
      </w:pPr>
      <w:r>
        <w:fldChar w:fldCharType="begin"/>
      </w:r>
      <w:r>
        <w:instrText xml:space="preserve"> HYPERLINK \l "_Toc82546097" </w:instrText>
      </w:r>
      <w:r>
        <w:fldChar w:fldCharType="separate"/>
      </w:r>
      <w:r>
        <w:rPr>
          <w:rStyle w:val="26"/>
          <w:rFonts w:eastAsia="黑体"/>
          <w:color w:val="auto"/>
          <w:lang w:val="en-US" w:eastAsia="zh-CN"/>
        </w:rPr>
        <w:t xml:space="preserve">9.4 </w:t>
      </w:r>
      <w:r>
        <w:rPr>
          <w:rStyle w:val="26"/>
          <w:rFonts w:hint="eastAsia" w:eastAsia="黑体"/>
          <w:color w:val="auto"/>
          <w:lang w:val="en-US" w:eastAsia="zh-CN"/>
        </w:rPr>
        <w:t>重点建设工程或内容</w:t>
      </w:r>
      <w:r>
        <w:rPr>
          <w:lang w:val="en-US" w:eastAsia="zh-CN"/>
        </w:rPr>
        <w:tab/>
      </w:r>
      <w:r>
        <w:rPr>
          <w:lang w:val="en-US" w:eastAsia="zh-CN"/>
        </w:rPr>
        <w:fldChar w:fldCharType="begin"/>
      </w:r>
      <w:r>
        <w:rPr>
          <w:lang w:val="en-US" w:eastAsia="zh-CN"/>
        </w:rPr>
        <w:instrText xml:space="preserve"> PAGEREF _Toc82546097 \h </w:instrText>
      </w:r>
      <w:r>
        <w:rPr>
          <w:lang w:val="en-US" w:eastAsia="zh-CN"/>
        </w:rPr>
        <w:fldChar w:fldCharType="separate"/>
      </w:r>
      <w:r>
        <w:rPr>
          <w:lang w:val="en-US" w:eastAsia="zh-CN"/>
        </w:rPr>
        <w:t>84</w:t>
      </w:r>
      <w:r>
        <w:rPr>
          <w:lang w:val="en-US" w:eastAsia="zh-CN"/>
        </w:rPr>
        <w:fldChar w:fldCharType="end"/>
      </w:r>
      <w:r>
        <w:rPr>
          <w:lang w:val="en-US" w:eastAsia="zh-CN"/>
        </w:rPr>
        <w:fldChar w:fldCharType="end"/>
      </w:r>
    </w:p>
    <w:p w14:paraId="2C0AEAF8">
      <w:pPr>
        <w:pStyle w:val="13"/>
        <w:tabs>
          <w:tab w:val="right" w:leader="dot" w:pos="9060"/>
        </w:tabs>
        <w:rPr>
          <w:rFonts w:ascii="Calibri" w:hAnsi="Calibri"/>
          <w:szCs w:val="22"/>
          <w:lang w:val="en-US" w:eastAsia="zh-CN"/>
        </w:rPr>
      </w:pPr>
      <w:r>
        <w:fldChar w:fldCharType="begin"/>
      </w:r>
      <w:r>
        <w:instrText xml:space="preserve"> HYPERLINK \l "_Toc82546098" </w:instrText>
      </w:r>
      <w:r>
        <w:fldChar w:fldCharType="separate"/>
      </w:r>
      <w:r>
        <w:rPr>
          <w:rStyle w:val="26"/>
          <w:rFonts w:eastAsia="黑体"/>
          <w:color w:val="auto"/>
          <w:lang w:val="en-US" w:eastAsia="zh-CN"/>
        </w:rPr>
        <w:t xml:space="preserve">9.5 </w:t>
      </w:r>
      <w:r>
        <w:rPr>
          <w:rStyle w:val="26"/>
          <w:rFonts w:hint="eastAsia" w:eastAsia="黑体"/>
          <w:color w:val="auto"/>
          <w:lang w:val="en-US" w:eastAsia="zh-CN"/>
        </w:rPr>
        <w:t>投资估算与资金来源</w:t>
      </w:r>
      <w:r>
        <w:rPr>
          <w:lang w:val="en-US" w:eastAsia="zh-CN"/>
        </w:rPr>
        <w:tab/>
      </w:r>
      <w:r>
        <w:rPr>
          <w:lang w:val="en-US" w:eastAsia="zh-CN"/>
        </w:rPr>
        <w:fldChar w:fldCharType="begin"/>
      </w:r>
      <w:r>
        <w:rPr>
          <w:lang w:val="en-US" w:eastAsia="zh-CN"/>
        </w:rPr>
        <w:instrText xml:space="preserve"> PAGEREF _Toc82546098 \h </w:instrText>
      </w:r>
      <w:r>
        <w:rPr>
          <w:lang w:val="en-US" w:eastAsia="zh-CN"/>
        </w:rPr>
        <w:fldChar w:fldCharType="separate"/>
      </w:r>
      <w:r>
        <w:rPr>
          <w:lang w:val="en-US" w:eastAsia="zh-CN"/>
        </w:rPr>
        <w:t>90</w:t>
      </w:r>
      <w:r>
        <w:rPr>
          <w:lang w:val="en-US" w:eastAsia="zh-CN"/>
        </w:rPr>
        <w:fldChar w:fldCharType="end"/>
      </w:r>
      <w:r>
        <w:rPr>
          <w:lang w:val="en-US" w:eastAsia="zh-CN"/>
        </w:rPr>
        <w:fldChar w:fldCharType="end"/>
      </w:r>
    </w:p>
    <w:p w14:paraId="39E500B0">
      <w:pPr>
        <w:pStyle w:val="12"/>
        <w:tabs>
          <w:tab w:val="right" w:leader="dot" w:pos="9060"/>
        </w:tabs>
        <w:rPr>
          <w:rFonts w:ascii="Calibri" w:hAnsi="Calibri"/>
          <w:szCs w:val="22"/>
          <w:lang w:val="en-US" w:eastAsia="zh-CN"/>
        </w:rPr>
      </w:pPr>
      <w:r>
        <w:fldChar w:fldCharType="begin"/>
      </w:r>
      <w:r>
        <w:instrText xml:space="preserve"> HYPERLINK \l "_Toc82546099" </w:instrText>
      </w:r>
      <w:r>
        <w:fldChar w:fldCharType="separate"/>
      </w:r>
      <w:r>
        <w:rPr>
          <w:rStyle w:val="26"/>
          <w:rFonts w:hint="eastAsia" w:ascii="黑体" w:hAnsi="黑体" w:eastAsia="黑体"/>
          <w:color w:val="auto"/>
          <w:lang w:val="en-US" w:eastAsia="zh-CN"/>
        </w:rPr>
        <w:t>第十章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林下经济产业规划</w:t>
      </w:r>
      <w:r>
        <w:rPr>
          <w:lang w:val="en-US" w:eastAsia="zh-CN"/>
        </w:rPr>
        <w:tab/>
      </w:r>
      <w:r>
        <w:rPr>
          <w:lang w:val="en-US" w:eastAsia="zh-CN"/>
        </w:rPr>
        <w:fldChar w:fldCharType="begin"/>
      </w:r>
      <w:r>
        <w:rPr>
          <w:lang w:val="en-US" w:eastAsia="zh-CN"/>
        </w:rPr>
        <w:instrText xml:space="preserve"> PAGEREF _Toc82546099 \h </w:instrText>
      </w:r>
      <w:r>
        <w:rPr>
          <w:lang w:val="en-US" w:eastAsia="zh-CN"/>
        </w:rPr>
        <w:fldChar w:fldCharType="separate"/>
      </w:r>
      <w:r>
        <w:rPr>
          <w:lang w:val="en-US" w:eastAsia="zh-CN"/>
        </w:rPr>
        <w:t>93</w:t>
      </w:r>
      <w:r>
        <w:rPr>
          <w:lang w:val="en-US" w:eastAsia="zh-CN"/>
        </w:rPr>
        <w:fldChar w:fldCharType="end"/>
      </w:r>
      <w:r>
        <w:rPr>
          <w:lang w:val="en-US" w:eastAsia="zh-CN"/>
        </w:rPr>
        <w:fldChar w:fldCharType="end"/>
      </w:r>
    </w:p>
    <w:p w14:paraId="21583C8D">
      <w:pPr>
        <w:pStyle w:val="13"/>
        <w:tabs>
          <w:tab w:val="right" w:leader="dot" w:pos="9060"/>
        </w:tabs>
        <w:rPr>
          <w:rFonts w:ascii="Calibri" w:hAnsi="Calibri"/>
          <w:szCs w:val="22"/>
          <w:lang w:val="en-US" w:eastAsia="zh-CN"/>
        </w:rPr>
      </w:pPr>
      <w:r>
        <w:fldChar w:fldCharType="begin"/>
      </w:r>
      <w:r>
        <w:instrText xml:space="preserve"> HYPERLINK \l "_Toc82546100" </w:instrText>
      </w:r>
      <w:r>
        <w:fldChar w:fldCharType="separate"/>
      </w:r>
      <w:r>
        <w:rPr>
          <w:rStyle w:val="26"/>
          <w:rFonts w:eastAsia="黑体"/>
          <w:color w:val="auto"/>
          <w:lang w:val="en-US" w:eastAsia="zh-CN"/>
        </w:rPr>
        <w:t xml:space="preserve">10.1 </w:t>
      </w:r>
      <w:r>
        <w:rPr>
          <w:rStyle w:val="26"/>
          <w:rFonts w:hint="eastAsia" w:eastAsia="黑体"/>
          <w:color w:val="auto"/>
          <w:lang w:val="en-US" w:eastAsia="zh-CN"/>
        </w:rPr>
        <w:t>产业现状</w:t>
      </w:r>
      <w:r>
        <w:rPr>
          <w:lang w:val="en-US" w:eastAsia="zh-CN"/>
        </w:rPr>
        <w:tab/>
      </w:r>
      <w:r>
        <w:rPr>
          <w:lang w:val="en-US" w:eastAsia="zh-CN"/>
        </w:rPr>
        <w:fldChar w:fldCharType="begin"/>
      </w:r>
      <w:r>
        <w:rPr>
          <w:lang w:val="en-US" w:eastAsia="zh-CN"/>
        </w:rPr>
        <w:instrText xml:space="preserve"> PAGEREF _Toc82546100 \h </w:instrText>
      </w:r>
      <w:r>
        <w:rPr>
          <w:lang w:val="en-US" w:eastAsia="zh-CN"/>
        </w:rPr>
        <w:fldChar w:fldCharType="separate"/>
      </w:r>
      <w:r>
        <w:rPr>
          <w:lang w:val="en-US" w:eastAsia="zh-CN"/>
        </w:rPr>
        <w:t>93</w:t>
      </w:r>
      <w:r>
        <w:rPr>
          <w:lang w:val="en-US" w:eastAsia="zh-CN"/>
        </w:rPr>
        <w:fldChar w:fldCharType="end"/>
      </w:r>
      <w:r>
        <w:rPr>
          <w:lang w:val="en-US" w:eastAsia="zh-CN"/>
        </w:rPr>
        <w:fldChar w:fldCharType="end"/>
      </w:r>
    </w:p>
    <w:p w14:paraId="5117B42E">
      <w:pPr>
        <w:pStyle w:val="13"/>
        <w:tabs>
          <w:tab w:val="right" w:leader="dot" w:pos="9060"/>
        </w:tabs>
        <w:rPr>
          <w:rFonts w:ascii="Calibri" w:hAnsi="Calibri"/>
          <w:szCs w:val="22"/>
          <w:lang w:val="en-US" w:eastAsia="zh-CN"/>
        </w:rPr>
      </w:pPr>
      <w:r>
        <w:fldChar w:fldCharType="begin"/>
      </w:r>
      <w:r>
        <w:instrText xml:space="preserve"> HYPERLINK \l "_Toc82546101" </w:instrText>
      </w:r>
      <w:r>
        <w:fldChar w:fldCharType="separate"/>
      </w:r>
      <w:r>
        <w:rPr>
          <w:rStyle w:val="26"/>
          <w:rFonts w:eastAsia="黑体"/>
          <w:color w:val="auto"/>
          <w:lang w:val="en-US" w:eastAsia="zh-CN"/>
        </w:rPr>
        <w:t xml:space="preserve">10.2 </w:t>
      </w:r>
      <w:r>
        <w:rPr>
          <w:rStyle w:val="26"/>
          <w:rFonts w:hint="eastAsia" w:eastAsia="黑体"/>
          <w:color w:val="auto"/>
          <w:lang w:val="en-US" w:eastAsia="zh-CN"/>
        </w:rPr>
        <w:t>存在的主要问题</w:t>
      </w:r>
      <w:r>
        <w:rPr>
          <w:lang w:val="en-US" w:eastAsia="zh-CN"/>
        </w:rPr>
        <w:tab/>
      </w:r>
      <w:r>
        <w:rPr>
          <w:lang w:val="en-US" w:eastAsia="zh-CN"/>
        </w:rPr>
        <w:fldChar w:fldCharType="begin"/>
      </w:r>
      <w:r>
        <w:rPr>
          <w:lang w:val="en-US" w:eastAsia="zh-CN"/>
        </w:rPr>
        <w:instrText xml:space="preserve"> PAGEREF _Toc82546101 \h </w:instrText>
      </w:r>
      <w:r>
        <w:rPr>
          <w:lang w:val="en-US" w:eastAsia="zh-CN"/>
        </w:rPr>
        <w:fldChar w:fldCharType="separate"/>
      </w:r>
      <w:r>
        <w:rPr>
          <w:lang w:val="en-US" w:eastAsia="zh-CN"/>
        </w:rPr>
        <w:t>94</w:t>
      </w:r>
      <w:r>
        <w:rPr>
          <w:lang w:val="en-US" w:eastAsia="zh-CN"/>
        </w:rPr>
        <w:fldChar w:fldCharType="end"/>
      </w:r>
      <w:r>
        <w:rPr>
          <w:lang w:val="en-US" w:eastAsia="zh-CN"/>
        </w:rPr>
        <w:fldChar w:fldCharType="end"/>
      </w:r>
    </w:p>
    <w:p w14:paraId="15682314">
      <w:pPr>
        <w:pStyle w:val="13"/>
        <w:tabs>
          <w:tab w:val="right" w:leader="dot" w:pos="9060"/>
        </w:tabs>
        <w:rPr>
          <w:rFonts w:ascii="Calibri" w:hAnsi="Calibri"/>
          <w:szCs w:val="22"/>
          <w:lang w:val="en-US" w:eastAsia="zh-CN"/>
        </w:rPr>
      </w:pPr>
      <w:r>
        <w:fldChar w:fldCharType="begin"/>
      </w:r>
      <w:r>
        <w:instrText xml:space="preserve"> HYPERLINK \l "_Toc82546102" </w:instrText>
      </w:r>
      <w:r>
        <w:fldChar w:fldCharType="separate"/>
      </w:r>
      <w:r>
        <w:rPr>
          <w:rStyle w:val="26"/>
          <w:rFonts w:eastAsia="黑体"/>
          <w:color w:val="auto"/>
          <w:lang w:val="en-US" w:eastAsia="zh-CN"/>
        </w:rPr>
        <w:t xml:space="preserve">10.3 </w:t>
      </w:r>
      <w:r>
        <w:rPr>
          <w:rStyle w:val="26"/>
          <w:rFonts w:hint="eastAsia" w:eastAsia="黑体"/>
          <w:color w:val="auto"/>
          <w:lang w:val="en-US" w:eastAsia="zh-CN"/>
        </w:rPr>
        <w:t>总体布局与规划目标</w:t>
      </w:r>
      <w:r>
        <w:rPr>
          <w:lang w:val="en-US" w:eastAsia="zh-CN"/>
        </w:rPr>
        <w:tab/>
      </w:r>
      <w:r>
        <w:rPr>
          <w:lang w:val="en-US" w:eastAsia="zh-CN"/>
        </w:rPr>
        <w:fldChar w:fldCharType="begin"/>
      </w:r>
      <w:r>
        <w:rPr>
          <w:lang w:val="en-US" w:eastAsia="zh-CN"/>
        </w:rPr>
        <w:instrText xml:space="preserve"> PAGEREF _Toc82546102 \h </w:instrText>
      </w:r>
      <w:r>
        <w:rPr>
          <w:lang w:val="en-US" w:eastAsia="zh-CN"/>
        </w:rPr>
        <w:fldChar w:fldCharType="separate"/>
      </w:r>
      <w:r>
        <w:rPr>
          <w:lang w:val="en-US" w:eastAsia="zh-CN"/>
        </w:rPr>
        <w:t>95</w:t>
      </w:r>
      <w:r>
        <w:rPr>
          <w:lang w:val="en-US" w:eastAsia="zh-CN"/>
        </w:rPr>
        <w:fldChar w:fldCharType="end"/>
      </w:r>
      <w:r>
        <w:rPr>
          <w:lang w:val="en-US" w:eastAsia="zh-CN"/>
        </w:rPr>
        <w:fldChar w:fldCharType="end"/>
      </w:r>
    </w:p>
    <w:p w14:paraId="57166BFD">
      <w:pPr>
        <w:pStyle w:val="13"/>
        <w:tabs>
          <w:tab w:val="right" w:leader="dot" w:pos="9060"/>
        </w:tabs>
        <w:rPr>
          <w:rFonts w:ascii="Calibri" w:hAnsi="Calibri"/>
          <w:szCs w:val="22"/>
          <w:lang w:val="en-US" w:eastAsia="zh-CN"/>
        </w:rPr>
      </w:pPr>
      <w:r>
        <w:fldChar w:fldCharType="begin"/>
      </w:r>
      <w:r>
        <w:instrText xml:space="preserve"> HYPERLINK \l "_Toc82546103" </w:instrText>
      </w:r>
      <w:r>
        <w:fldChar w:fldCharType="separate"/>
      </w:r>
      <w:r>
        <w:rPr>
          <w:rStyle w:val="26"/>
          <w:rFonts w:eastAsia="黑体"/>
          <w:color w:val="auto"/>
          <w:lang w:val="en-US" w:eastAsia="zh-CN"/>
        </w:rPr>
        <w:t xml:space="preserve">10.4 </w:t>
      </w:r>
      <w:r>
        <w:rPr>
          <w:rStyle w:val="26"/>
          <w:rFonts w:hint="eastAsia" w:eastAsia="黑体"/>
          <w:color w:val="auto"/>
          <w:lang w:val="en-US" w:eastAsia="zh-CN"/>
        </w:rPr>
        <w:t>重点建设项目工程或内容</w:t>
      </w:r>
      <w:r>
        <w:rPr>
          <w:lang w:val="en-US" w:eastAsia="zh-CN"/>
        </w:rPr>
        <w:tab/>
      </w:r>
      <w:r>
        <w:rPr>
          <w:lang w:val="en-US" w:eastAsia="zh-CN"/>
        </w:rPr>
        <w:fldChar w:fldCharType="begin"/>
      </w:r>
      <w:r>
        <w:rPr>
          <w:lang w:val="en-US" w:eastAsia="zh-CN"/>
        </w:rPr>
        <w:instrText xml:space="preserve"> PAGEREF _Toc82546103 \h </w:instrText>
      </w:r>
      <w:r>
        <w:rPr>
          <w:lang w:val="en-US" w:eastAsia="zh-CN"/>
        </w:rPr>
        <w:fldChar w:fldCharType="separate"/>
      </w:r>
      <w:r>
        <w:rPr>
          <w:lang w:val="en-US" w:eastAsia="zh-CN"/>
        </w:rPr>
        <w:t>97</w:t>
      </w:r>
      <w:r>
        <w:rPr>
          <w:lang w:val="en-US" w:eastAsia="zh-CN"/>
        </w:rPr>
        <w:fldChar w:fldCharType="end"/>
      </w:r>
      <w:r>
        <w:rPr>
          <w:lang w:val="en-US" w:eastAsia="zh-CN"/>
        </w:rPr>
        <w:fldChar w:fldCharType="end"/>
      </w:r>
    </w:p>
    <w:p w14:paraId="1239ABD2">
      <w:pPr>
        <w:pStyle w:val="13"/>
        <w:tabs>
          <w:tab w:val="right" w:leader="dot" w:pos="9060"/>
        </w:tabs>
        <w:rPr>
          <w:rFonts w:ascii="Calibri" w:hAnsi="Calibri"/>
          <w:szCs w:val="22"/>
          <w:lang w:val="en-US" w:eastAsia="zh-CN"/>
        </w:rPr>
      </w:pPr>
      <w:r>
        <w:fldChar w:fldCharType="begin"/>
      </w:r>
      <w:r>
        <w:instrText xml:space="preserve"> HYPERLINK \l "_Toc82546104" </w:instrText>
      </w:r>
      <w:r>
        <w:fldChar w:fldCharType="separate"/>
      </w:r>
      <w:r>
        <w:rPr>
          <w:rStyle w:val="26"/>
          <w:rFonts w:eastAsia="黑体"/>
          <w:color w:val="auto"/>
          <w:lang w:val="en-US" w:eastAsia="zh-CN"/>
        </w:rPr>
        <w:t xml:space="preserve">10.5 </w:t>
      </w:r>
      <w:r>
        <w:rPr>
          <w:rStyle w:val="26"/>
          <w:rFonts w:hint="eastAsia" w:eastAsia="黑体"/>
          <w:color w:val="auto"/>
          <w:lang w:val="en-US" w:eastAsia="zh-CN"/>
        </w:rPr>
        <w:t>投资估算与资金来源</w:t>
      </w:r>
      <w:r>
        <w:rPr>
          <w:lang w:val="en-US" w:eastAsia="zh-CN"/>
        </w:rPr>
        <w:tab/>
      </w:r>
      <w:r>
        <w:rPr>
          <w:lang w:val="en-US" w:eastAsia="zh-CN"/>
        </w:rPr>
        <w:fldChar w:fldCharType="begin"/>
      </w:r>
      <w:r>
        <w:rPr>
          <w:lang w:val="en-US" w:eastAsia="zh-CN"/>
        </w:rPr>
        <w:instrText xml:space="preserve"> PAGEREF _Toc82546104 \h </w:instrText>
      </w:r>
      <w:r>
        <w:rPr>
          <w:lang w:val="en-US" w:eastAsia="zh-CN"/>
        </w:rPr>
        <w:fldChar w:fldCharType="separate"/>
      </w:r>
      <w:r>
        <w:rPr>
          <w:lang w:val="en-US" w:eastAsia="zh-CN"/>
        </w:rPr>
        <w:t>100</w:t>
      </w:r>
      <w:r>
        <w:rPr>
          <w:lang w:val="en-US" w:eastAsia="zh-CN"/>
        </w:rPr>
        <w:fldChar w:fldCharType="end"/>
      </w:r>
      <w:r>
        <w:rPr>
          <w:lang w:val="en-US" w:eastAsia="zh-CN"/>
        </w:rPr>
        <w:fldChar w:fldCharType="end"/>
      </w:r>
    </w:p>
    <w:p w14:paraId="498141C6">
      <w:pPr>
        <w:pStyle w:val="12"/>
        <w:tabs>
          <w:tab w:val="right" w:leader="dot" w:pos="9060"/>
        </w:tabs>
        <w:rPr>
          <w:rFonts w:ascii="Calibri" w:hAnsi="Calibri"/>
          <w:szCs w:val="22"/>
          <w:lang w:val="en-US" w:eastAsia="zh-CN"/>
        </w:rPr>
      </w:pPr>
      <w:r>
        <w:fldChar w:fldCharType="begin"/>
      </w:r>
      <w:r>
        <w:instrText xml:space="preserve"> HYPERLINK \l "_Toc82546105" </w:instrText>
      </w:r>
      <w:r>
        <w:fldChar w:fldCharType="separate"/>
      </w:r>
      <w:r>
        <w:rPr>
          <w:rStyle w:val="26"/>
          <w:rFonts w:hint="eastAsia" w:ascii="黑体" w:hAnsi="黑体" w:eastAsia="黑体"/>
          <w:color w:val="auto"/>
          <w:lang w:val="en-US" w:eastAsia="zh-CN"/>
        </w:rPr>
        <w:t>第十一章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生态保护与修复产业规划</w:t>
      </w:r>
      <w:r>
        <w:rPr>
          <w:lang w:val="en-US" w:eastAsia="zh-CN"/>
        </w:rPr>
        <w:tab/>
      </w:r>
      <w:r>
        <w:rPr>
          <w:lang w:val="en-US" w:eastAsia="zh-CN"/>
        </w:rPr>
        <w:fldChar w:fldCharType="begin"/>
      </w:r>
      <w:r>
        <w:rPr>
          <w:lang w:val="en-US" w:eastAsia="zh-CN"/>
        </w:rPr>
        <w:instrText xml:space="preserve"> PAGEREF _Toc82546105 \h </w:instrText>
      </w:r>
      <w:r>
        <w:rPr>
          <w:lang w:val="en-US" w:eastAsia="zh-CN"/>
        </w:rPr>
        <w:fldChar w:fldCharType="separate"/>
      </w:r>
      <w:r>
        <w:rPr>
          <w:lang w:val="en-US" w:eastAsia="zh-CN"/>
        </w:rPr>
        <w:t>102</w:t>
      </w:r>
      <w:r>
        <w:rPr>
          <w:lang w:val="en-US" w:eastAsia="zh-CN"/>
        </w:rPr>
        <w:fldChar w:fldCharType="end"/>
      </w:r>
      <w:r>
        <w:rPr>
          <w:lang w:val="en-US" w:eastAsia="zh-CN"/>
        </w:rPr>
        <w:fldChar w:fldCharType="end"/>
      </w:r>
    </w:p>
    <w:p w14:paraId="7EC52264">
      <w:pPr>
        <w:pStyle w:val="13"/>
        <w:tabs>
          <w:tab w:val="right" w:leader="dot" w:pos="9060"/>
        </w:tabs>
        <w:rPr>
          <w:rFonts w:ascii="Calibri" w:hAnsi="Calibri"/>
          <w:szCs w:val="22"/>
          <w:lang w:val="en-US" w:eastAsia="zh-CN"/>
        </w:rPr>
      </w:pPr>
      <w:r>
        <w:fldChar w:fldCharType="begin"/>
      </w:r>
      <w:r>
        <w:instrText xml:space="preserve"> HYPERLINK \l "_Toc82546106" </w:instrText>
      </w:r>
      <w:r>
        <w:fldChar w:fldCharType="separate"/>
      </w:r>
      <w:r>
        <w:rPr>
          <w:rStyle w:val="26"/>
          <w:rFonts w:eastAsia="黑体"/>
          <w:color w:val="auto"/>
          <w:lang w:val="en-US" w:eastAsia="zh-CN"/>
        </w:rPr>
        <w:t xml:space="preserve">11.1 </w:t>
      </w:r>
      <w:r>
        <w:rPr>
          <w:rStyle w:val="26"/>
          <w:rFonts w:hint="eastAsia" w:eastAsia="黑体"/>
          <w:color w:val="auto"/>
          <w:lang w:val="en-US" w:eastAsia="zh-CN"/>
        </w:rPr>
        <w:t>产业现状</w:t>
      </w:r>
      <w:r>
        <w:rPr>
          <w:lang w:val="en-US" w:eastAsia="zh-CN"/>
        </w:rPr>
        <w:tab/>
      </w:r>
      <w:r>
        <w:rPr>
          <w:lang w:val="en-US" w:eastAsia="zh-CN"/>
        </w:rPr>
        <w:fldChar w:fldCharType="begin"/>
      </w:r>
      <w:r>
        <w:rPr>
          <w:lang w:val="en-US" w:eastAsia="zh-CN"/>
        </w:rPr>
        <w:instrText xml:space="preserve"> PAGEREF _Toc82546106 \h </w:instrText>
      </w:r>
      <w:r>
        <w:rPr>
          <w:lang w:val="en-US" w:eastAsia="zh-CN"/>
        </w:rPr>
        <w:fldChar w:fldCharType="separate"/>
      </w:r>
      <w:r>
        <w:rPr>
          <w:lang w:val="en-US" w:eastAsia="zh-CN"/>
        </w:rPr>
        <w:t>102</w:t>
      </w:r>
      <w:r>
        <w:rPr>
          <w:lang w:val="en-US" w:eastAsia="zh-CN"/>
        </w:rPr>
        <w:fldChar w:fldCharType="end"/>
      </w:r>
      <w:r>
        <w:rPr>
          <w:lang w:val="en-US" w:eastAsia="zh-CN"/>
        </w:rPr>
        <w:fldChar w:fldCharType="end"/>
      </w:r>
    </w:p>
    <w:p w14:paraId="6BC551E2">
      <w:pPr>
        <w:pStyle w:val="13"/>
        <w:tabs>
          <w:tab w:val="right" w:leader="dot" w:pos="9060"/>
        </w:tabs>
        <w:rPr>
          <w:rFonts w:ascii="Calibri" w:hAnsi="Calibri"/>
          <w:szCs w:val="22"/>
          <w:lang w:val="en-US" w:eastAsia="zh-CN"/>
        </w:rPr>
      </w:pPr>
      <w:r>
        <w:fldChar w:fldCharType="begin"/>
      </w:r>
      <w:r>
        <w:instrText xml:space="preserve"> HYPERLINK \l "_Toc82546107" </w:instrText>
      </w:r>
      <w:r>
        <w:fldChar w:fldCharType="separate"/>
      </w:r>
      <w:r>
        <w:rPr>
          <w:rStyle w:val="26"/>
          <w:rFonts w:eastAsia="黑体"/>
          <w:color w:val="auto"/>
          <w:lang w:val="en-US" w:eastAsia="zh-CN"/>
        </w:rPr>
        <w:t xml:space="preserve">11.2 </w:t>
      </w:r>
      <w:r>
        <w:rPr>
          <w:rStyle w:val="26"/>
          <w:rFonts w:hint="eastAsia" w:eastAsia="黑体"/>
          <w:color w:val="auto"/>
          <w:lang w:val="en-US" w:eastAsia="zh-CN"/>
        </w:rPr>
        <w:t>存在的主要问题</w:t>
      </w:r>
      <w:r>
        <w:rPr>
          <w:lang w:val="en-US" w:eastAsia="zh-CN"/>
        </w:rPr>
        <w:tab/>
      </w:r>
      <w:r>
        <w:rPr>
          <w:lang w:val="en-US" w:eastAsia="zh-CN"/>
        </w:rPr>
        <w:fldChar w:fldCharType="begin"/>
      </w:r>
      <w:r>
        <w:rPr>
          <w:lang w:val="en-US" w:eastAsia="zh-CN"/>
        </w:rPr>
        <w:instrText xml:space="preserve"> PAGEREF _Toc82546107 \h </w:instrText>
      </w:r>
      <w:r>
        <w:rPr>
          <w:lang w:val="en-US" w:eastAsia="zh-CN"/>
        </w:rPr>
        <w:fldChar w:fldCharType="separate"/>
      </w:r>
      <w:r>
        <w:rPr>
          <w:lang w:val="en-US" w:eastAsia="zh-CN"/>
        </w:rPr>
        <w:t>102</w:t>
      </w:r>
      <w:r>
        <w:rPr>
          <w:lang w:val="en-US" w:eastAsia="zh-CN"/>
        </w:rPr>
        <w:fldChar w:fldCharType="end"/>
      </w:r>
      <w:r>
        <w:rPr>
          <w:lang w:val="en-US" w:eastAsia="zh-CN"/>
        </w:rPr>
        <w:fldChar w:fldCharType="end"/>
      </w:r>
    </w:p>
    <w:p w14:paraId="0BE3392D">
      <w:pPr>
        <w:pStyle w:val="13"/>
        <w:tabs>
          <w:tab w:val="right" w:leader="dot" w:pos="9060"/>
        </w:tabs>
        <w:rPr>
          <w:rFonts w:ascii="Calibri" w:hAnsi="Calibri"/>
          <w:szCs w:val="22"/>
          <w:lang w:val="en-US" w:eastAsia="zh-CN"/>
        </w:rPr>
      </w:pPr>
      <w:r>
        <w:fldChar w:fldCharType="begin"/>
      </w:r>
      <w:r>
        <w:instrText xml:space="preserve"> HYPERLINK \l "_Toc82546108" </w:instrText>
      </w:r>
      <w:r>
        <w:fldChar w:fldCharType="separate"/>
      </w:r>
      <w:r>
        <w:rPr>
          <w:rStyle w:val="26"/>
          <w:rFonts w:eastAsia="黑体"/>
          <w:color w:val="auto"/>
          <w:lang w:val="en-US" w:eastAsia="zh-CN"/>
        </w:rPr>
        <w:t xml:space="preserve">11.3 </w:t>
      </w:r>
      <w:r>
        <w:rPr>
          <w:rStyle w:val="26"/>
          <w:rFonts w:hint="eastAsia" w:eastAsia="黑体"/>
          <w:color w:val="auto"/>
          <w:lang w:val="en-US" w:eastAsia="zh-CN"/>
        </w:rPr>
        <w:t>总体布局与规划目标</w:t>
      </w:r>
      <w:r>
        <w:rPr>
          <w:lang w:val="en-US" w:eastAsia="zh-CN"/>
        </w:rPr>
        <w:tab/>
      </w:r>
      <w:r>
        <w:rPr>
          <w:lang w:val="en-US" w:eastAsia="zh-CN"/>
        </w:rPr>
        <w:fldChar w:fldCharType="begin"/>
      </w:r>
      <w:r>
        <w:rPr>
          <w:lang w:val="en-US" w:eastAsia="zh-CN"/>
        </w:rPr>
        <w:instrText xml:space="preserve"> PAGEREF _Toc82546108 \h </w:instrText>
      </w:r>
      <w:r>
        <w:rPr>
          <w:lang w:val="en-US" w:eastAsia="zh-CN"/>
        </w:rPr>
        <w:fldChar w:fldCharType="separate"/>
      </w:r>
      <w:r>
        <w:rPr>
          <w:lang w:val="en-US" w:eastAsia="zh-CN"/>
        </w:rPr>
        <w:t>103</w:t>
      </w:r>
      <w:r>
        <w:rPr>
          <w:lang w:val="en-US" w:eastAsia="zh-CN"/>
        </w:rPr>
        <w:fldChar w:fldCharType="end"/>
      </w:r>
      <w:r>
        <w:rPr>
          <w:lang w:val="en-US" w:eastAsia="zh-CN"/>
        </w:rPr>
        <w:fldChar w:fldCharType="end"/>
      </w:r>
    </w:p>
    <w:p w14:paraId="27152062">
      <w:pPr>
        <w:pStyle w:val="13"/>
        <w:tabs>
          <w:tab w:val="right" w:leader="dot" w:pos="9060"/>
        </w:tabs>
        <w:rPr>
          <w:rFonts w:ascii="Calibri" w:hAnsi="Calibri"/>
          <w:szCs w:val="22"/>
          <w:lang w:val="en-US" w:eastAsia="zh-CN"/>
        </w:rPr>
      </w:pPr>
      <w:r>
        <w:fldChar w:fldCharType="begin"/>
      </w:r>
      <w:r>
        <w:instrText xml:space="preserve"> HYPERLINK \l "_Toc82546109" </w:instrText>
      </w:r>
      <w:r>
        <w:fldChar w:fldCharType="separate"/>
      </w:r>
      <w:r>
        <w:rPr>
          <w:rStyle w:val="26"/>
          <w:rFonts w:eastAsia="黑体"/>
          <w:color w:val="auto"/>
          <w:lang w:val="en-US" w:eastAsia="zh-CN"/>
        </w:rPr>
        <w:t xml:space="preserve">11.4 </w:t>
      </w:r>
      <w:r>
        <w:rPr>
          <w:rStyle w:val="26"/>
          <w:rFonts w:hint="eastAsia" w:eastAsia="黑体"/>
          <w:color w:val="auto"/>
          <w:lang w:val="en-US" w:eastAsia="zh-CN"/>
        </w:rPr>
        <w:t>重点建设工程或内容</w:t>
      </w:r>
      <w:r>
        <w:rPr>
          <w:lang w:val="en-US" w:eastAsia="zh-CN"/>
        </w:rPr>
        <w:tab/>
      </w:r>
      <w:r>
        <w:rPr>
          <w:lang w:val="en-US" w:eastAsia="zh-CN"/>
        </w:rPr>
        <w:fldChar w:fldCharType="begin"/>
      </w:r>
      <w:r>
        <w:rPr>
          <w:lang w:val="en-US" w:eastAsia="zh-CN"/>
        </w:rPr>
        <w:instrText xml:space="preserve"> PAGEREF _Toc82546109 \h </w:instrText>
      </w:r>
      <w:r>
        <w:rPr>
          <w:lang w:val="en-US" w:eastAsia="zh-CN"/>
        </w:rPr>
        <w:fldChar w:fldCharType="separate"/>
      </w:r>
      <w:r>
        <w:rPr>
          <w:lang w:val="en-US" w:eastAsia="zh-CN"/>
        </w:rPr>
        <w:t>105</w:t>
      </w:r>
      <w:r>
        <w:rPr>
          <w:lang w:val="en-US" w:eastAsia="zh-CN"/>
        </w:rPr>
        <w:fldChar w:fldCharType="end"/>
      </w:r>
      <w:r>
        <w:rPr>
          <w:lang w:val="en-US" w:eastAsia="zh-CN"/>
        </w:rPr>
        <w:fldChar w:fldCharType="end"/>
      </w:r>
    </w:p>
    <w:p w14:paraId="70880972">
      <w:pPr>
        <w:pStyle w:val="13"/>
        <w:tabs>
          <w:tab w:val="right" w:leader="dot" w:pos="9060"/>
        </w:tabs>
        <w:rPr>
          <w:rFonts w:ascii="Calibri" w:hAnsi="Calibri"/>
          <w:szCs w:val="22"/>
          <w:lang w:val="en-US" w:eastAsia="zh-CN"/>
        </w:rPr>
      </w:pPr>
      <w:r>
        <w:fldChar w:fldCharType="begin"/>
      </w:r>
      <w:r>
        <w:instrText xml:space="preserve"> HYPERLINK \l "_Toc82546110" </w:instrText>
      </w:r>
      <w:r>
        <w:fldChar w:fldCharType="separate"/>
      </w:r>
      <w:r>
        <w:rPr>
          <w:rStyle w:val="26"/>
          <w:rFonts w:eastAsia="黑体"/>
          <w:color w:val="auto"/>
          <w:lang w:val="en-US" w:eastAsia="zh-CN"/>
        </w:rPr>
        <w:t xml:space="preserve">11.5 </w:t>
      </w:r>
      <w:r>
        <w:rPr>
          <w:rStyle w:val="26"/>
          <w:rFonts w:hint="eastAsia" w:eastAsia="黑体"/>
          <w:color w:val="auto"/>
          <w:lang w:val="en-US" w:eastAsia="zh-CN"/>
        </w:rPr>
        <w:t>投资估算与资金来源</w:t>
      </w:r>
      <w:r>
        <w:rPr>
          <w:lang w:val="en-US" w:eastAsia="zh-CN"/>
        </w:rPr>
        <w:tab/>
      </w:r>
      <w:r>
        <w:rPr>
          <w:lang w:val="en-US" w:eastAsia="zh-CN"/>
        </w:rPr>
        <w:fldChar w:fldCharType="begin"/>
      </w:r>
      <w:r>
        <w:rPr>
          <w:lang w:val="en-US" w:eastAsia="zh-CN"/>
        </w:rPr>
        <w:instrText xml:space="preserve"> PAGEREF _Toc82546110 \h </w:instrText>
      </w:r>
      <w:r>
        <w:rPr>
          <w:lang w:val="en-US" w:eastAsia="zh-CN"/>
        </w:rPr>
        <w:fldChar w:fldCharType="separate"/>
      </w:r>
      <w:r>
        <w:rPr>
          <w:lang w:val="en-US" w:eastAsia="zh-CN"/>
        </w:rPr>
        <w:t>110</w:t>
      </w:r>
      <w:r>
        <w:rPr>
          <w:lang w:val="en-US" w:eastAsia="zh-CN"/>
        </w:rPr>
        <w:fldChar w:fldCharType="end"/>
      </w:r>
      <w:r>
        <w:rPr>
          <w:lang w:val="en-US" w:eastAsia="zh-CN"/>
        </w:rPr>
        <w:fldChar w:fldCharType="end"/>
      </w:r>
    </w:p>
    <w:p w14:paraId="2DDF3CF2">
      <w:pPr>
        <w:pStyle w:val="12"/>
        <w:tabs>
          <w:tab w:val="right" w:leader="dot" w:pos="9060"/>
        </w:tabs>
        <w:rPr>
          <w:rFonts w:ascii="Calibri" w:hAnsi="Calibri"/>
          <w:szCs w:val="22"/>
          <w:lang w:val="en-US" w:eastAsia="zh-CN"/>
        </w:rPr>
      </w:pPr>
      <w:r>
        <w:fldChar w:fldCharType="begin"/>
      </w:r>
      <w:r>
        <w:instrText xml:space="preserve"> HYPERLINK \l "_Toc82546111" </w:instrText>
      </w:r>
      <w:r>
        <w:fldChar w:fldCharType="separate"/>
      </w:r>
      <w:r>
        <w:rPr>
          <w:rStyle w:val="26"/>
          <w:rFonts w:hint="eastAsia" w:ascii="黑体" w:hAnsi="黑体" w:eastAsia="黑体"/>
          <w:color w:val="auto"/>
          <w:lang w:val="en-US" w:eastAsia="zh-CN"/>
        </w:rPr>
        <w:t>第十二章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投资估算与资金筹措</w:t>
      </w:r>
      <w:r>
        <w:rPr>
          <w:lang w:val="en-US" w:eastAsia="zh-CN"/>
        </w:rPr>
        <w:tab/>
      </w:r>
      <w:r>
        <w:rPr>
          <w:lang w:val="en-US" w:eastAsia="zh-CN"/>
        </w:rPr>
        <w:fldChar w:fldCharType="begin"/>
      </w:r>
      <w:r>
        <w:rPr>
          <w:lang w:val="en-US" w:eastAsia="zh-CN"/>
        </w:rPr>
        <w:instrText xml:space="preserve"> PAGEREF _Toc82546111 \h </w:instrText>
      </w:r>
      <w:r>
        <w:rPr>
          <w:lang w:val="en-US" w:eastAsia="zh-CN"/>
        </w:rPr>
        <w:fldChar w:fldCharType="separate"/>
      </w:r>
      <w:r>
        <w:rPr>
          <w:lang w:val="en-US" w:eastAsia="zh-CN"/>
        </w:rPr>
        <w:t>112</w:t>
      </w:r>
      <w:r>
        <w:rPr>
          <w:lang w:val="en-US" w:eastAsia="zh-CN"/>
        </w:rPr>
        <w:fldChar w:fldCharType="end"/>
      </w:r>
      <w:r>
        <w:rPr>
          <w:lang w:val="en-US" w:eastAsia="zh-CN"/>
        </w:rPr>
        <w:fldChar w:fldCharType="end"/>
      </w:r>
    </w:p>
    <w:p w14:paraId="6831E45B">
      <w:pPr>
        <w:pStyle w:val="13"/>
        <w:tabs>
          <w:tab w:val="right" w:leader="dot" w:pos="9060"/>
        </w:tabs>
        <w:rPr>
          <w:rFonts w:ascii="Calibri" w:hAnsi="Calibri"/>
          <w:szCs w:val="22"/>
          <w:lang w:val="en-US" w:eastAsia="zh-CN"/>
        </w:rPr>
      </w:pPr>
      <w:r>
        <w:fldChar w:fldCharType="begin"/>
      </w:r>
      <w:r>
        <w:instrText xml:space="preserve"> HYPERLINK \l "_Toc82546112" </w:instrText>
      </w:r>
      <w:r>
        <w:fldChar w:fldCharType="separate"/>
      </w:r>
      <w:r>
        <w:rPr>
          <w:rStyle w:val="26"/>
          <w:rFonts w:eastAsia="黑体"/>
          <w:color w:val="auto"/>
          <w:lang w:val="en-US" w:eastAsia="zh-CN"/>
        </w:rPr>
        <w:t xml:space="preserve">12.1 </w:t>
      </w:r>
      <w:r>
        <w:rPr>
          <w:rStyle w:val="26"/>
          <w:rFonts w:hint="eastAsia" w:eastAsia="黑体"/>
          <w:color w:val="auto"/>
          <w:lang w:val="en-US" w:eastAsia="zh-CN"/>
        </w:rPr>
        <w:t>估算范围</w:t>
      </w:r>
      <w:r>
        <w:rPr>
          <w:lang w:val="en-US" w:eastAsia="zh-CN"/>
        </w:rPr>
        <w:tab/>
      </w:r>
      <w:r>
        <w:rPr>
          <w:lang w:val="en-US" w:eastAsia="zh-CN"/>
        </w:rPr>
        <w:fldChar w:fldCharType="begin"/>
      </w:r>
      <w:r>
        <w:rPr>
          <w:lang w:val="en-US" w:eastAsia="zh-CN"/>
        </w:rPr>
        <w:instrText xml:space="preserve"> PAGEREF _Toc82546112 \h </w:instrText>
      </w:r>
      <w:r>
        <w:rPr>
          <w:lang w:val="en-US" w:eastAsia="zh-CN"/>
        </w:rPr>
        <w:fldChar w:fldCharType="separate"/>
      </w:r>
      <w:r>
        <w:rPr>
          <w:lang w:val="en-US" w:eastAsia="zh-CN"/>
        </w:rPr>
        <w:t>112</w:t>
      </w:r>
      <w:r>
        <w:rPr>
          <w:lang w:val="en-US" w:eastAsia="zh-CN"/>
        </w:rPr>
        <w:fldChar w:fldCharType="end"/>
      </w:r>
      <w:r>
        <w:rPr>
          <w:lang w:val="en-US" w:eastAsia="zh-CN"/>
        </w:rPr>
        <w:fldChar w:fldCharType="end"/>
      </w:r>
    </w:p>
    <w:p w14:paraId="5D126C18">
      <w:pPr>
        <w:pStyle w:val="13"/>
        <w:tabs>
          <w:tab w:val="right" w:leader="dot" w:pos="9060"/>
        </w:tabs>
        <w:rPr>
          <w:rFonts w:ascii="Calibri" w:hAnsi="Calibri"/>
          <w:szCs w:val="22"/>
          <w:lang w:val="en-US" w:eastAsia="zh-CN"/>
        </w:rPr>
      </w:pPr>
      <w:r>
        <w:fldChar w:fldCharType="begin"/>
      </w:r>
      <w:r>
        <w:instrText xml:space="preserve"> HYPERLINK \l "_Toc82546113" </w:instrText>
      </w:r>
      <w:r>
        <w:fldChar w:fldCharType="separate"/>
      </w:r>
      <w:r>
        <w:rPr>
          <w:rStyle w:val="26"/>
          <w:rFonts w:eastAsia="黑体"/>
          <w:color w:val="auto"/>
          <w:lang w:val="en-US" w:eastAsia="zh-CN"/>
        </w:rPr>
        <w:t xml:space="preserve">12.2 </w:t>
      </w:r>
      <w:r>
        <w:rPr>
          <w:rStyle w:val="26"/>
          <w:rFonts w:hint="eastAsia" w:eastAsia="黑体"/>
          <w:color w:val="auto"/>
          <w:lang w:val="en-US" w:eastAsia="zh-CN"/>
        </w:rPr>
        <w:t>估算依据</w:t>
      </w:r>
      <w:r>
        <w:rPr>
          <w:lang w:val="en-US" w:eastAsia="zh-CN"/>
        </w:rPr>
        <w:tab/>
      </w:r>
      <w:r>
        <w:rPr>
          <w:lang w:val="en-US" w:eastAsia="zh-CN"/>
        </w:rPr>
        <w:fldChar w:fldCharType="begin"/>
      </w:r>
      <w:r>
        <w:rPr>
          <w:lang w:val="en-US" w:eastAsia="zh-CN"/>
        </w:rPr>
        <w:instrText xml:space="preserve"> PAGEREF _Toc82546113 \h </w:instrText>
      </w:r>
      <w:r>
        <w:rPr>
          <w:lang w:val="en-US" w:eastAsia="zh-CN"/>
        </w:rPr>
        <w:fldChar w:fldCharType="separate"/>
      </w:r>
      <w:r>
        <w:rPr>
          <w:lang w:val="en-US" w:eastAsia="zh-CN"/>
        </w:rPr>
        <w:t>112</w:t>
      </w:r>
      <w:r>
        <w:rPr>
          <w:lang w:val="en-US" w:eastAsia="zh-CN"/>
        </w:rPr>
        <w:fldChar w:fldCharType="end"/>
      </w:r>
      <w:r>
        <w:rPr>
          <w:lang w:val="en-US" w:eastAsia="zh-CN"/>
        </w:rPr>
        <w:fldChar w:fldCharType="end"/>
      </w:r>
    </w:p>
    <w:p w14:paraId="26C9CA48">
      <w:pPr>
        <w:pStyle w:val="13"/>
        <w:tabs>
          <w:tab w:val="right" w:leader="dot" w:pos="9060"/>
        </w:tabs>
        <w:rPr>
          <w:rFonts w:ascii="Calibri" w:hAnsi="Calibri"/>
          <w:szCs w:val="22"/>
          <w:lang w:val="en-US" w:eastAsia="zh-CN"/>
        </w:rPr>
      </w:pPr>
      <w:r>
        <w:fldChar w:fldCharType="begin"/>
      </w:r>
      <w:r>
        <w:instrText xml:space="preserve"> HYPERLINK \l "_Toc82546114" </w:instrText>
      </w:r>
      <w:r>
        <w:fldChar w:fldCharType="separate"/>
      </w:r>
      <w:r>
        <w:rPr>
          <w:rStyle w:val="26"/>
          <w:rFonts w:eastAsia="黑体"/>
          <w:color w:val="auto"/>
          <w:lang w:val="en-US" w:eastAsia="zh-CN"/>
        </w:rPr>
        <w:t xml:space="preserve">12.3 </w:t>
      </w:r>
      <w:r>
        <w:rPr>
          <w:rStyle w:val="26"/>
          <w:rFonts w:hint="eastAsia" w:eastAsia="黑体"/>
          <w:color w:val="auto"/>
          <w:lang w:val="en-US" w:eastAsia="zh-CN"/>
        </w:rPr>
        <w:t>估算结果</w:t>
      </w:r>
      <w:r>
        <w:rPr>
          <w:lang w:val="en-US" w:eastAsia="zh-CN"/>
        </w:rPr>
        <w:tab/>
      </w:r>
      <w:r>
        <w:rPr>
          <w:lang w:val="en-US" w:eastAsia="zh-CN"/>
        </w:rPr>
        <w:fldChar w:fldCharType="begin"/>
      </w:r>
      <w:r>
        <w:rPr>
          <w:lang w:val="en-US" w:eastAsia="zh-CN"/>
        </w:rPr>
        <w:instrText xml:space="preserve"> PAGEREF _Toc82546114 \h </w:instrText>
      </w:r>
      <w:r>
        <w:rPr>
          <w:lang w:val="en-US" w:eastAsia="zh-CN"/>
        </w:rPr>
        <w:fldChar w:fldCharType="separate"/>
      </w:r>
      <w:r>
        <w:rPr>
          <w:lang w:val="en-US" w:eastAsia="zh-CN"/>
        </w:rPr>
        <w:t>112</w:t>
      </w:r>
      <w:r>
        <w:rPr>
          <w:lang w:val="en-US" w:eastAsia="zh-CN"/>
        </w:rPr>
        <w:fldChar w:fldCharType="end"/>
      </w:r>
      <w:r>
        <w:rPr>
          <w:lang w:val="en-US" w:eastAsia="zh-CN"/>
        </w:rPr>
        <w:fldChar w:fldCharType="end"/>
      </w:r>
    </w:p>
    <w:p w14:paraId="266205C6">
      <w:pPr>
        <w:pStyle w:val="13"/>
        <w:tabs>
          <w:tab w:val="right" w:leader="dot" w:pos="9060"/>
        </w:tabs>
        <w:rPr>
          <w:rFonts w:ascii="Calibri" w:hAnsi="Calibri"/>
          <w:szCs w:val="22"/>
          <w:lang w:val="en-US" w:eastAsia="zh-CN"/>
        </w:rPr>
      </w:pPr>
      <w:r>
        <w:fldChar w:fldCharType="begin"/>
      </w:r>
      <w:r>
        <w:instrText xml:space="preserve"> HYPERLINK \l "_Toc82546115" </w:instrText>
      </w:r>
      <w:r>
        <w:fldChar w:fldCharType="separate"/>
      </w:r>
      <w:r>
        <w:rPr>
          <w:rStyle w:val="26"/>
          <w:rFonts w:eastAsia="黑体"/>
          <w:color w:val="auto"/>
          <w:lang w:val="en-US" w:eastAsia="zh-CN"/>
        </w:rPr>
        <w:t xml:space="preserve">12.4 </w:t>
      </w:r>
      <w:r>
        <w:rPr>
          <w:rStyle w:val="26"/>
          <w:rFonts w:hint="eastAsia" w:eastAsia="黑体"/>
          <w:color w:val="auto"/>
          <w:lang w:val="en-US" w:eastAsia="zh-CN"/>
        </w:rPr>
        <w:t>资金筹措</w:t>
      </w:r>
      <w:r>
        <w:rPr>
          <w:lang w:val="en-US" w:eastAsia="zh-CN"/>
        </w:rPr>
        <w:tab/>
      </w:r>
      <w:r>
        <w:rPr>
          <w:lang w:val="en-US" w:eastAsia="zh-CN"/>
        </w:rPr>
        <w:fldChar w:fldCharType="begin"/>
      </w:r>
      <w:r>
        <w:rPr>
          <w:lang w:val="en-US" w:eastAsia="zh-CN"/>
        </w:rPr>
        <w:instrText xml:space="preserve"> PAGEREF _Toc82546115 \h </w:instrText>
      </w:r>
      <w:r>
        <w:rPr>
          <w:lang w:val="en-US" w:eastAsia="zh-CN"/>
        </w:rPr>
        <w:fldChar w:fldCharType="separate"/>
      </w:r>
      <w:r>
        <w:rPr>
          <w:lang w:val="en-US" w:eastAsia="zh-CN"/>
        </w:rPr>
        <w:t>113</w:t>
      </w:r>
      <w:r>
        <w:rPr>
          <w:lang w:val="en-US" w:eastAsia="zh-CN"/>
        </w:rPr>
        <w:fldChar w:fldCharType="end"/>
      </w:r>
      <w:r>
        <w:rPr>
          <w:lang w:val="en-US" w:eastAsia="zh-CN"/>
        </w:rPr>
        <w:fldChar w:fldCharType="end"/>
      </w:r>
    </w:p>
    <w:p w14:paraId="198439B3">
      <w:pPr>
        <w:pStyle w:val="12"/>
        <w:tabs>
          <w:tab w:val="right" w:leader="dot" w:pos="9060"/>
        </w:tabs>
        <w:rPr>
          <w:rFonts w:ascii="Calibri" w:hAnsi="Calibri"/>
          <w:szCs w:val="22"/>
          <w:lang w:val="en-US" w:eastAsia="zh-CN"/>
        </w:rPr>
      </w:pPr>
      <w:r>
        <w:fldChar w:fldCharType="begin"/>
      </w:r>
      <w:r>
        <w:instrText xml:space="preserve"> HYPERLINK \l "_Toc82546116" </w:instrText>
      </w:r>
      <w:r>
        <w:fldChar w:fldCharType="separate"/>
      </w:r>
      <w:r>
        <w:rPr>
          <w:rStyle w:val="26"/>
          <w:rFonts w:hint="eastAsia" w:ascii="黑体" w:hAnsi="黑体" w:eastAsia="黑体"/>
          <w:color w:val="auto"/>
          <w:lang w:val="en-US" w:eastAsia="zh-CN"/>
        </w:rPr>
        <w:t>第十三章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保障措施</w:t>
      </w:r>
      <w:r>
        <w:rPr>
          <w:lang w:val="en-US" w:eastAsia="zh-CN"/>
        </w:rPr>
        <w:tab/>
      </w:r>
      <w:r>
        <w:rPr>
          <w:lang w:val="en-US" w:eastAsia="zh-CN"/>
        </w:rPr>
        <w:fldChar w:fldCharType="begin"/>
      </w:r>
      <w:r>
        <w:rPr>
          <w:lang w:val="en-US" w:eastAsia="zh-CN"/>
        </w:rPr>
        <w:instrText xml:space="preserve"> PAGEREF _Toc82546116 \h </w:instrText>
      </w:r>
      <w:r>
        <w:rPr>
          <w:lang w:val="en-US" w:eastAsia="zh-CN"/>
        </w:rPr>
        <w:fldChar w:fldCharType="separate"/>
      </w:r>
      <w:r>
        <w:rPr>
          <w:lang w:val="en-US" w:eastAsia="zh-CN"/>
        </w:rPr>
        <w:t>114</w:t>
      </w:r>
      <w:r>
        <w:rPr>
          <w:lang w:val="en-US" w:eastAsia="zh-CN"/>
        </w:rPr>
        <w:fldChar w:fldCharType="end"/>
      </w:r>
      <w:r>
        <w:rPr>
          <w:lang w:val="en-US" w:eastAsia="zh-CN"/>
        </w:rPr>
        <w:fldChar w:fldCharType="end"/>
      </w:r>
    </w:p>
    <w:p w14:paraId="00A6476C">
      <w:pPr>
        <w:pStyle w:val="13"/>
        <w:tabs>
          <w:tab w:val="right" w:leader="dot" w:pos="9060"/>
        </w:tabs>
        <w:rPr>
          <w:rFonts w:ascii="Calibri" w:hAnsi="Calibri"/>
          <w:szCs w:val="22"/>
          <w:lang w:val="en-US" w:eastAsia="zh-CN"/>
        </w:rPr>
      </w:pPr>
      <w:r>
        <w:fldChar w:fldCharType="begin"/>
      </w:r>
      <w:r>
        <w:instrText xml:space="preserve"> HYPERLINK \l "_Toc82546117" </w:instrText>
      </w:r>
      <w:r>
        <w:fldChar w:fldCharType="separate"/>
      </w:r>
      <w:r>
        <w:rPr>
          <w:rStyle w:val="26"/>
          <w:rFonts w:eastAsia="黑体"/>
          <w:color w:val="auto"/>
          <w:lang w:val="en-US" w:eastAsia="zh-CN"/>
        </w:rPr>
        <w:t xml:space="preserve">13.1 </w:t>
      </w:r>
      <w:r>
        <w:rPr>
          <w:rStyle w:val="26"/>
          <w:rFonts w:hint="eastAsia" w:eastAsia="黑体"/>
          <w:color w:val="auto"/>
          <w:lang w:val="en-US" w:eastAsia="zh-CN"/>
        </w:rPr>
        <w:t>组织保障</w:t>
      </w:r>
      <w:r>
        <w:rPr>
          <w:lang w:val="en-US" w:eastAsia="zh-CN"/>
        </w:rPr>
        <w:tab/>
      </w:r>
      <w:r>
        <w:rPr>
          <w:lang w:val="en-US" w:eastAsia="zh-CN"/>
        </w:rPr>
        <w:fldChar w:fldCharType="begin"/>
      </w:r>
      <w:r>
        <w:rPr>
          <w:lang w:val="en-US" w:eastAsia="zh-CN"/>
        </w:rPr>
        <w:instrText xml:space="preserve"> PAGEREF _Toc82546117 \h </w:instrText>
      </w:r>
      <w:r>
        <w:rPr>
          <w:lang w:val="en-US" w:eastAsia="zh-CN"/>
        </w:rPr>
        <w:fldChar w:fldCharType="separate"/>
      </w:r>
      <w:r>
        <w:rPr>
          <w:lang w:val="en-US" w:eastAsia="zh-CN"/>
        </w:rPr>
        <w:t>114</w:t>
      </w:r>
      <w:r>
        <w:rPr>
          <w:lang w:val="en-US" w:eastAsia="zh-CN"/>
        </w:rPr>
        <w:fldChar w:fldCharType="end"/>
      </w:r>
      <w:r>
        <w:rPr>
          <w:lang w:val="en-US" w:eastAsia="zh-CN"/>
        </w:rPr>
        <w:fldChar w:fldCharType="end"/>
      </w:r>
    </w:p>
    <w:p w14:paraId="060EA0FA">
      <w:pPr>
        <w:pStyle w:val="13"/>
        <w:tabs>
          <w:tab w:val="right" w:leader="dot" w:pos="9060"/>
        </w:tabs>
        <w:rPr>
          <w:rFonts w:ascii="Calibri" w:hAnsi="Calibri"/>
          <w:szCs w:val="22"/>
          <w:lang w:val="en-US" w:eastAsia="zh-CN"/>
        </w:rPr>
      </w:pPr>
      <w:r>
        <w:fldChar w:fldCharType="begin"/>
      </w:r>
      <w:r>
        <w:instrText xml:space="preserve"> HYPERLINK \l "_Toc82546118" </w:instrText>
      </w:r>
      <w:r>
        <w:fldChar w:fldCharType="separate"/>
      </w:r>
      <w:r>
        <w:rPr>
          <w:rStyle w:val="26"/>
          <w:rFonts w:eastAsia="黑体"/>
          <w:color w:val="auto"/>
          <w:lang w:val="en-US" w:eastAsia="zh-CN"/>
        </w:rPr>
        <w:t>13.2</w:t>
      </w:r>
      <w:r>
        <w:rPr>
          <w:rStyle w:val="26"/>
          <w:rFonts w:hint="eastAsia" w:eastAsia="黑体"/>
          <w:color w:val="auto"/>
          <w:lang w:val="en-US" w:eastAsia="zh-CN"/>
        </w:rPr>
        <w:t>政策保障</w:t>
      </w:r>
      <w:r>
        <w:rPr>
          <w:lang w:val="en-US" w:eastAsia="zh-CN"/>
        </w:rPr>
        <w:tab/>
      </w:r>
      <w:r>
        <w:rPr>
          <w:lang w:val="en-US" w:eastAsia="zh-CN"/>
        </w:rPr>
        <w:fldChar w:fldCharType="begin"/>
      </w:r>
      <w:r>
        <w:rPr>
          <w:lang w:val="en-US" w:eastAsia="zh-CN"/>
        </w:rPr>
        <w:instrText xml:space="preserve"> PAGEREF _Toc82546118 \h </w:instrText>
      </w:r>
      <w:r>
        <w:rPr>
          <w:lang w:val="en-US" w:eastAsia="zh-CN"/>
        </w:rPr>
        <w:fldChar w:fldCharType="separate"/>
      </w:r>
      <w:r>
        <w:rPr>
          <w:lang w:val="en-US" w:eastAsia="zh-CN"/>
        </w:rPr>
        <w:t>114</w:t>
      </w:r>
      <w:r>
        <w:rPr>
          <w:lang w:val="en-US" w:eastAsia="zh-CN"/>
        </w:rPr>
        <w:fldChar w:fldCharType="end"/>
      </w:r>
      <w:r>
        <w:rPr>
          <w:lang w:val="en-US" w:eastAsia="zh-CN"/>
        </w:rPr>
        <w:fldChar w:fldCharType="end"/>
      </w:r>
    </w:p>
    <w:p w14:paraId="7A4246C6">
      <w:pPr>
        <w:pStyle w:val="13"/>
        <w:tabs>
          <w:tab w:val="right" w:leader="dot" w:pos="9060"/>
        </w:tabs>
        <w:rPr>
          <w:rFonts w:ascii="Calibri" w:hAnsi="Calibri"/>
          <w:szCs w:val="22"/>
          <w:lang w:val="en-US" w:eastAsia="zh-CN"/>
        </w:rPr>
      </w:pPr>
      <w:r>
        <w:fldChar w:fldCharType="begin"/>
      </w:r>
      <w:r>
        <w:instrText xml:space="preserve"> HYPERLINK \l "_Toc82546119" </w:instrText>
      </w:r>
      <w:r>
        <w:fldChar w:fldCharType="separate"/>
      </w:r>
      <w:r>
        <w:rPr>
          <w:rStyle w:val="26"/>
          <w:rFonts w:eastAsia="黑体"/>
          <w:color w:val="auto"/>
          <w:lang w:val="en-US" w:eastAsia="zh-CN"/>
        </w:rPr>
        <w:t>13.3</w:t>
      </w:r>
      <w:r>
        <w:rPr>
          <w:rStyle w:val="26"/>
          <w:rFonts w:hint="eastAsia" w:eastAsia="黑体"/>
          <w:color w:val="auto"/>
          <w:lang w:val="en-US" w:eastAsia="zh-CN"/>
        </w:rPr>
        <w:t>资金保障</w:t>
      </w:r>
      <w:r>
        <w:rPr>
          <w:lang w:val="en-US" w:eastAsia="zh-CN"/>
        </w:rPr>
        <w:tab/>
      </w:r>
      <w:r>
        <w:rPr>
          <w:lang w:val="en-US" w:eastAsia="zh-CN"/>
        </w:rPr>
        <w:fldChar w:fldCharType="begin"/>
      </w:r>
      <w:r>
        <w:rPr>
          <w:lang w:val="en-US" w:eastAsia="zh-CN"/>
        </w:rPr>
        <w:instrText xml:space="preserve"> PAGEREF _Toc82546119 \h </w:instrText>
      </w:r>
      <w:r>
        <w:rPr>
          <w:lang w:val="en-US" w:eastAsia="zh-CN"/>
        </w:rPr>
        <w:fldChar w:fldCharType="separate"/>
      </w:r>
      <w:r>
        <w:rPr>
          <w:lang w:val="en-US" w:eastAsia="zh-CN"/>
        </w:rPr>
        <w:t>115</w:t>
      </w:r>
      <w:r>
        <w:rPr>
          <w:lang w:val="en-US" w:eastAsia="zh-CN"/>
        </w:rPr>
        <w:fldChar w:fldCharType="end"/>
      </w:r>
      <w:r>
        <w:rPr>
          <w:lang w:val="en-US" w:eastAsia="zh-CN"/>
        </w:rPr>
        <w:fldChar w:fldCharType="end"/>
      </w:r>
    </w:p>
    <w:p w14:paraId="5BA208DB">
      <w:pPr>
        <w:pStyle w:val="13"/>
        <w:tabs>
          <w:tab w:val="right" w:leader="dot" w:pos="9060"/>
        </w:tabs>
        <w:rPr>
          <w:rFonts w:ascii="Calibri" w:hAnsi="Calibri"/>
          <w:szCs w:val="22"/>
          <w:lang w:val="en-US" w:eastAsia="zh-CN"/>
        </w:rPr>
      </w:pPr>
      <w:r>
        <w:fldChar w:fldCharType="begin"/>
      </w:r>
      <w:r>
        <w:instrText xml:space="preserve"> HYPERLINK \l "_Toc82546120" </w:instrText>
      </w:r>
      <w:r>
        <w:fldChar w:fldCharType="separate"/>
      </w:r>
      <w:r>
        <w:rPr>
          <w:rStyle w:val="26"/>
          <w:rFonts w:eastAsia="黑体"/>
          <w:color w:val="auto"/>
          <w:lang w:val="en-US" w:eastAsia="zh-CN"/>
        </w:rPr>
        <w:t>13.4</w:t>
      </w:r>
      <w:r>
        <w:rPr>
          <w:rStyle w:val="26"/>
          <w:rFonts w:hint="eastAsia" w:eastAsia="黑体"/>
          <w:color w:val="auto"/>
          <w:lang w:val="en-US" w:eastAsia="zh-CN"/>
        </w:rPr>
        <w:t>技术保障</w:t>
      </w:r>
      <w:r>
        <w:rPr>
          <w:lang w:val="en-US" w:eastAsia="zh-CN"/>
        </w:rPr>
        <w:tab/>
      </w:r>
      <w:r>
        <w:rPr>
          <w:lang w:val="en-US" w:eastAsia="zh-CN"/>
        </w:rPr>
        <w:fldChar w:fldCharType="begin"/>
      </w:r>
      <w:r>
        <w:rPr>
          <w:lang w:val="en-US" w:eastAsia="zh-CN"/>
        </w:rPr>
        <w:instrText xml:space="preserve"> PAGEREF _Toc82546120 \h </w:instrText>
      </w:r>
      <w:r>
        <w:rPr>
          <w:lang w:val="en-US" w:eastAsia="zh-CN"/>
        </w:rPr>
        <w:fldChar w:fldCharType="separate"/>
      </w:r>
      <w:r>
        <w:rPr>
          <w:lang w:val="en-US" w:eastAsia="zh-CN"/>
        </w:rPr>
        <w:t>116</w:t>
      </w:r>
      <w:r>
        <w:rPr>
          <w:lang w:val="en-US" w:eastAsia="zh-CN"/>
        </w:rPr>
        <w:fldChar w:fldCharType="end"/>
      </w:r>
      <w:r>
        <w:rPr>
          <w:lang w:val="en-US" w:eastAsia="zh-CN"/>
        </w:rPr>
        <w:fldChar w:fldCharType="end"/>
      </w:r>
    </w:p>
    <w:p w14:paraId="723A9BF0">
      <w:pPr>
        <w:pStyle w:val="12"/>
        <w:tabs>
          <w:tab w:val="right" w:leader="dot" w:pos="9060"/>
        </w:tabs>
        <w:rPr>
          <w:rFonts w:ascii="Calibri" w:hAnsi="Calibri"/>
          <w:szCs w:val="22"/>
          <w:lang w:val="en-US" w:eastAsia="zh-CN"/>
        </w:rPr>
      </w:pPr>
      <w:r>
        <w:fldChar w:fldCharType="begin"/>
      </w:r>
      <w:r>
        <w:instrText xml:space="preserve"> HYPERLINK \l "_Toc82546122" </w:instrText>
      </w:r>
      <w:r>
        <w:fldChar w:fldCharType="separate"/>
      </w:r>
      <w:r>
        <w:rPr>
          <w:rStyle w:val="26"/>
          <w:rFonts w:hint="eastAsia" w:ascii="黑体" w:hAnsi="黑体" w:eastAsia="黑体"/>
          <w:color w:val="auto"/>
          <w:lang w:val="en-US" w:eastAsia="zh-CN"/>
        </w:rPr>
        <w:t>第十四章</w:t>
      </w:r>
      <w:r>
        <w:rPr>
          <w:rStyle w:val="26"/>
          <w:rFonts w:ascii="黑体" w:hAnsi="黑体" w:eastAsia="黑体"/>
          <w:color w:val="auto"/>
          <w:lang w:val="en-US" w:eastAsia="zh-CN"/>
        </w:rPr>
        <w:t xml:space="preserve"> </w:t>
      </w:r>
      <w:r>
        <w:rPr>
          <w:rStyle w:val="26"/>
          <w:rFonts w:hint="eastAsia" w:ascii="黑体" w:hAnsi="黑体" w:eastAsia="黑体"/>
          <w:color w:val="auto"/>
          <w:lang w:val="en-US" w:eastAsia="zh-CN"/>
        </w:rPr>
        <w:t>效益分析</w:t>
      </w:r>
      <w:r>
        <w:rPr>
          <w:lang w:val="en-US" w:eastAsia="zh-CN"/>
        </w:rPr>
        <w:tab/>
      </w:r>
      <w:r>
        <w:rPr>
          <w:lang w:val="en-US" w:eastAsia="zh-CN"/>
        </w:rPr>
        <w:fldChar w:fldCharType="begin"/>
      </w:r>
      <w:r>
        <w:rPr>
          <w:lang w:val="en-US" w:eastAsia="zh-CN"/>
        </w:rPr>
        <w:instrText xml:space="preserve"> PAGEREF _Toc82546122 \h </w:instrText>
      </w:r>
      <w:r>
        <w:rPr>
          <w:lang w:val="en-US" w:eastAsia="zh-CN"/>
        </w:rPr>
        <w:fldChar w:fldCharType="separate"/>
      </w:r>
      <w:r>
        <w:rPr>
          <w:lang w:val="en-US" w:eastAsia="zh-CN"/>
        </w:rPr>
        <w:t>119</w:t>
      </w:r>
      <w:r>
        <w:rPr>
          <w:lang w:val="en-US" w:eastAsia="zh-CN"/>
        </w:rPr>
        <w:fldChar w:fldCharType="end"/>
      </w:r>
      <w:r>
        <w:rPr>
          <w:lang w:val="en-US" w:eastAsia="zh-CN"/>
        </w:rPr>
        <w:fldChar w:fldCharType="end"/>
      </w:r>
    </w:p>
    <w:p w14:paraId="4D7D32FC">
      <w:pPr>
        <w:pStyle w:val="13"/>
        <w:tabs>
          <w:tab w:val="right" w:leader="dot" w:pos="9060"/>
        </w:tabs>
        <w:rPr>
          <w:rFonts w:ascii="Calibri" w:hAnsi="Calibri"/>
          <w:szCs w:val="22"/>
          <w:lang w:val="en-US" w:eastAsia="zh-CN"/>
        </w:rPr>
      </w:pPr>
      <w:r>
        <w:fldChar w:fldCharType="begin"/>
      </w:r>
      <w:r>
        <w:instrText xml:space="preserve"> HYPERLINK \l "_Toc82546123" </w:instrText>
      </w:r>
      <w:r>
        <w:fldChar w:fldCharType="separate"/>
      </w:r>
      <w:r>
        <w:rPr>
          <w:rStyle w:val="26"/>
          <w:rFonts w:eastAsia="黑体"/>
          <w:color w:val="auto"/>
          <w:lang w:val="en-US" w:eastAsia="zh-CN"/>
        </w:rPr>
        <w:t xml:space="preserve">14.1 </w:t>
      </w:r>
      <w:r>
        <w:rPr>
          <w:rStyle w:val="26"/>
          <w:rFonts w:hint="eastAsia" w:eastAsia="黑体"/>
          <w:color w:val="auto"/>
          <w:lang w:val="en-US" w:eastAsia="zh-CN"/>
        </w:rPr>
        <w:t>经济效益</w:t>
      </w:r>
      <w:r>
        <w:rPr>
          <w:lang w:val="en-US" w:eastAsia="zh-CN"/>
        </w:rPr>
        <w:tab/>
      </w:r>
      <w:r>
        <w:rPr>
          <w:lang w:val="en-US" w:eastAsia="zh-CN"/>
        </w:rPr>
        <w:fldChar w:fldCharType="begin"/>
      </w:r>
      <w:r>
        <w:rPr>
          <w:lang w:val="en-US" w:eastAsia="zh-CN"/>
        </w:rPr>
        <w:instrText xml:space="preserve"> PAGEREF _Toc82546123 \h </w:instrText>
      </w:r>
      <w:r>
        <w:rPr>
          <w:lang w:val="en-US" w:eastAsia="zh-CN"/>
        </w:rPr>
        <w:fldChar w:fldCharType="separate"/>
      </w:r>
      <w:r>
        <w:rPr>
          <w:lang w:val="en-US" w:eastAsia="zh-CN"/>
        </w:rPr>
        <w:t>119</w:t>
      </w:r>
      <w:r>
        <w:rPr>
          <w:lang w:val="en-US" w:eastAsia="zh-CN"/>
        </w:rPr>
        <w:fldChar w:fldCharType="end"/>
      </w:r>
      <w:r>
        <w:rPr>
          <w:lang w:val="en-US" w:eastAsia="zh-CN"/>
        </w:rPr>
        <w:fldChar w:fldCharType="end"/>
      </w:r>
    </w:p>
    <w:p w14:paraId="5719BD7F">
      <w:pPr>
        <w:pStyle w:val="13"/>
        <w:tabs>
          <w:tab w:val="right" w:leader="dot" w:pos="9060"/>
        </w:tabs>
        <w:rPr>
          <w:rFonts w:ascii="Calibri" w:hAnsi="Calibri"/>
          <w:szCs w:val="22"/>
          <w:lang w:val="en-US" w:eastAsia="zh-CN"/>
        </w:rPr>
      </w:pPr>
      <w:r>
        <w:fldChar w:fldCharType="begin"/>
      </w:r>
      <w:r>
        <w:instrText xml:space="preserve"> HYPERLINK \l "_Toc82546124" </w:instrText>
      </w:r>
      <w:r>
        <w:fldChar w:fldCharType="separate"/>
      </w:r>
      <w:r>
        <w:rPr>
          <w:rStyle w:val="26"/>
          <w:rFonts w:eastAsia="黑体"/>
          <w:color w:val="auto"/>
          <w:lang w:val="en-US" w:eastAsia="zh-CN"/>
        </w:rPr>
        <w:t xml:space="preserve">14.2 </w:t>
      </w:r>
      <w:r>
        <w:rPr>
          <w:rStyle w:val="26"/>
          <w:rFonts w:hint="eastAsia" w:eastAsia="黑体"/>
          <w:color w:val="auto"/>
          <w:lang w:val="en-US" w:eastAsia="zh-CN"/>
        </w:rPr>
        <w:t>生态效益</w:t>
      </w:r>
      <w:r>
        <w:rPr>
          <w:lang w:val="en-US" w:eastAsia="zh-CN"/>
        </w:rPr>
        <w:tab/>
      </w:r>
      <w:r>
        <w:rPr>
          <w:lang w:val="en-US" w:eastAsia="zh-CN"/>
        </w:rPr>
        <w:fldChar w:fldCharType="begin"/>
      </w:r>
      <w:r>
        <w:rPr>
          <w:lang w:val="en-US" w:eastAsia="zh-CN"/>
        </w:rPr>
        <w:instrText xml:space="preserve"> PAGEREF _Toc82546124 \h </w:instrText>
      </w:r>
      <w:r>
        <w:rPr>
          <w:lang w:val="en-US" w:eastAsia="zh-CN"/>
        </w:rPr>
        <w:fldChar w:fldCharType="separate"/>
      </w:r>
      <w:r>
        <w:rPr>
          <w:lang w:val="en-US" w:eastAsia="zh-CN"/>
        </w:rPr>
        <w:t>120</w:t>
      </w:r>
      <w:r>
        <w:rPr>
          <w:lang w:val="en-US" w:eastAsia="zh-CN"/>
        </w:rPr>
        <w:fldChar w:fldCharType="end"/>
      </w:r>
      <w:r>
        <w:rPr>
          <w:lang w:val="en-US" w:eastAsia="zh-CN"/>
        </w:rPr>
        <w:fldChar w:fldCharType="end"/>
      </w:r>
    </w:p>
    <w:p w14:paraId="118783B6">
      <w:pPr>
        <w:pStyle w:val="13"/>
        <w:tabs>
          <w:tab w:val="right" w:leader="dot" w:pos="9060"/>
        </w:tabs>
        <w:rPr>
          <w:rStyle w:val="26"/>
          <w:rFonts w:hint="eastAsia"/>
          <w:color w:val="auto"/>
          <w:lang w:val="en-US" w:eastAsia="zh-CN"/>
        </w:rPr>
      </w:pPr>
      <w:r>
        <w:fldChar w:fldCharType="begin"/>
      </w:r>
      <w:r>
        <w:instrText xml:space="preserve"> HYPERLINK \l "_Toc82546125" </w:instrText>
      </w:r>
      <w:r>
        <w:fldChar w:fldCharType="separate"/>
      </w:r>
      <w:r>
        <w:rPr>
          <w:rStyle w:val="26"/>
          <w:rFonts w:eastAsia="黑体"/>
          <w:color w:val="auto"/>
          <w:lang w:val="en-US" w:eastAsia="zh-CN"/>
        </w:rPr>
        <w:t xml:space="preserve">14.3 </w:t>
      </w:r>
      <w:r>
        <w:rPr>
          <w:rStyle w:val="26"/>
          <w:rFonts w:hint="eastAsia" w:eastAsia="黑体"/>
          <w:color w:val="auto"/>
          <w:lang w:val="en-US" w:eastAsia="zh-CN"/>
        </w:rPr>
        <w:t>社会效益</w:t>
      </w:r>
      <w:r>
        <w:rPr>
          <w:lang w:val="en-US" w:eastAsia="zh-CN"/>
        </w:rPr>
        <w:tab/>
      </w:r>
      <w:r>
        <w:rPr>
          <w:lang w:val="en-US" w:eastAsia="zh-CN"/>
        </w:rPr>
        <w:fldChar w:fldCharType="begin"/>
      </w:r>
      <w:r>
        <w:rPr>
          <w:lang w:val="en-US" w:eastAsia="zh-CN"/>
        </w:rPr>
        <w:instrText xml:space="preserve"> PAGEREF _Toc82546125 \h </w:instrText>
      </w:r>
      <w:r>
        <w:rPr>
          <w:lang w:val="en-US" w:eastAsia="zh-CN"/>
        </w:rPr>
        <w:fldChar w:fldCharType="separate"/>
      </w:r>
      <w:r>
        <w:rPr>
          <w:lang w:val="en-US" w:eastAsia="zh-CN"/>
        </w:rPr>
        <w:t>123</w:t>
      </w:r>
      <w:r>
        <w:rPr>
          <w:lang w:val="en-US" w:eastAsia="zh-CN"/>
        </w:rPr>
        <w:fldChar w:fldCharType="end"/>
      </w:r>
      <w:r>
        <w:rPr>
          <w:lang w:val="en-US" w:eastAsia="zh-CN"/>
        </w:rPr>
        <w:fldChar w:fldCharType="end"/>
      </w:r>
    </w:p>
    <w:p w14:paraId="16D4970A">
      <w:pPr>
        <w:spacing w:line="420" w:lineRule="exact"/>
        <w:rPr>
          <w:rFonts w:eastAsia="仿宋"/>
          <w:sz w:val="24"/>
          <w:lang w:val="en-US" w:eastAsia="zh-CN"/>
        </w:rPr>
      </w:pPr>
      <w:r>
        <w:rPr>
          <w:rFonts w:eastAsia="仿宋"/>
          <w:sz w:val="24"/>
          <w:lang w:val="en-US" w:eastAsia="zh-CN"/>
        </w:rPr>
        <w:t>附表：</w:t>
      </w:r>
    </w:p>
    <w:p w14:paraId="74B31DC4">
      <w:pPr>
        <w:spacing w:line="420" w:lineRule="exact"/>
        <w:ind w:firstLine="480" w:firstLineChars="200"/>
        <w:rPr>
          <w:rFonts w:eastAsia="仿宋"/>
          <w:sz w:val="24"/>
          <w:lang w:val="en-US" w:eastAsia="zh-CN"/>
        </w:rPr>
      </w:pPr>
      <w:r>
        <w:rPr>
          <w:rFonts w:eastAsia="仿宋"/>
          <w:sz w:val="24"/>
          <w:lang w:val="en-US" w:eastAsia="zh-CN"/>
        </w:rPr>
        <w:t>表1 三亚市林业规模与产值分类分区统计表（</w:t>
      </w:r>
      <w:r>
        <w:rPr>
          <w:rFonts w:hint="eastAsia" w:eastAsia="仿宋"/>
          <w:sz w:val="24"/>
          <w:lang w:val="en-US" w:eastAsia="zh-CN"/>
        </w:rPr>
        <w:t>2020年</w:t>
      </w:r>
      <w:r>
        <w:rPr>
          <w:rFonts w:eastAsia="仿宋"/>
          <w:sz w:val="24"/>
          <w:lang w:val="en-US" w:eastAsia="zh-CN"/>
        </w:rPr>
        <w:t>）</w:t>
      </w:r>
    </w:p>
    <w:p w14:paraId="1689DED1">
      <w:pPr>
        <w:spacing w:line="420" w:lineRule="exact"/>
        <w:ind w:firstLine="480" w:firstLineChars="200"/>
        <w:rPr>
          <w:rFonts w:eastAsia="仿宋"/>
          <w:sz w:val="24"/>
          <w:lang w:val="en-US" w:eastAsia="zh-CN"/>
        </w:rPr>
      </w:pPr>
      <w:r>
        <w:rPr>
          <w:rFonts w:eastAsia="仿宋"/>
          <w:sz w:val="24"/>
          <w:lang w:val="en-US" w:eastAsia="zh-CN"/>
        </w:rPr>
        <w:t>表2 三亚市2020年林业产业结构统计表</w:t>
      </w:r>
    </w:p>
    <w:p w14:paraId="4235C015">
      <w:pPr>
        <w:spacing w:line="420" w:lineRule="exact"/>
        <w:ind w:firstLine="480" w:firstLineChars="200"/>
        <w:rPr>
          <w:rFonts w:eastAsia="仿宋"/>
          <w:sz w:val="24"/>
          <w:lang w:val="en-US" w:eastAsia="zh-CN"/>
        </w:rPr>
      </w:pPr>
      <w:r>
        <w:rPr>
          <w:rFonts w:eastAsia="仿宋"/>
          <w:sz w:val="24"/>
          <w:lang w:val="en-US" w:eastAsia="zh-CN"/>
        </w:rPr>
        <w:t>表3三亚市林业产业发展规划（</w:t>
      </w:r>
      <w:r>
        <w:rPr>
          <w:rFonts w:hint="eastAsia" w:eastAsia="仿宋"/>
          <w:sz w:val="24"/>
          <w:lang w:val="en-US" w:eastAsia="zh-CN"/>
        </w:rPr>
        <w:t>2021-2035年</w:t>
      </w:r>
      <w:r>
        <w:rPr>
          <w:rFonts w:eastAsia="仿宋"/>
          <w:sz w:val="24"/>
          <w:lang w:val="en-US" w:eastAsia="zh-CN"/>
        </w:rPr>
        <w:t>）重点工程计划投资估算表</w:t>
      </w:r>
    </w:p>
    <w:p w14:paraId="2316BC66">
      <w:pPr>
        <w:tabs>
          <w:tab w:val="left" w:pos="2042"/>
        </w:tabs>
        <w:spacing w:line="420" w:lineRule="exact"/>
        <w:rPr>
          <w:rFonts w:eastAsia="仿宋"/>
          <w:sz w:val="24"/>
          <w:lang w:val="en-US" w:eastAsia="zh-CN"/>
        </w:rPr>
      </w:pPr>
      <w:r>
        <w:rPr>
          <w:rFonts w:eastAsia="仿宋"/>
          <w:sz w:val="24"/>
          <w:lang w:val="en-US" w:eastAsia="zh-CN"/>
        </w:rPr>
        <w:t>附图：</w:t>
      </w:r>
      <w:r>
        <w:rPr>
          <w:rFonts w:eastAsia="仿宋"/>
          <w:sz w:val="24"/>
          <w:lang w:val="en-US" w:eastAsia="zh-CN"/>
        </w:rPr>
        <w:tab/>
      </w:r>
    </w:p>
    <w:p w14:paraId="3A465592">
      <w:pPr>
        <w:spacing w:line="420" w:lineRule="exact"/>
        <w:ind w:firstLine="480" w:firstLineChars="200"/>
        <w:rPr>
          <w:rFonts w:hint="eastAsia" w:eastAsia="仿宋"/>
          <w:sz w:val="24"/>
          <w:lang w:val="en-US" w:eastAsia="zh-CN"/>
        </w:rPr>
      </w:pPr>
      <w:r>
        <w:rPr>
          <w:rFonts w:eastAsia="仿宋"/>
          <w:sz w:val="24"/>
          <w:lang w:val="en-US" w:eastAsia="zh-CN"/>
        </w:rPr>
        <w:t>图1三亚市</w:t>
      </w:r>
      <w:r>
        <w:rPr>
          <w:rFonts w:hint="eastAsia" w:eastAsia="仿宋"/>
          <w:sz w:val="24"/>
          <w:lang w:val="en-US" w:eastAsia="zh-CN"/>
        </w:rPr>
        <w:t>森林资源分布图</w:t>
      </w:r>
    </w:p>
    <w:p w14:paraId="374D8494">
      <w:pPr>
        <w:spacing w:line="420" w:lineRule="exact"/>
        <w:ind w:firstLine="480" w:firstLineChars="200"/>
        <w:rPr>
          <w:rFonts w:eastAsia="仿宋"/>
          <w:sz w:val="24"/>
          <w:lang w:val="en-US" w:eastAsia="zh-CN"/>
        </w:rPr>
      </w:pPr>
      <w:r>
        <w:rPr>
          <w:rFonts w:eastAsia="仿宋"/>
          <w:sz w:val="24"/>
          <w:lang w:val="en-US" w:eastAsia="zh-CN"/>
        </w:rPr>
        <w:t>图2三亚市林业产业现状图</w:t>
      </w:r>
    </w:p>
    <w:p w14:paraId="33E3E0A2">
      <w:pPr>
        <w:spacing w:line="420" w:lineRule="exact"/>
        <w:ind w:firstLine="480" w:firstLineChars="200"/>
        <w:rPr>
          <w:rFonts w:eastAsia="仿宋"/>
          <w:sz w:val="24"/>
          <w:lang w:val="en-US" w:eastAsia="zh-CN"/>
        </w:rPr>
      </w:pPr>
      <w:r>
        <w:rPr>
          <w:rFonts w:eastAsia="仿宋"/>
          <w:sz w:val="24"/>
          <w:lang w:val="en-US" w:eastAsia="zh-CN"/>
        </w:rPr>
        <w:t>图3三亚市林业产业发展规划总图（2021-2035年）</w:t>
      </w:r>
    </w:p>
    <w:p w14:paraId="482D698A">
      <w:pPr>
        <w:spacing w:line="420" w:lineRule="exact"/>
        <w:ind w:firstLine="480" w:firstLineChars="200"/>
        <w:rPr>
          <w:rFonts w:eastAsia="仿宋"/>
          <w:sz w:val="24"/>
          <w:lang w:val="en-US" w:eastAsia="zh-CN"/>
        </w:rPr>
      </w:pPr>
      <w:r>
        <w:rPr>
          <w:rFonts w:eastAsia="仿宋"/>
          <w:sz w:val="24"/>
          <w:lang w:val="en-US" w:eastAsia="zh-CN"/>
        </w:rPr>
        <w:t>图4三亚市森林旅游与森林康养产业现状图</w:t>
      </w:r>
    </w:p>
    <w:p w14:paraId="11369FF0">
      <w:pPr>
        <w:spacing w:line="420" w:lineRule="exact"/>
        <w:ind w:firstLine="480" w:firstLineChars="200"/>
        <w:rPr>
          <w:rFonts w:eastAsia="仿宋"/>
          <w:sz w:val="24"/>
          <w:lang w:val="en-US" w:eastAsia="zh-CN"/>
        </w:rPr>
      </w:pPr>
      <w:r>
        <w:rPr>
          <w:rFonts w:eastAsia="仿宋"/>
          <w:sz w:val="24"/>
          <w:lang w:val="en-US" w:eastAsia="zh-CN"/>
        </w:rPr>
        <w:t>图5 三亚市林木种苗与花卉产业现状图</w:t>
      </w:r>
    </w:p>
    <w:p w14:paraId="77A274A1">
      <w:pPr>
        <w:spacing w:line="420" w:lineRule="exact"/>
        <w:ind w:firstLine="480" w:firstLineChars="200"/>
        <w:rPr>
          <w:rFonts w:eastAsia="仿宋"/>
          <w:sz w:val="24"/>
          <w:lang w:val="en-US" w:eastAsia="zh-CN"/>
        </w:rPr>
      </w:pPr>
      <w:r>
        <w:rPr>
          <w:rFonts w:eastAsia="仿宋"/>
          <w:sz w:val="24"/>
          <w:lang w:val="en-US" w:eastAsia="zh-CN"/>
        </w:rPr>
        <w:t>图6 三亚市用材林产业现状图</w:t>
      </w:r>
    </w:p>
    <w:p w14:paraId="2E613867">
      <w:pPr>
        <w:spacing w:line="420" w:lineRule="exact"/>
        <w:ind w:firstLine="489" w:firstLineChars="204"/>
        <w:rPr>
          <w:rFonts w:eastAsia="仿宋"/>
          <w:sz w:val="24"/>
          <w:lang w:val="en-US" w:eastAsia="zh-CN"/>
        </w:rPr>
      </w:pPr>
      <w:r>
        <w:rPr>
          <w:rFonts w:eastAsia="仿宋"/>
          <w:sz w:val="24"/>
          <w:lang w:val="en-US" w:eastAsia="zh-CN"/>
        </w:rPr>
        <w:t>图7三亚市经济林产业现状图</w:t>
      </w:r>
    </w:p>
    <w:p w14:paraId="62BDA141">
      <w:pPr>
        <w:spacing w:line="420" w:lineRule="exact"/>
        <w:ind w:firstLine="489" w:firstLineChars="204"/>
        <w:rPr>
          <w:rFonts w:eastAsia="仿宋"/>
          <w:sz w:val="24"/>
          <w:lang w:val="en-US" w:eastAsia="zh-CN"/>
        </w:rPr>
      </w:pPr>
      <w:r>
        <w:rPr>
          <w:rFonts w:eastAsia="仿宋"/>
          <w:sz w:val="24"/>
          <w:lang w:val="en-US" w:eastAsia="zh-CN"/>
        </w:rPr>
        <w:t>图8 三亚市林下经济现状图</w:t>
      </w:r>
    </w:p>
    <w:p w14:paraId="1FE032A7">
      <w:pPr>
        <w:spacing w:line="420" w:lineRule="exact"/>
        <w:ind w:firstLine="489" w:firstLineChars="204"/>
        <w:rPr>
          <w:rFonts w:eastAsia="仿宋"/>
          <w:sz w:val="24"/>
          <w:lang w:val="en-US" w:eastAsia="zh-CN"/>
        </w:rPr>
      </w:pPr>
      <w:r>
        <w:rPr>
          <w:rFonts w:eastAsia="仿宋"/>
          <w:sz w:val="24"/>
          <w:lang w:val="en-US" w:eastAsia="zh-CN"/>
        </w:rPr>
        <w:t>图9 三亚市林业产业发展规划（2021-2035年）森林旅游与森林康养产业规划图</w:t>
      </w:r>
    </w:p>
    <w:p w14:paraId="7703E3B1">
      <w:pPr>
        <w:spacing w:line="420" w:lineRule="exact"/>
        <w:ind w:firstLine="489" w:firstLineChars="204"/>
        <w:rPr>
          <w:rFonts w:eastAsia="仿宋"/>
          <w:sz w:val="24"/>
          <w:lang w:val="en-US" w:eastAsia="zh-CN"/>
        </w:rPr>
      </w:pPr>
      <w:r>
        <w:rPr>
          <w:rFonts w:eastAsia="仿宋"/>
          <w:sz w:val="24"/>
          <w:lang w:val="en-US" w:eastAsia="zh-CN"/>
        </w:rPr>
        <w:t>图10 三亚市林业产业发展规划（2021-2035年）林木种苗与花卉产业规划图</w:t>
      </w:r>
    </w:p>
    <w:p w14:paraId="6B42F1E3">
      <w:pPr>
        <w:spacing w:line="420" w:lineRule="exact"/>
        <w:ind w:firstLine="489" w:firstLineChars="204"/>
        <w:rPr>
          <w:rFonts w:eastAsia="仿宋"/>
          <w:sz w:val="24"/>
          <w:lang w:val="en-US" w:eastAsia="zh-CN"/>
        </w:rPr>
      </w:pPr>
      <w:r>
        <w:rPr>
          <w:rFonts w:eastAsia="仿宋"/>
          <w:sz w:val="24"/>
          <w:lang w:val="en-US" w:eastAsia="zh-CN"/>
        </w:rPr>
        <w:t>图11三亚市林业产业发展规划（2021-2035年）用材林产业规划图</w:t>
      </w:r>
    </w:p>
    <w:p w14:paraId="02468396">
      <w:pPr>
        <w:spacing w:line="420" w:lineRule="exact"/>
        <w:ind w:firstLine="489" w:firstLineChars="204"/>
        <w:rPr>
          <w:rFonts w:eastAsia="仿宋"/>
          <w:sz w:val="24"/>
          <w:lang w:val="en-US" w:eastAsia="zh-CN"/>
        </w:rPr>
      </w:pPr>
      <w:r>
        <w:rPr>
          <w:rFonts w:eastAsia="仿宋"/>
          <w:sz w:val="24"/>
          <w:lang w:val="en-US" w:eastAsia="zh-CN"/>
        </w:rPr>
        <w:t>图12三亚市林业产业发展规划（2021-2035年）经济林产业规划图</w:t>
      </w:r>
    </w:p>
    <w:p w14:paraId="6632B72E">
      <w:pPr>
        <w:spacing w:line="420" w:lineRule="exact"/>
        <w:ind w:firstLine="489" w:firstLineChars="204"/>
        <w:rPr>
          <w:rFonts w:eastAsia="仿宋"/>
          <w:sz w:val="24"/>
          <w:lang w:val="en-US" w:eastAsia="zh-CN"/>
        </w:rPr>
      </w:pPr>
      <w:r>
        <w:rPr>
          <w:rFonts w:eastAsia="仿宋"/>
          <w:sz w:val="24"/>
          <w:lang w:val="en-US" w:eastAsia="zh-CN"/>
        </w:rPr>
        <w:t>图13 三亚市林业产业发展规划（2021-2035年）林下经济产业规划图</w:t>
      </w:r>
    </w:p>
    <w:p w14:paraId="42AA4790">
      <w:pPr>
        <w:spacing w:line="420" w:lineRule="exact"/>
        <w:ind w:firstLine="489" w:firstLineChars="204"/>
        <w:rPr>
          <w:rFonts w:hint="eastAsia" w:eastAsia="仿宋"/>
          <w:sz w:val="24"/>
          <w:lang w:val="en-US" w:eastAsia="zh-CN"/>
        </w:rPr>
      </w:pPr>
      <w:r>
        <w:rPr>
          <w:rFonts w:eastAsia="仿宋"/>
          <w:sz w:val="24"/>
          <w:lang w:val="en-US" w:eastAsia="zh-CN"/>
        </w:rPr>
        <w:t>图14 三亚市林业产业发展规划（2021-2035年）生态保护与修复产业规划图</w:t>
      </w:r>
    </w:p>
    <w:p w14:paraId="198846B7">
      <w:pPr>
        <w:spacing w:line="420" w:lineRule="exact"/>
        <w:ind w:firstLine="489" w:firstLineChars="204"/>
        <w:rPr>
          <w:rFonts w:hint="eastAsia" w:eastAsia="仿宋"/>
          <w:sz w:val="24"/>
          <w:lang w:val="en-US" w:eastAsia="zh-CN"/>
        </w:rPr>
      </w:pPr>
      <w:r>
        <w:rPr>
          <w:rFonts w:hint="eastAsia" w:eastAsia="仿宋"/>
          <w:sz w:val="24"/>
          <w:lang w:val="en-US" w:eastAsia="zh-CN"/>
        </w:rPr>
        <w:t>附件：</w:t>
      </w:r>
    </w:p>
    <w:p w14:paraId="1C0DA76F">
      <w:pPr>
        <w:spacing w:line="420" w:lineRule="exact"/>
        <w:ind w:firstLine="489" w:firstLineChars="204"/>
        <w:rPr>
          <w:rFonts w:hint="eastAsia" w:eastAsia="仿宋"/>
          <w:sz w:val="24"/>
          <w:lang w:val="en-US" w:eastAsia="zh-CN"/>
        </w:rPr>
      </w:pPr>
      <w:r>
        <w:rPr>
          <w:rFonts w:hint="eastAsia" w:eastAsia="仿宋"/>
          <w:sz w:val="24"/>
          <w:lang w:val="en-US" w:eastAsia="zh-CN"/>
        </w:rPr>
        <w:t>1、三亚市林业产业发展规划（2021-2035年）征求意见反馈表</w:t>
      </w:r>
    </w:p>
    <w:p w14:paraId="52DD15B4">
      <w:pPr>
        <w:spacing w:line="420" w:lineRule="exact"/>
        <w:ind w:firstLine="489" w:firstLineChars="204"/>
        <w:rPr>
          <w:rFonts w:hint="eastAsia" w:eastAsia="仿宋"/>
          <w:sz w:val="24"/>
          <w:lang w:val="en-US" w:eastAsia="zh-CN"/>
        </w:rPr>
      </w:pPr>
      <w:r>
        <w:rPr>
          <w:rFonts w:hint="eastAsia" w:eastAsia="仿宋"/>
          <w:sz w:val="24"/>
          <w:lang w:val="en-US" w:eastAsia="zh-CN"/>
        </w:rPr>
        <w:t>2、专家评审意见</w:t>
      </w:r>
    </w:p>
    <w:p w14:paraId="06968611">
      <w:pPr>
        <w:spacing w:line="420" w:lineRule="exact"/>
        <w:ind w:firstLine="489" w:firstLineChars="204"/>
        <w:rPr>
          <w:rFonts w:hint="eastAsia" w:eastAsia="仿宋"/>
          <w:sz w:val="24"/>
          <w:lang w:val="en-US" w:eastAsia="zh-CN"/>
        </w:rPr>
      </w:pPr>
      <w:r>
        <w:rPr>
          <w:rFonts w:hint="eastAsia" w:eastAsia="仿宋"/>
          <w:sz w:val="24"/>
          <w:lang w:val="en-US" w:eastAsia="zh-CN"/>
        </w:rPr>
        <w:t>3、评审会签到表</w:t>
      </w:r>
    </w:p>
    <w:p w14:paraId="57A1EE53">
      <w:pPr>
        <w:spacing w:line="420" w:lineRule="exact"/>
        <w:ind w:firstLine="489" w:firstLineChars="204"/>
        <w:rPr>
          <w:rFonts w:hint="eastAsia" w:eastAsia="仿宋"/>
          <w:sz w:val="24"/>
          <w:lang w:val="en-US" w:eastAsia="zh-CN"/>
        </w:rPr>
      </w:pPr>
      <w:r>
        <w:rPr>
          <w:rFonts w:hint="eastAsia" w:eastAsia="仿宋"/>
          <w:sz w:val="24"/>
          <w:lang w:val="en-US" w:eastAsia="zh-CN"/>
        </w:rPr>
        <w:t>4、专家评审意见处理表</w:t>
      </w:r>
    </w:p>
    <w:p w14:paraId="7A40D02C">
      <w:pPr>
        <w:spacing w:line="420" w:lineRule="exact"/>
        <w:ind w:firstLine="489" w:firstLineChars="204"/>
        <w:rPr>
          <w:rFonts w:hint="eastAsia" w:eastAsia="仿宋"/>
          <w:sz w:val="24"/>
          <w:lang w:val="en-US" w:eastAsia="zh-CN"/>
        </w:rPr>
      </w:pPr>
    </w:p>
    <w:p w14:paraId="237F2903">
      <w:pPr>
        <w:rPr>
          <w:lang w:val="en-US" w:eastAsia="zh-CN"/>
        </w:rPr>
      </w:pPr>
    </w:p>
    <w:p w14:paraId="605529D6">
      <w:pPr>
        <w:ind w:firstLine="632" w:firstLineChars="300"/>
        <w:rPr>
          <w:rFonts w:eastAsia="仿宋_GB2312"/>
          <w:b/>
          <w:bCs/>
          <w:szCs w:val="32"/>
          <w:lang w:val="en-US" w:eastAsia="zh-CN"/>
        </w:rPr>
        <w:sectPr>
          <w:footerReference r:id="rId4" w:type="default"/>
          <w:pgSz w:w="11906" w:h="16838"/>
          <w:pgMar w:top="1418" w:right="1418" w:bottom="1418" w:left="1418" w:header="851" w:footer="992" w:gutter="0"/>
          <w:pgNumType w:start="1"/>
          <w:cols w:space="720" w:num="1"/>
          <w:docGrid w:type="lines" w:linePitch="312" w:charSpace="0"/>
        </w:sectPr>
      </w:pPr>
      <w:r>
        <w:rPr>
          <w:rFonts w:eastAsia="仿宋_GB2312"/>
          <w:b/>
          <w:bCs/>
          <w:szCs w:val="32"/>
          <w:lang w:val="en-US" w:eastAsia="zh-CN"/>
        </w:rPr>
        <w:fldChar w:fldCharType="end"/>
      </w:r>
    </w:p>
    <w:p w14:paraId="3E32D71A">
      <w:pPr>
        <w:pStyle w:val="15"/>
        <w:rPr>
          <w:rFonts w:ascii="Times New Roman" w:hAnsi="Times New Roman" w:eastAsia="黑体"/>
          <w:sz w:val="36"/>
        </w:rPr>
      </w:pPr>
      <w:bookmarkStart w:id="21" w:name="_Toc82546053"/>
      <w:bookmarkStart w:id="22" w:name="_Toc32658"/>
      <w:bookmarkStart w:id="23" w:name="_Toc13564"/>
      <w:bookmarkStart w:id="24" w:name="_Toc20206"/>
      <w:bookmarkStart w:id="25" w:name="_Toc25535"/>
      <w:bookmarkStart w:id="26" w:name="_Toc4518"/>
      <w:bookmarkStart w:id="27" w:name="_Toc24215"/>
      <w:bookmarkStart w:id="28" w:name="_Toc21380"/>
      <w:bookmarkStart w:id="29" w:name="_Toc13299"/>
      <w:bookmarkStart w:id="30" w:name="_Toc30440"/>
      <w:r>
        <w:rPr>
          <w:rFonts w:ascii="Times New Roman" w:hAnsi="Times New Roman" w:eastAsia="黑体"/>
          <w:sz w:val="36"/>
        </w:rPr>
        <w:t>第一章 总论</w:t>
      </w:r>
      <w:bookmarkEnd w:id="21"/>
    </w:p>
    <w:p w14:paraId="3F72CA8D">
      <w:pPr>
        <w:pStyle w:val="3"/>
        <w:spacing w:before="312" w:beforeLines="100" w:after="0" w:line="240" w:lineRule="auto"/>
        <w:rPr>
          <w:rFonts w:ascii="Times New Roman" w:hAnsi="Times New Roman" w:eastAsia="黑体"/>
        </w:rPr>
      </w:pPr>
      <w:bookmarkStart w:id="31" w:name="_Toc82546054"/>
      <w:r>
        <w:rPr>
          <w:rFonts w:ascii="Times New Roman" w:hAnsi="Times New Roman" w:eastAsia="黑体"/>
        </w:rPr>
        <w:t>1.1 项目名称</w:t>
      </w:r>
      <w:bookmarkEnd w:id="31"/>
    </w:p>
    <w:p w14:paraId="31D14F5A">
      <w:pPr>
        <w:ind w:firstLine="640" w:firstLineChars="200"/>
        <w:rPr>
          <w:rFonts w:eastAsia="仿宋_GB2312"/>
          <w:sz w:val="32"/>
          <w:szCs w:val="32"/>
        </w:rPr>
      </w:pPr>
      <w:r>
        <w:rPr>
          <w:rFonts w:eastAsia="仿宋_GB2312"/>
          <w:sz w:val="32"/>
          <w:szCs w:val="32"/>
        </w:rPr>
        <w:t>三亚市林业产业发展规划（2021-2035</w:t>
      </w:r>
      <w:r>
        <w:rPr>
          <w:rFonts w:hint="eastAsia" w:eastAsia="仿宋_GB2312"/>
          <w:sz w:val="32"/>
          <w:szCs w:val="32"/>
        </w:rPr>
        <w:t>年</w:t>
      </w:r>
      <w:r>
        <w:rPr>
          <w:rFonts w:eastAsia="仿宋_GB2312"/>
          <w:sz w:val="32"/>
          <w:szCs w:val="32"/>
        </w:rPr>
        <w:t>）</w:t>
      </w:r>
    </w:p>
    <w:p w14:paraId="45DDF827">
      <w:pPr>
        <w:pStyle w:val="3"/>
        <w:spacing w:before="156" w:beforeLines="50" w:after="0" w:line="240" w:lineRule="auto"/>
        <w:rPr>
          <w:rFonts w:ascii="Times New Roman" w:hAnsi="Times New Roman" w:eastAsia="黑体"/>
        </w:rPr>
      </w:pPr>
      <w:bookmarkStart w:id="32" w:name="_Toc82546055"/>
      <w:r>
        <w:rPr>
          <w:rFonts w:ascii="Times New Roman" w:hAnsi="Times New Roman" w:eastAsia="黑体"/>
        </w:rPr>
        <w:t>1.2 项目主管部门</w:t>
      </w:r>
      <w:bookmarkEnd w:id="32"/>
    </w:p>
    <w:p w14:paraId="6F85BC71">
      <w:pPr>
        <w:tabs>
          <w:tab w:val="left" w:pos="3228"/>
        </w:tabs>
        <w:ind w:firstLine="640" w:firstLineChars="200"/>
        <w:rPr>
          <w:rFonts w:eastAsia="仿宋_GB2312"/>
          <w:sz w:val="32"/>
          <w:szCs w:val="32"/>
        </w:rPr>
      </w:pPr>
      <w:r>
        <w:rPr>
          <w:rFonts w:eastAsia="仿宋_GB2312"/>
          <w:sz w:val="32"/>
          <w:szCs w:val="32"/>
        </w:rPr>
        <w:t>三亚市林业局</w:t>
      </w:r>
      <w:r>
        <w:rPr>
          <w:rFonts w:eastAsia="仿宋_GB2312"/>
          <w:sz w:val="32"/>
          <w:szCs w:val="32"/>
        </w:rPr>
        <w:tab/>
      </w:r>
    </w:p>
    <w:p w14:paraId="789B37CE">
      <w:pPr>
        <w:pStyle w:val="3"/>
        <w:spacing w:before="156" w:beforeLines="50" w:after="0" w:line="240" w:lineRule="auto"/>
        <w:rPr>
          <w:rFonts w:ascii="Times New Roman" w:hAnsi="Times New Roman" w:eastAsia="黑体"/>
        </w:rPr>
      </w:pPr>
      <w:bookmarkStart w:id="33" w:name="_Toc82546056"/>
      <w:r>
        <w:rPr>
          <w:rFonts w:ascii="Times New Roman" w:hAnsi="Times New Roman" w:eastAsia="黑体"/>
        </w:rPr>
        <w:t>1.3 规划期限</w:t>
      </w:r>
      <w:bookmarkEnd w:id="33"/>
    </w:p>
    <w:p w14:paraId="75B8C44E">
      <w:pPr>
        <w:ind w:firstLine="640" w:firstLineChars="200"/>
        <w:rPr>
          <w:rFonts w:eastAsia="仿宋_GB2312"/>
          <w:sz w:val="32"/>
          <w:szCs w:val="32"/>
        </w:rPr>
      </w:pPr>
      <w:r>
        <w:rPr>
          <w:rFonts w:eastAsia="仿宋_GB2312"/>
          <w:sz w:val="32"/>
          <w:szCs w:val="32"/>
        </w:rPr>
        <w:t>规划期限为2021~2035年，共15年。</w:t>
      </w:r>
    </w:p>
    <w:p w14:paraId="4C4FE8E2">
      <w:pPr>
        <w:pStyle w:val="3"/>
        <w:spacing w:before="156" w:beforeLines="50" w:after="0" w:line="240" w:lineRule="auto"/>
        <w:rPr>
          <w:rFonts w:ascii="Times New Roman" w:hAnsi="Times New Roman" w:eastAsia="黑体"/>
        </w:rPr>
      </w:pPr>
      <w:bookmarkStart w:id="34" w:name="_Toc82546057"/>
      <w:r>
        <w:rPr>
          <w:rFonts w:ascii="Times New Roman" w:hAnsi="Times New Roman" w:eastAsia="黑体"/>
        </w:rPr>
        <w:t>1.4 规划范围</w:t>
      </w:r>
      <w:bookmarkEnd w:id="34"/>
    </w:p>
    <w:p w14:paraId="30A60C61">
      <w:pPr>
        <w:ind w:firstLine="640" w:firstLineChars="200"/>
        <w:rPr>
          <w:rFonts w:eastAsia="仿宋_GB2312"/>
          <w:sz w:val="32"/>
          <w:szCs w:val="32"/>
        </w:rPr>
      </w:pPr>
      <w:r>
        <w:rPr>
          <w:rFonts w:eastAsia="仿宋_GB2312"/>
          <w:sz w:val="32"/>
          <w:szCs w:val="32"/>
        </w:rPr>
        <w:t>规划范围为三亚市行政区域范围内的所有林地和依法可用于林业发展的其他土地，涵盖天涯区、吉阳区、崖州区、海棠区</w:t>
      </w:r>
      <w:r>
        <w:rPr>
          <w:rFonts w:hint="eastAsia" w:eastAsia="仿宋_GB2312"/>
          <w:sz w:val="32"/>
          <w:szCs w:val="32"/>
        </w:rPr>
        <w:t>、</w:t>
      </w:r>
      <w:r>
        <w:rPr>
          <w:rFonts w:eastAsia="仿宋_GB2312"/>
          <w:sz w:val="32"/>
          <w:szCs w:val="32"/>
        </w:rPr>
        <w:t>育才生态区。</w:t>
      </w:r>
    </w:p>
    <w:p w14:paraId="6D35BCC1">
      <w:pPr>
        <w:pStyle w:val="3"/>
        <w:spacing w:before="156" w:beforeLines="50" w:after="0" w:line="240" w:lineRule="auto"/>
        <w:rPr>
          <w:rFonts w:ascii="Times New Roman" w:hAnsi="Times New Roman" w:eastAsia="黑体"/>
        </w:rPr>
      </w:pPr>
      <w:bookmarkStart w:id="35" w:name="_Toc82546058"/>
      <w:r>
        <w:rPr>
          <w:rFonts w:ascii="Times New Roman" w:hAnsi="Times New Roman" w:eastAsia="黑体"/>
        </w:rPr>
        <w:t>1.5 规划目标与主要内容</w:t>
      </w:r>
      <w:bookmarkEnd w:id="35"/>
    </w:p>
    <w:p w14:paraId="419717F2">
      <w:pPr>
        <w:rPr>
          <w:rFonts w:eastAsia="仿宋_GB2312"/>
          <w:sz w:val="32"/>
          <w:szCs w:val="32"/>
        </w:rPr>
      </w:pPr>
      <w:r>
        <w:rPr>
          <w:rFonts w:eastAsia="仿宋_GB2312"/>
          <w:b/>
          <w:sz w:val="32"/>
          <w:szCs w:val="32"/>
        </w:rPr>
        <w:t>1.5.1 规划目标</w:t>
      </w:r>
    </w:p>
    <w:p w14:paraId="5C7E850A">
      <w:pPr>
        <w:ind w:firstLine="640" w:firstLineChars="200"/>
        <w:rPr>
          <w:rFonts w:eastAsia="仿宋_GB2312"/>
          <w:sz w:val="32"/>
          <w:szCs w:val="32"/>
        </w:rPr>
      </w:pPr>
      <w:r>
        <w:rPr>
          <w:rFonts w:hint="eastAsia" w:eastAsia="仿宋_GB2312"/>
          <w:sz w:val="32"/>
          <w:szCs w:val="32"/>
        </w:rPr>
        <w:t>围绕</w:t>
      </w:r>
      <w:r>
        <w:rPr>
          <w:rFonts w:eastAsia="仿宋_GB2312"/>
          <w:sz w:val="32"/>
          <w:szCs w:val="32"/>
        </w:rPr>
        <w:t>海南自由贸易</w:t>
      </w:r>
      <w:r>
        <w:rPr>
          <w:rFonts w:hint="eastAsia" w:eastAsia="仿宋_GB2312"/>
          <w:sz w:val="32"/>
          <w:szCs w:val="32"/>
        </w:rPr>
        <w:t>港</w:t>
      </w:r>
      <w:r>
        <w:rPr>
          <w:rFonts w:eastAsia="仿宋_GB2312"/>
          <w:sz w:val="32"/>
          <w:szCs w:val="32"/>
        </w:rPr>
        <w:t>生态文明试验区建设</w:t>
      </w:r>
      <w:r>
        <w:rPr>
          <w:rFonts w:hint="eastAsia" w:eastAsia="仿宋_GB2312"/>
          <w:sz w:val="32"/>
          <w:szCs w:val="32"/>
        </w:rPr>
        <w:t>的总体布局</w:t>
      </w:r>
      <w:r>
        <w:rPr>
          <w:rFonts w:eastAsia="仿宋_GB2312"/>
          <w:sz w:val="32"/>
          <w:szCs w:val="32"/>
        </w:rPr>
        <w:t>，立足科技兴林，以点带面、连片开发，促进</w:t>
      </w:r>
      <w:r>
        <w:rPr>
          <w:rFonts w:hint="eastAsia" w:eastAsia="仿宋_GB2312"/>
          <w:sz w:val="32"/>
          <w:szCs w:val="32"/>
        </w:rPr>
        <w:t>三亚市</w:t>
      </w:r>
      <w:r>
        <w:rPr>
          <w:rFonts w:eastAsia="仿宋_GB2312"/>
          <w:sz w:val="32"/>
          <w:szCs w:val="32"/>
        </w:rPr>
        <w:t>特色林业产业布局优化，强化区域特色产业发展，大力推进林业产业龙头企业建设，实现企业与农户有机结合，提升区域林业产业规模化、集约化</w:t>
      </w:r>
      <w:r>
        <w:rPr>
          <w:rFonts w:hint="eastAsia" w:eastAsia="仿宋_GB2312"/>
          <w:sz w:val="32"/>
          <w:szCs w:val="32"/>
        </w:rPr>
        <w:t>、</w:t>
      </w:r>
      <w:r>
        <w:rPr>
          <w:rFonts w:eastAsia="仿宋_GB2312"/>
          <w:sz w:val="32"/>
          <w:szCs w:val="32"/>
        </w:rPr>
        <w:t>现代化；强化技术服务和市场引导，以创建绿色、循环利用的生态产业链；建立多元、稳定、安全的林业生态资源和产品应用体系；构建一批分布合理的高新技术、林产品交易市场集群，基本建成分布合理、结构齐全、竞争有力的优质高效的林业产业体系，不断满足经济社会发展和人民生活对森林产品及服务利益增长的需求。</w:t>
      </w:r>
    </w:p>
    <w:p w14:paraId="7CC2C093">
      <w:pPr>
        <w:ind w:firstLine="640" w:firstLineChars="200"/>
        <w:jc w:val="left"/>
        <w:rPr>
          <w:rFonts w:hint="eastAsia" w:eastAsia="仿宋_GB2312"/>
          <w:sz w:val="32"/>
          <w:szCs w:val="32"/>
        </w:rPr>
      </w:pPr>
      <w:r>
        <w:rPr>
          <w:rFonts w:hint="eastAsia" w:eastAsia="仿宋_GB2312"/>
          <w:sz w:val="32"/>
          <w:szCs w:val="32"/>
        </w:rPr>
        <w:t>规划至 2025年，三亚市林业产业总产值达到 57.5亿元；产业结构进一步优化，第三产业比例大幅度提高，达到 26%，第一产业调整到72%。规划至2035年，三亚林业保持全省领先地位，三亚市林业产业总产值达到85.2亿元，第一产业占总产值的比例调整为55%，第二产业和第三产业的产值之和占总产值的比例为45%。</w:t>
      </w:r>
    </w:p>
    <w:p w14:paraId="5662AF7A">
      <w:pPr>
        <w:rPr>
          <w:rFonts w:eastAsia="仿宋_GB2312"/>
          <w:b/>
          <w:sz w:val="32"/>
          <w:szCs w:val="32"/>
        </w:rPr>
      </w:pPr>
      <w:r>
        <w:rPr>
          <w:rFonts w:eastAsia="仿宋_GB2312"/>
          <w:b/>
          <w:sz w:val="32"/>
          <w:szCs w:val="32"/>
        </w:rPr>
        <w:t>1.5.</w:t>
      </w:r>
      <w:r>
        <w:rPr>
          <w:rFonts w:hint="eastAsia" w:eastAsia="仿宋_GB2312"/>
          <w:b/>
          <w:sz w:val="32"/>
          <w:szCs w:val="32"/>
        </w:rPr>
        <w:t>2</w:t>
      </w:r>
      <w:r>
        <w:rPr>
          <w:rFonts w:eastAsia="仿宋_GB2312"/>
          <w:b/>
          <w:sz w:val="32"/>
          <w:szCs w:val="32"/>
        </w:rPr>
        <w:t xml:space="preserve"> 规划内容</w:t>
      </w:r>
    </w:p>
    <w:p w14:paraId="22F2C0B3">
      <w:pPr>
        <w:ind w:firstLine="640" w:firstLineChars="200"/>
        <w:rPr>
          <w:rFonts w:eastAsia="仿宋_GB2312"/>
          <w:b/>
          <w:sz w:val="32"/>
          <w:szCs w:val="32"/>
        </w:rPr>
      </w:pPr>
      <w:r>
        <w:rPr>
          <w:rFonts w:hint="eastAsia" w:eastAsia="仿宋_GB2312"/>
          <w:sz w:val="32"/>
          <w:szCs w:val="32"/>
        </w:rPr>
        <w:t>三亚市</w:t>
      </w:r>
      <w:r>
        <w:rPr>
          <w:rFonts w:eastAsia="仿宋_GB2312"/>
          <w:sz w:val="32"/>
          <w:szCs w:val="32"/>
        </w:rPr>
        <w:t>林业产业发展</w:t>
      </w:r>
      <w:r>
        <w:rPr>
          <w:rFonts w:hint="eastAsia" w:eastAsia="仿宋_GB2312"/>
          <w:sz w:val="32"/>
          <w:szCs w:val="32"/>
        </w:rPr>
        <w:t>规划主要内容包括</w:t>
      </w:r>
      <w:r>
        <w:rPr>
          <w:rFonts w:eastAsia="仿宋_GB2312"/>
          <w:sz w:val="32"/>
          <w:szCs w:val="32"/>
        </w:rPr>
        <w:t>森林旅游与森林康养</w:t>
      </w:r>
      <w:r>
        <w:rPr>
          <w:rFonts w:hint="eastAsia" w:eastAsia="仿宋_GB2312"/>
          <w:sz w:val="32"/>
          <w:szCs w:val="32"/>
        </w:rPr>
        <w:t>产业</w:t>
      </w:r>
      <w:r>
        <w:rPr>
          <w:rFonts w:eastAsia="仿宋_GB2312"/>
          <w:sz w:val="32"/>
          <w:szCs w:val="32"/>
        </w:rPr>
        <w:t>、林木种苗与花卉</w:t>
      </w:r>
      <w:r>
        <w:rPr>
          <w:rFonts w:hint="eastAsia" w:eastAsia="仿宋_GB2312"/>
          <w:sz w:val="32"/>
          <w:szCs w:val="32"/>
        </w:rPr>
        <w:t>产业</w:t>
      </w:r>
      <w:r>
        <w:rPr>
          <w:rFonts w:eastAsia="仿宋_GB2312"/>
          <w:sz w:val="32"/>
          <w:szCs w:val="32"/>
        </w:rPr>
        <w:t>、用材林</w:t>
      </w:r>
      <w:r>
        <w:rPr>
          <w:rFonts w:hint="eastAsia" w:eastAsia="仿宋_GB2312"/>
          <w:sz w:val="32"/>
          <w:szCs w:val="32"/>
        </w:rPr>
        <w:t>产业</w:t>
      </w:r>
      <w:r>
        <w:rPr>
          <w:rFonts w:eastAsia="仿宋_GB2312"/>
          <w:sz w:val="32"/>
          <w:szCs w:val="32"/>
        </w:rPr>
        <w:t>、经济林</w:t>
      </w:r>
      <w:r>
        <w:rPr>
          <w:rFonts w:hint="eastAsia" w:eastAsia="仿宋_GB2312"/>
          <w:sz w:val="32"/>
          <w:szCs w:val="32"/>
        </w:rPr>
        <w:t>产业</w:t>
      </w:r>
      <w:r>
        <w:rPr>
          <w:rFonts w:eastAsia="仿宋_GB2312"/>
          <w:sz w:val="32"/>
          <w:szCs w:val="32"/>
        </w:rPr>
        <w:t>、林下经济</w:t>
      </w:r>
      <w:r>
        <w:rPr>
          <w:rFonts w:hint="eastAsia" w:eastAsia="仿宋_GB2312"/>
          <w:sz w:val="32"/>
          <w:szCs w:val="32"/>
        </w:rPr>
        <w:t>产业和</w:t>
      </w:r>
      <w:r>
        <w:rPr>
          <w:rFonts w:eastAsia="仿宋_GB2312"/>
          <w:sz w:val="32"/>
          <w:szCs w:val="32"/>
        </w:rPr>
        <w:t>生态保护与修复</w:t>
      </w:r>
      <w:r>
        <w:rPr>
          <w:rFonts w:hint="eastAsia" w:eastAsia="仿宋_GB2312"/>
          <w:sz w:val="32"/>
          <w:szCs w:val="32"/>
        </w:rPr>
        <w:t>产业</w:t>
      </w:r>
      <w:r>
        <w:rPr>
          <w:rFonts w:eastAsia="仿宋_GB2312"/>
          <w:sz w:val="32"/>
          <w:szCs w:val="32"/>
        </w:rPr>
        <w:t>6个</w:t>
      </w:r>
      <w:r>
        <w:rPr>
          <w:rFonts w:hint="eastAsia" w:eastAsia="仿宋_GB2312"/>
          <w:sz w:val="32"/>
          <w:szCs w:val="32"/>
        </w:rPr>
        <w:t>方面</w:t>
      </w:r>
      <w:r>
        <w:rPr>
          <w:rFonts w:eastAsia="仿宋_GB2312"/>
          <w:sz w:val="32"/>
          <w:szCs w:val="32"/>
        </w:rPr>
        <w:t>。</w:t>
      </w:r>
    </w:p>
    <w:p w14:paraId="55D763A6">
      <w:pPr>
        <w:pStyle w:val="3"/>
        <w:spacing w:before="156" w:beforeLines="50" w:after="0" w:line="240" w:lineRule="auto"/>
        <w:rPr>
          <w:rFonts w:ascii="Times New Roman" w:hAnsi="Times New Roman" w:eastAsia="黑体"/>
        </w:rPr>
      </w:pPr>
      <w:bookmarkStart w:id="36" w:name="_Toc82546059"/>
      <w:r>
        <w:rPr>
          <w:rFonts w:ascii="Times New Roman" w:hAnsi="Times New Roman" w:eastAsia="黑体"/>
        </w:rPr>
        <w:t>1.6 投资规模与资金来源</w:t>
      </w:r>
      <w:bookmarkEnd w:id="36"/>
    </w:p>
    <w:p w14:paraId="4316C23A">
      <w:pPr>
        <w:ind w:firstLine="640" w:firstLineChars="200"/>
        <w:jc w:val="left"/>
        <w:rPr>
          <w:rFonts w:eastAsia="仿宋_GB2312"/>
          <w:sz w:val="32"/>
          <w:szCs w:val="32"/>
        </w:rPr>
      </w:pPr>
      <w:r>
        <w:rPr>
          <w:rFonts w:eastAsia="仿宋_GB2312"/>
          <w:sz w:val="32"/>
          <w:szCs w:val="32"/>
        </w:rPr>
        <w:t>经估算，三亚市林业产业发展规划（2021-2035</w:t>
      </w:r>
      <w:r>
        <w:rPr>
          <w:rFonts w:hint="eastAsia" w:eastAsia="仿宋_GB2312"/>
          <w:sz w:val="32"/>
          <w:szCs w:val="32"/>
        </w:rPr>
        <w:t>年），15年计划总投资1784300万元。其中</w:t>
      </w:r>
      <w:r>
        <w:rPr>
          <w:rFonts w:eastAsia="仿宋_GB2312"/>
          <w:sz w:val="32"/>
          <w:szCs w:val="32"/>
        </w:rPr>
        <w:t>2021~2025</w:t>
      </w:r>
      <w:r>
        <w:rPr>
          <w:rFonts w:hint="eastAsia" w:eastAsia="仿宋_GB2312"/>
          <w:sz w:val="32"/>
          <w:szCs w:val="32"/>
        </w:rPr>
        <w:t>年累计投入资金730850万元，</w:t>
      </w:r>
      <w:r>
        <w:rPr>
          <w:rFonts w:eastAsia="仿宋_GB2312"/>
          <w:sz w:val="32"/>
          <w:szCs w:val="32"/>
        </w:rPr>
        <w:t>2026~2035</w:t>
      </w:r>
      <w:r>
        <w:rPr>
          <w:rFonts w:hint="eastAsia" w:eastAsia="仿宋_GB2312"/>
          <w:sz w:val="32"/>
          <w:szCs w:val="32"/>
        </w:rPr>
        <w:t>年累计投入资金1053450万元。各专项产业投资如下：</w:t>
      </w:r>
    </w:p>
    <w:p w14:paraId="5B260CA0">
      <w:pPr>
        <w:ind w:firstLine="640" w:firstLineChars="200"/>
        <w:jc w:val="left"/>
        <w:rPr>
          <w:rFonts w:eastAsia="仿宋_GB2312"/>
          <w:sz w:val="32"/>
          <w:szCs w:val="32"/>
        </w:rPr>
      </w:pPr>
      <w:r>
        <w:rPr>
          <w:rFonts w:eastAsia="仿宋_GB2312"/>
          <w:sz w:val="32"/>
          <w:szCs w:val="32"/>
        </w:rPr>
        <w:t>（1</w:t>
      </w:r>
      <w:r>
        <w:rPr>
          <w:rFonts w:hint="eastAsia" w:eastAsia="仿宋_GB2312"/>
          <w:sz w:val="32"/>
          <w:szCs w:val="32"/>
        </w:rPr>
        <w:t>）森林旅游与康养产业投资967900万元，占总投资的54.25</w:t>
      </w:r>
      <w:r>
        <w:rPr>
          <w:rFonts w:eastAsia="仿宋_GB2312"/>
          <w:sz w:val="32"/>
          <w:szCs w:val="32"/>
        </w:rPr>
        <w:t>%</w:t>
      </w:r>
      <w:r>
        <w:rPr>
          <w:rFonts w:hint="eastAsia" w:eastAsia="仿宋_GB2312"/>
          <w:sz w:val="32"/>
          <w:szCs w:val="32"/>
        </w:rPr>
        <w:t>；</w:t>
      </w:r>
    </w:p>
    <w:p w14:paraId="5DBF42FF">
      <w:pPr>
        <w:ind w:firstLine="640" w:firstLineChars="200"/>
        <w:jc w:val="left"/>
        <w:rPr>
          <w:rFonts w:eastAsia="仿宋_GB2312"/>
          <w:sz w:val="32"/>
          <w:szCs w:val="32"/>
        </w:rPr>
      </w:pPr>
      <w:r>
        <w:rPr>
          <w:rFonts w:eastAsia="仿宋_GB2312"/>
          <w:sz w:val="32"/>
          <w:szCs w:val="32"/>
        </w:rPr>
        <w:t>（2</w:t>
      </w:r>
      <w:r>
        <w:rPr>
          <w:rFonts w:hint="eastAsia" w:eastAsia="仿宋_GB2312"/>
          <w:sz w:val="32"/>
          <w:szCs w:val="32"/>
        </w:rPr>
        <w:t>）林木种苗与花卉产业投资333000万元，占总投资的18.66</w:t>
      </w:r>
      <w:r>
        <w:rPr>
          <w:rFonts w:eastAsia="仿宋_GB2312"/>
          <w:sz w:val="32"/>
          <w:szCs w:val="32"/>
        </w:rPr>
        <w:t xml:space="preserve"> %</w:t>
      </w:r>
      <w:r>
        <w:rPr>
          <w:rFonts w:hint="eastAsia" w:eastAsia="仿宋_GB2312"/>
          <w:sz w:val="32"/>
          <w:szCs w:val="32"/>
        </w:rPr>
        <w:t>；</w:t>
      </w:r>
    </w:p>
    <w:p w14:paraId="0D7A078F">
      <w:pPr>
        <w:ind w:firstLine="640" w:firstLineChars="200"/>
        <w:jc w:val="left"/>
        <w:rPr>
          <w:rFonts w:eastAsia="仿宋_GB2312"/>
          <w:sz w:val="32"/>
          <w:szCs w:val="32"/>
        </w:rPr>
      </w:pPr>
      <w:r>
        <w:rPr>
          <w:rFonts w:eastAsia="仿宋_GB2312"/>
          <w:sz w:val="32"/>
          <w:szCs w:val="32"/>
        </w:rPr>
        <w:t>（3</w:t>
      </w:r>
      <w:r>
        <w:rPr>
          <w:rFonts w:hint="eastAsia" w:eastAsia="仿宋_GB2312"/>
          <w:sz w:val="32"/>
          <w:szCs w:val="32"/>
        </w:rPr>
        <w:t>）用材林产业投资86000万元，占总投资的4.82</w:t>
      </w:r>
      <w:r>
        <w:rPr>
          <w:rFonts w:eastAsia="仿宋_GB2312"/>
          <w:sz w:val="32"/>
          <w:szCs w:val="32"/>
        </w:rPr>
        <w:t>%</w:t>
      </w:r>
      <w:r>
        <w:rPr>
          <w:rFonts w:hint="eastAsia" w:eastAsia="仿宋_GB2312"/>
          <w:sz w:val="32"/>
          <w:szCs w:val="32"/>
        </w:rPr>
        <w:t>；</w:t>
      </w:r>
    </w:p>
    <w:p w14:paraId="1D80A10A">
      <w:pPr>
        <w:ind w:firstLine="640" w:firstLineChars="200"/>
        <w:jc w:val="left"/>
        <w:rPr>
          <w:rFonts w:eastAsia="仿宋_GB2312"/>
          <w:sz w:val="32"/>
          <w:szCs w:val="32"/>
        </w:rPr>
      </w:pPr>
      <w:r>
        <w:rPr>
          <w:rFonts w:eastAsia="仿宋_GB2312"/>
          <w:sz w:val="32"/>
          <w:szCs w:val="32"/>
        </w:rPr>
        <w:t>（4</w:t>
      </w:r>
      <w:r>
        <w:rPr>
          <w:rFonts w:hint="eastAsia" w:eastAsia="仿宋_GB2312"/>
          <w:sz w:val="32"/>
          <w:szCs w:val="32"/>
        </w:rPr>
        <w:t>）经济林产业投资123500万元，占总投资的6.92</w:t>
      </w:r>
      <w:r>
        <w:rPr>
          <w:rFonts w:eastAsia="仿宋_GB2312"/>
          <w:sz w:val="32"/>
          <w:szCs w:val="32"/>
        </w:rPr>
        <w:t>%</w:t>
      </w:r>
      <w:r>
        <w:rPr>
          <w:rFonts w:hint="eastAsia" w:eastAsia="仿宋_GB2312"/>
          <w:sz w:val="32"/>
          <w:szCs w:val="32"/>
        </w:rPr>
        <w:t>；</w:t>
      </w:r>
    </w:p>
    <w:p w14:paraId="6AAEB6ED">
      <w:pPr>
        <w:ind w:firstLine="640" w:firstLineChars="200"/>
        <w:jc w:val="left"/>
        <w:rPr>
          <w:rFonts w:eastAsia="仿宋_GB2312"/>
          <w:sz w:val="32"/>
          <w:szCs w:val="32"/>
        </w:rPr>
      </w:pPr>
      <w:r>
        <w:rPr>
          <w:rFonts w:eastAsia="仿宋_GB2312"/>
          <w:sz w:val="32"/>
          <w:szCs w:val="32"/>
        </w:rPr>
        <w:t>（5</w:t>
      </w:r>
      <w:r>
        <w:rPr>
          <w:rFonts w:hint="eastAsia" w:eastAsia="仿宋_GB2312"/>
          <w:sz w:val="32"/>
          <w:szCs w:val="32"/>
        </w:rPr>
        <w:t>）林下经济产业投资29200万元，占总投资的1.64</w:t>
      </w:r>
      <w:r>
        <w:rPr>
          <w:rFonts w:eastAsia="仿宋_GB2312"/>
          <w:sz w:val="32"/>
          <w:szCs w:val="32"/>
        </w:rPr>
        <w:t>%</w:t>
      </w:r>
      <w:r>
        <w:rPr>
          <w:rFonts w:hint="eastAsia" w:eastAsia="仿宋_GB2312"/>
          <w:sz w:val="32"/>
          <w:szCs w:val="32"/>
        </w:rPr>
        <w:t>；</w:t>
      </w:r>
    </w:p>
    <w:p w14:paraId="4BAC8813">
      <w:pPr>
        <w:ind w:firstLine="640" w:firstLineChars="200"/>
        <w:jc w:val="left"/>
        <w:rPr>
          <w:rFonts w:hint="eastAsia" w:eastAsia="仿宋_GB2312"/>
          <w:sz w:val="32"/>
          <w:szCs w:val="32"/>
        </w:rPr>
      </w:pPr>
      <w:r>
        <w:rPr>
          <w:rFonts w:eastAsia="仿宋_GB2312"/>
          <w:sz w:val="32"/>
          <w:szCs w:val="32"/>
        </w:rPr>
        <w:t>（6</w:t>
      </w:r>
      <w:r>
        <w:rPr>
          <w:rFonts w:hint="eastAsia" w:eastAsia="仿宋_GB2312"/>
          <w:sz w:val="32"/>
          <w:szCs w:val="32"/>
        </w:rPr>
        <w:t>）生态保护与修复产业投资244700万元，占总投资的13.71</w:t>
      </w:r>
      <w:r>
        <w:rPr>
          <w:rFonts w:eastAsia="仿宋_GB2312"/>
          <w:sz w:val="32"/>
          <w:szCs w:val="32"/>
        </w:rPr>
        <w:t>%</w:t>
      </w:r>
      <w:r>
        <w:rPr>
          <w:rFonts w:hint="eastAsia" w:eastAsia="仿宋_GB2312"/>
          <w:sz w:val="32"/>
          <w:szCs w:val="32"/>
        </w:rPr>
        <w:t>。</w:t>
      </w:r>
    </w:p>
    <w:p w14:paraId="34ED22E9">
      <w:pPr>
        <w:ind w:firstLine="643" w:firstLineChars="200"/>
        <w:jc w:val="left"/>
        <w:rPr>
          <w:rFonts w:eastAsia="仿宋_GB2312"/>
          <w:sz w:val="32"/>
          <w:szCs w:val="32"/>
        </w:rPr>
        <w:sectPr>
          <w:footerReference r:id="rId5" w:type="default"/>
          <w:pgSz w:w="11906" w:h="16838"/>
          <w:pgMar w:top="1440" w:right="1800" w:bottom="1440" w:left="1800" w:header="851" w:footer="992" w:gutter="0"/>
          <w:pgNumType w:start="1"/>
          <w:cols w:space="720" w:num="1"/>
          <w:docGrid w:type="lines" w:linePitch="312" w:charSpace="0"/>
        </w:sectPr>
      </w:pPr>
      <w:r>
        <w:rPr>
          <w:rFonts w:eastAsia="仿宋_GB2312"/>
          <w:b/>
          <w:sz w:val="32"/>
          <w:szCs w:val="32"/>
        </w:rPr>
        <w:t>资金来源：</w:t>
      </w:r>
      <w:r>
        <w:rPr>
          <w:rFonts w:eastAsia="仿宋_GB2312"/>
          <w:sz w:val="32"/>
          <w:szCs w:val="32"/>
        </w:rPr>
        <w:t>政府投资</w:t>
      </w:r>
      <w:r>
        <w:rPr>
          <w:rFonts w:hint="eastAsia" w:eastAsia="仿宋_GB2312"/>
          <w:sz w:val="32"/>
          <w:szCs w:val="32"/>
        </w:rPr>
        <w:t>和社会投资</w:t>
      </w:r>
      <w:r>
        <w:rPr>
          <w:rFonts w:eastAsia="仿宋_GB2312"/>
          <w:sz w:val="32"/>
          <w:szCs w:val="32"/>
        </w:rPr>
        <w:t>。</w:t>
      </w:r>
    </w:p>
    <w:p w14:paraId="08610E9A">
      <w:pPr>
        <w:pStyle w:val="15"/>
        <w:ind w:firstLine="720"/>
        <w:rPr>
          <w:rFonts w:ascii="Times New Roman" w:hAnsi="Times New Roman" w:eastAsia="黑体"/>
          <w:sz w:val="36"/>
        </w:rPr>
      </w:pPr>
      <w:bookmarkStart w:id="37" w:name="_Toc82546060"/>
      <w:r>
        <w:rPr>
          <w:rFonts w:ascii="Times New Roman" w:hAnsi="Times New Roman" w:eastAsia="黑体"/>
          <w:sz w:val="36"/>
        </w:rPr>
        <w:t>第二章 规划背景与意义</w:t>
      </w:r>
      <w:bookmarkEnd w:id="37"/>
    </w:p>
    <w:p w14:paraId="0E79E824">
      <w:pPr>
        <w:pStyle w:val="3"/>
        <w:spacing w:before="0" w:after="0" w:line="240" w:lineRule="auto"/>
        <w:rPr>
          <w:rFonts w:hint="eastAsia" w:eastAsia="仿宋_GB2312"/>
        </w:rPr>
      </w:pPr>
      <w:bookmarkStart w:id="38" w:name="_Toc82546061"/>
      <w:r>
        <w:rPr>
          <w:rFonts w:ascii="Times New Roman" w:hAnsi="Times New Roman" w:eastAsia="黑体"/>
        </w:rPr>
        <w:t>2.1 规划背景</w:t>
      </w:r>
      <w:bookmarkEnd w:id="38"/>
    </w:p>
    <w:p w14:paraId="75CB5769">
      <w:pPr>
        <w:ind w:firstLine="641"/>
        <w:rPr>
          <w:rFonts w:hint="eastAsia" w:eastAsia="仿宋_GB2312"/>
          <w:sz w:val="32"/>
          <w:szCs w:val="32"/>
        </w:rPr>
      </w:pPr>
      <w:r>
        <w:rPr>
          <w:rFonts w:hint="eastAsia" w:eastAsia="仿宋_GB2312"/>
          <w:sz w:val="32"/>
          <w:szCs w:val="32"/>
        </w:rPr>
        <w:t>党的十九大报告中，坚持人与自然和谐共生成为坚持和发展中国特色社会主义的基本方略之一，建设美丽中国成为建设社会主义现代化强国的重要目标之一，提供更多优质生态产品成为现代化建设的重要任务之一，绿水青山就是金山银山成为建设生态文明的重要理念之一。这些重大理论创新，正给林业现代化建设带来深层次、全方位的影响，既赋予了林业新地位新使命，也对林业改革发展提出了新理念新要求。</w:t>
      </w:r>
    </w:p>
    <w:p w14:paraId="14E5490A">
      <w:pPr>
        <w:pBdr>
          <w:top w:val="none" w:color="auto" w:sz="0" w:space="1"/>
          <w:left w:val="none" w:color="auto" w:sz="0" w:space="4"/>
          <w:bottom w:val="none" w:color="auto" w:sz="0" w:space="1"/>
          <w:right w:val="none" w:color="auto" w:sz="0" w:space="4"/>
        </w:pBdr>
        <w:spacing w:line="360" w:lineRule="auto"/>
        <w:ind w:firstLine="640" w:firstLineChars="200"/>
        <w:rPr>
          <w:rFonts w:eastAsia="仿宋_GB2312"/>
          <w:kern w:val="0"/>
          <w:sz w:val="32"/>
          <w:szCs w:val="32"/>
        </w:rPr>
      </w:pPr>
      <w:r>
        <w:rPr>
          <w:rFonts w:eastAsia="仿宋_GB2312"/>
          <w:kern w:val="0"/>
          <w:sz w:val="32"/>
          <w:szCs w:val="32"/>
        </w:rPr>
        <w:t>当前，中央“十四五”规划建议提出，“十四五”时期，必须充分贯彻习近平总书记的“两山理论”和绿色发展理念，以满足人民群众日益增长的生态需求为出发点，全面落实党的十九大和十九届三中、四中、五中、六中全会精神，牢固树立绿色发展理念，以转变林业发展方式为主线，以提高森林质量效益、充分发挥森林多种功能、实现森林可持续经营为目标，以多功能森林经营理论为指导，尊重林业自然规律和经济规律，分类经营、分区施策，创新政策和管理机制，完善科技支撑体系，加强基础能力建设，全面提升森林经营水平，促进培育健康稳定优质高效的森林生态系统，增强森林的供给、调节、服务、支持等功能，持续获取森林生态产品。坚持创新、协调、绿色、开放、共享的发展理念，按照生态保护优先的要求，坚持森林经营多功能经营、多效益统筹，以生态建设为主的林业产业发展思路。发展林业产业既是实现绿色发展的潜力所在，又是实现协调发展、共享发展的优势所在，还是推进创新发展、开放发展的重要领域，加快林业产业发展对于贯彻落实五大发展新理念，实现“绿水青山就是金山银山”的战略构想意义重大。</w:t>
      </w:r>
    </w:p>
    <w:p w14:paraId="3B2FBBB5">
      <w:pPr>
        <w:ind w:firstLine="641"/>
        <w:rPr>
          <w:rFonts w:hint="eastAsia" w:eastAsia="仿宋_GB2312"/>
          <w:sz w:val="32"/>
          <w:szCs w:val="32"/>
        </w:rPr>
      </w:pPr>
      <w:r>
        <w:rPr>
          <w:rFonts w:eastAsia="仿宋_GB2312"/>
          <w:sz w:val="32"/>
          <w:szCs w:val="32"/>
        </w:rPr>
        <w:t>2020年6月1日，中共中央、国务院印发</w:t>
      </w:r>
      <w:r>
        <w:rPr>
          <w:rFonts w:hint="eastAsia" w:eastAsia="仿宋_GB2312"/>
          <w:sz w:val="32"/>
          <w:szCs w:val="32"/>
        </w:rPr>
        <w:t>的</w:t>
      </w:r>
      <w:r>
        <w:rPr>
          <w:rFonts w:eastAsia="仿宋_GB2312"/>
          <w:sz w:val="32"/>
          <w:szCs w:val="32"/>
        </w:rPr>
        <w:t>《海南自由贸易港建设总体方案》</w:t>
      </w:r>
      <w:r>
        <w:rPr>
          <w:rFonts w:hint="eastAsia" w:eastAsia="仿宋_GB2312"/>
          <w:sz w:val="32"/>
          <w:szCs w:val="32"/>
        </w:rPr>
        <w:t>中明确指出，海南</w:t>
      </w:r>
      <w:r>
        <w:rPr>
          <w:rFonts w:eastAsia="仿宋_GB2312"/>
          <w:sz w:val="32"/>
          <w:szCs w:val="32"/>
        </w:rPr>
        <w:t>建设国家生态文明试验区、国际旅游消费中心和高新技术产业，必须充分发挥海南丰富自然资源，聚焦发展旅游产业，发展特色旅游产业集群，培育旅游新业态新模式，发挥国家南繁科研育种基地优势，建设全球热带农业中心和全球动植物种质资源引进中转基地，努力建设智慧海南。海南作为目前唯一的中国特色自由贸易港，三亚</w:t>
      </w:r>
      <w:r>
        <w:rPr>
          <w:rFonts w:hint="eastAsia" w:eastAsia="仿宋_GB2312"/>
          <w:sz w:val="32"/>
          <w:szCs w:val="32"/>
        </w:rPr>
        <w:t>又</w:t>
      </w:r>
      <w:r>
        <w:rPr>
          <w:rFonts w:eastAsia="仿宋_GB2312"/>
          <w:sz w:val="32"/>
          <w:szCs w:val="32"/>
        </w:rPr>
        <w:t>是海南“南北两极”</w:t>
      </w:r>
      <w:r>
        <w:rPr>
          <w:rFonts w:hint="eastAsia" w:eastAsia="仿宋_GB2312"/>
          <w:sz w:val="32"/>
          <w:szCs w:val="32"/>
        </w:rPr>
        <w:t>中</w:t>
      </w:r>
      <w:r>
        <w:rPr>
          <w:rFonts w:eastAsia="仿宋_GB2312"/>
          <w:sz w:val="32"/>
          <w:szCs w:val="32"/>
        </w:rPr>
        <w:t>的重要一极</w:t>
      </w:r>
      <w:r>
        <w:rPr>
          <w:rFonts w:hint="eastAsia" w:eastAsia="仿宋_GB2312"/>
          <w:sz w:val="32"/>
          <w:szCs w:val="32"/>
        </w:rPr>
        <w:t>，</w:t>
      </w:r>
      <w:r>
        <w:rPr>
          <w:rFonts w:eastAsia="仿宋_GB2312"/>
          <w:sz w:val="32"/>
          <w:szCs w:val="32"/>
        </w:rPr>
        <w:t>作为国家“一带一路”</w:t>
      </w:r>
      <w:r>
        <w:rPr>
          <w:rFonts w:hint="eastAsia" w:eastAsia="仿宋_GB2312"/>
          <w:sz w:val="32"/>
          <w:szCs w:val="32"/>
        </w:rPr>
        <w:t>倡议</w:t>
      </w:r>
      <w:r>
        <w:rPr>
          <w:rFonts w:eastAsia="仿宋_GB2312"/>
          <w:sz w:val="32"/>
          <w:szCs w:val="32"/>
        </w:rPr>
        <w:t>支点城市、“大三亚”经济圈的领头羊，在“全省一盘棋、全岛同城化”的大格局中</w:t>
      </w:r>
      <w:r>
        <w:rPr>
          <w:rFonts w:hint="eastAsia" w:eastAsia="仿宋_GB2312"/>
          <w:sz w:val="32"/>
          <w:szCs w:val="32"/>
        </w:rPr>
        <w:t>，</w:t>
      </w:r>
      <w:r>
        <w:rPr>
          <w:rFonts w:eastAsia="仿宋_GB2312"/>
          <w:sz w:val="32"/>
          <w:szCs w:val="32"/>
        </w:rPr>
        <w:t>特殊的地位</w:t>
      </w:r>
      <w:r>
        <w:rPr>
          <w:rFonts w:hint="eastAsia" w:eastAsia="仿宋_GB2312"/>
          <w:sz w:val="32"/>
          <w:szCs w:val="32"/>
        </w:rPr>
        <w:t>及</w:t>
      </w:r>
      <w:r>
        <w:rPr>
          <w:rFonts w:eastAsia="仿宋_GB2312"/>
          <w:sz w:val="32"/>
          <w:szCs w:val="32"/>
        </w:rPr>
        <w:t>责任的重大</w:t>
      </w:r>
      <w:r>
        <w:rPr>
          <w:rFonts w:hint="eastAsia" w:eastAsia="仿宋_GB2312"/>
          <w:sz w:val="32"/>
          <w:szCs w:val="32"/>
        </w:rPr>
        <w:t>是</w:t>
      </w:r>
      <w:r>
        <w:rPr>
          <w:rFonts w:eastAsia="仿宋_GB2312"/>
          <w:sz w:val="32"/>
          <w:szCs w:val="32"/>
        </w:rPr>
        <w:t>迎来前所未有的重大发展机遇</w:t>
      </w:r>
      <w:r>
        <w:rPr>
          <w:rFonts w:hint="eastAsia" w:eastAsia="仿宋_GB2312"/>
          <w:sz w:val="32"/>
          <w:szCs w:val="32"/>
        </w:rPr>
        <w:t>与挑战</w:t>
      </w:r>
      <w:r>
        <w:rPr>
          <w:rFonts w:eastAsia="仿宋_GB2312"/>
          <w:sz w:val="32"/>
          <w:szCs w:val="32"/>
        </w:rPr>
        <w:t>。</w:t>
      </w:r>
    </w:p>
    <w:p w14:paraId="3140D5A3">
      <w:pPr>
        <w:ind w:firstLine="641"/>
        <w:rPr>
          <w:sz w:val="32"/>
          <w:szCs w:val="32"/>
        </w:rPr>
      </w:pPr>
      <w:r>
        <w:rPr>
          <w:rFonts w:eastAsia="仿宋_GB2312"/>
          <w:sz w:val="32"/>
          <w:szCs w:val="32"/>
        </w:rPr>
        <w:t>发展林业产业既是实现三亚绿色发展的潜力所在，又是实现三亚经济协调发展，提升林业产业转型发展的优势所在</w:t>
      </w:r>
      <w:r>
        <w:rPr>
          <w:rFonts w:hint="eastAsia" w:eastAsia="仿宋_GB2312"/>
          <w:sz w:val="32"/>
          <w:szCs w:val="32"/>
        </w:rPr>
        <w:t>，正给三亚林业</w:t>
      </w:r>
      <w:r>
        <w:rPr>
          <w:rFonts w:eastAsia="仿宋_GB2312"/>
          <w:sz w:val="32"/>
          <w:szCs w:val="32"/>
        </w:rPr>
        <w:t>现代化建设带来深层次、全方位的影响，既赋予了林业新地位新使命，也对林业改革发展提出了新理念新要求。但同时也要</w:t>
      </w:r>
      <w:r>
        <w:rPr>
          <w:rFonts w:hint="eastAsia" w:eastAsia="仿宋_GB2312"/>
          <w:sz w:val="32"/>
          <w:szCs w:val="32"/>
        </w:rPr>
        <w:t>充分</w:t>
      </w:r>
      <w:r>
        <w:rPr>
          <w:rFonts w:eastAsia="仿宋_GB2312"/>
          <w:sz w:val="32"/>
          <w:szCs w:val="32"/>
        </w:rPr>
        <w:t>认识到，</w:t>
      </w:r>
      <w:r>
        <w:rPr>
          <w:rFonts w:hint="eastAsia" w:eastAsia="仿宋_GB2312"/>
          <w:sz w:val="32"/>
          <w:szCs w:val="32"/>
        </w:rPr>
        <w:t>当前三亚林业产业发展结构单一</w:t>
      </w:r>
      <w:r>
        <w:rPr>
          <w:rFonts w:eastAsia="仿宋_GB2312"/>
          <w:sz w:val="32"/>
          <w:szCs w:val="32"/>
        </w:rPr>
        <w:t>、</w:t>
      </w:r>
      <w:r>
        <w:rPr>
          <w:rFonts w:hint="eastAsia" w:eastAsia="仿宋_GB2312"/>
          <w:sz w:val="32"/>
          <w:szCs w:val="32"/>
        </w:rPr>
        <w:t>基础薄弱、</w:t>
      </w:r>
      <w:r>
        <w:rPr>
          <w:rFonts w:eastAsia="仿宋_GB2312"/>
          <w:sz w:val="32"/>
          <w:szCs w:val="32"/>
        </w:rPr>
        <w:t>土地资源紧缺</w:t>
      </w:r>
      <w:r>
        <w:rPr>
          <w:rFonts w:hint="eastAsia" w:eastAsia="仿宋_GB2312"/>
          <w:sz w:val="32"/>
          <w:szCs w:val="32"/>
        </w:rPr>
        <w:t>、林业发展水平</w:t>
      </w:r>
      <w:r>
        <w:rPr>
          <w:rFonts w:eastAsia="仿宋_GB2312"/>
          <w:sz w:val="32"/>
          <w:szCs w:val="32"/>
        </w:rPr>
        <w:t>不高等突出问题。</w:t>
      </w:r>
      <w:r>
        <w:rPr>
          <w:rFonts w:hint="eastAsia" w:eastAsia="仿宋_GB2312"/>
          <w:sz w:val="32"/>
          <w:szCs w:val="32"/>
        </w:rPr>
        <w:t>因此，要高质量、高标准、全方位做好</w:t>
      </w:r>
      <w:r>
        <w:rPr>
          <w:rFonts w:eastAsia="仿宋_GB2312"/>
          <w:sz w:val="32"/>
          <w:szCs w:val="32"/>
        </w:rPr>
        <w:t>三亚</w:t>
      </w:r>
      <w:r>
        <w:rPr>
          <w:rFonts w:hint="eastAsia" w:eastAsia="仿宋_GB2312"/>
          <w:sz w:val="32"/>
          <w:szCs w:val="32"/>
        </w:rPr>
        <w:t>市</w:t>
      </w:r>
      <w:r>
        <w:rPr>
          <w:rFonts w:eastAsia="仿宋_GB2312"/>
          <w:sz w:val="32"/>
          <w:szCs w:val="32"/>
        </w:rPr>
        <w:t>林业产业发展</w:t>
      </w:r>
      <w:r>
        <w:rPr>
          <w:rFonts w:hint="eastAsia" w:eastAsia="仿宋_GB2312"/>
          <w:sz w:val="32"/>
          <w:szCs w:val="32"/>
        </w:rPr>
        <w:t>规划</w:t>
      </w:r>
      <w:r>
        <w:rPr>
          <w:rFonts w:eastAsia="仿宋_GB2312"/>
          <w:sz w:val="32"/>
          <w:szCs w:val="32"/>
        </w:rPr>
        <w:t>，充分利用</w:t>
      </w:r>
      <w:r>
        <w:rPr>
          <w:rFonts w:hint="eastAsia" w:eastAsia="仿宋_GB2312"/>
          <w:sz w:val="32"/>
          <w:szCs w:val="32"/>
        </w:rPr>
        <w:t>三亚</w:t>
      </w:r>
      <w:r>
        <w:rPr>
          <w:rFonts w:eastAsia="仿宋_GB2312"/>
          <w:sz w:val="32"/>
          <w:szCs w:val="32"/>
        </w:rPr>
        <w:t>的自然资源和区位优势，</w:t>
      </w:r>
      <w:r>
        <w:rPr>
          <w:rFonts w:hint="eastAsia" w:eastAsia="仿宋_GB2312"/>
          <w:sz w:val="32"/>
          <w:szCs w:val="32"/>
        </w:rPr>
        <w:t>加速林业产业转型升级，增强绿色发展动力，</w:t>
      </w:r>
      <w:r>
        <w:rPr>
          <w:rFonts w:eastAsia="仿宋_GB2312"/>
          <w:sz w:val="32"/>
          <w:szCs w:val="32"/>
        </w:rPr>
        <w:t>提升林业产业增值，进一步加快</w:t>
      </w:r>
      <w:r>
        <w:rPr>
          <w:rFonts w:hint="eastAsia" w:eastAsia="仿宋_GB2312"/>
          <w:sz w:val="32"/>
          <w:szCs w:val="32"/>
        </w:rPr>
        <w:t>三亚</w:t>
      </w:r>
      <w:r>
        <w:rPr>
          <w:rFonts w:eastAsia="仿宋_GB2312"/>
          <w:sz w:val="32"/>
          <w:szCs w:val="32"/>
        </w:rPr>
        <w:t>经济社会发展</w:t>
      </w:r>
      <w:r>
        <w:rPr>
          <w:rFonts w:hint="eastAsia" w:eastAsia="仿宋_GB2312"/>
          <w:sz w:val="32"/>
          <w:szCs w:val="32"/>
        </w:rPr>
        <w:t>，实现生态文明与林业产业发展有机统一，走出一条具有三亚特色的绿色崛起高质量发展之路，为海南自贸港建设打造林业新标杆。</w:t>
      </w:r>
    </w:p>
    <w:p w14:paraId="1F50A19D">
      <w:pPr>
        <w:pStyle w:val="3"/>
        <w:spacing w:before="0" w:after="0" w:line="240" w:lineRule="auto"/>
        <w:rPr>
          <w:rFonts w:ascii="Times New Roman" w:hAnsi="Times New Roman" w:eastAsia="黑体"/>
        </w:rPr>
      </w:pPr>
      <w:bookmarkStart w:id="39" w:name="_Toc82546062"/>
      <w:r>
        <w:rPr>
          <w:rFonts w:ascii="Times New Roman" w:hAnsi="Times New Roman" w:eastAsia="黑体"/>
        </w:rPr>
        <w:t>2.2 规划的必要性</w:t>
      </w:r>
      <w:bookmarkEnd w:id="39"/>
    </w:p>
    <w:p w14:paraId="7354BDE1">
      <w:pPr>
        <w:ind w:firstLine="643" w:firstLineChars="200"/>
        <w:rPr>
          <w:rFonts w:eastAsia="仿宋_GB2312"/>
          <w:b/>
          <w:sz w:val="32"/>
          <w:szCs w:val="32"/>
        </w:rPr>
      </w:pPr>
      <w:r>
        <w:rPr>
          <w:rFonts w:eastAsia="仿宋_GB2312"/>
          <w:b/>
          <w:sz w:val="32"/>
          <w:szCs w:val="32"/>
        </w:rPr>
        <w:t>（1）建设国家生态文明试验区的需要</w:t>
      </w:r>
    </w:p>
    <w:p w14:paraId="15054346">
      <w:pPr>
        <w:ind w:firstLine="640" w:firstLineChars="200"/>
        <w:rPr>
          <w:rFonts w:eastAsia="仿宋_GB2312"/>
          <w:sz w:val="32"/>
          <w:szCs w:val="32"/>
        </w:rPr>
      </w:pPr>
      <w:r>
        <w:rPr>
          <w:rFonts w:eastAsia="仿宋_GB2312"/>
          <w:sz w:val="32"/>
          <w:szCs w:val="32"/>
        </w:rPr>
        <w:t>随着党中央支持海南建设国家生态文明试验区的提出，必将助力海南省建成生态环境世界一流的自贸</w:t>
      </w:r>
      <w:r>
        <w:rPr>
          <w:rFonts w:hint="eastAsia" w:eastAsia="仿宋_GB2312"/>
          <w:sz w:val="32"/>
          <w:szCs w:val="32"/>
        </w:rPr>
        <w:t>港</w:t>
      </w:r>
      <w:r>
        <w:rPr>
          <w:rFonts w:eastAsia="仿宋_GB2312"/>
          <w:sz w:val="32"/>
          <w:szCs w:val="32"/>
        </w:rPr>
        <w:t>。三亚以其独特的生态资源、森林资源和景观资源为优势，陆续开展了森林公园、自然保护区、湿地公园等一系列保护地建设</w:t>
      </w:r>
      <w:r>
        <w:rPr>
          <w:rFonts w:hint="eastAsia" w:eastAsia="仿宋_GB2312"/>
          <w:sz w:val="32"/>
          <w:szCs w:val="32"/>
        </w:rPr>
        <w:t>以及绿化造林、生态保护</w:t>
      </w:r>
      <w:r>
        <w:rPr>
          <w:rFonts w:eastAsia="仿宋_GB2312"/>
          <w:sz w:val="32"/>
          <w:szCs w:val="32"/>
        </w:rPr>
        <w:t>和</w:t>
      </w:r>
      <w:r>
        <w:rPr>
          <w:rFonts w:hint="eastAsia" w:eastAsia="仿宋_GB2312"/>
          <w:sz w:val="32"/>
          <w:szCs w:val="32"/>
        </w:rPr>
        <w:t>修复</w:t>
      </w:r>
      <w:r>
        <w:rPr>
          <w:rFonts w:eastAsia="仿宋_GB2312"/>
          <w:sz w:val="32"/>
          <w:szCs w:val="32"/>
        </w:rPr>
        <w:t>工作，为林业产业的发展提供了坚实基础。加快构建现代绿色林业产业体系，是推进“生态建设产业化、产业发展生态化”的基础，是实现生态建设和产业发展的良性互动，将绿色产业发展作为重要抓手，夯实绿色生态环境。</w:t>
      </w:r>
      <w:r>
        <w:rPr>
          <w:rFonts w:hint="eastAsia" w:eastAsia="仿宋_GB2312"/>
          <w:sz w:val="32"/>
          <w:szCs w:val="32"/>
        </w:rPr>
        <w:t>到2035年，海南的生态环境质量和资源利用效率将居于世界领先水平，成为海南展示美丽中国建设的靓丽名片。</w:t>
      </w:r>
      <w:r>
        <w:rPr>
          <w:rFonts w:eastAsia="仿宋_GB2312"/>
          <w:sz w:val="32"/>
          <w:szCs w:val="32"/>
        </w:rPr>
        <w:t>三亚市要紧抓机遇，进一步发挥自身的生态优势，持续发展绿色生态环境建设，打造国家生态文明建设示范城市，促进人与自然和谐共生。</w:t>
      </w:r>
    </w:p>
    <w:p w14:paraId="05F28284">
      <w:pPr>
        <w:ind w:firstLine="643"/>
        <w:jc w:val="left"/>
        <w:rPr>
          <w:rFonts w:hint="eastAsia" w:eastAsia="仿宋_GB2312"/>
          <w:b/>
          <w:sz w:val="32"/>
          <w:szCs w:val="32"/>
        </w:rPr>
      </w:pPr>
      <w:r>
        <w:rPr>
          <w:rFonts w:eastAsia="仿宋_GB2312"/>
          <w:b/>
          <w:sz w:val="32"/>
          <w:szCs w:val="32"/>
        </w:rPr>
        <w:t>（2）林业治理能力现代化的需要</w:t>
      </w:r>
    </w:p>
    <w:p w14:paraId="4385AA44">
      <w:pPr>
        <w:ind w:firstLine="800" w:firstLineChars="250"/>
        <w:rPr>
          <w:rFonts w:hint="eastAsia" w:eastAsia="仿宋_GB2312"/>
          <w:sz w:val="32"/>
          <w:szCs w:val="32"/>
          <w:lang w:val="en"/>
        </w:rPr>
      </w:pPr>
      <w:r>
        <w:rPr>
          <w:rFonts w:eastAsia="仿宋_GB2312"/>
          <w:sz w:val="32"/>
          <w:szCs w:val="32"/>
        </w:rPr>
        <w:t>推进国家治理体系和治理能力现代化，是党中央、国务院治国理政的重大理论创新和实践创新。</w:t>
      </w:r>
      <w:r>
        <w:rPr>
          <w:rFonts w:hint="eastAsia" w:eastAsia="仿宋_GB2312"/>
          <w:sz w:val="32"/>
          <w:szCs w:val="32"/>
        </w:rPr>
        <w:t>习近平总书记对林业工作作出重要指示，要求全面深化林业改革，创新林业治理体系，为林业改革发展指明了方向。创新和完善林业治理体系，关键在于建立健全各项林业制度，重点是建立健全生态资源产权制度、生态资源监管制度、生态资源市场配置制度、自然生态系统保护制度、生态修复制度、生态补偿制度、森林经营制度、生态监测评价制度和财税金融扶持制度等9项林业制度。</w:t>
      </w:r>
      <w:r>
        <w:rPr>
          <w:rFonts w:eastAsia="仿宋_GB2312"/>
          <w:sz w:val="32"/>
          <w:szCs w:val="32"/>
          <w:lang w:val="en"/>
        </w:rPr>
        <w:t>全面落实《中共中央国务院关于深化体制机制改革加快实施创新驱动发展战略的若干意见》、《关于支持海南全面深化改革开放的指导意见》，通过深化集体林权制度改革，进一步完善林业产权利益激励机制；大力扶持林业专业合作社和涉林企业的发展，搭建林业融资服务平台，完善林权抵押贷款政策体系</w:t>
      </w:r>
      <w:r>
        <w:rPr>
          <w:rFonts w:hint="eastAsia" w:eastAsia="仿宋_GB2312"/>
          <w:sz w:val="32"/>
          <w:szCs w:val="32"/>
          <w:lang w:val="en"/>
        </w:rPr>
        <w:t>；</w:t>
      </w:r>
      <w:r>
        <w:rPr>
          <w:rFonts w:eastAsia="仿宋_GB2312"/>
          <w:sz w:val="32"/>
          <w:szCs w:val="32"/>
          <w:lang w:val="en"/>
        </w:rPr>
        <w:t>建立健全森林保险制度</w:t>
      </w:r>
      <w:r>
        <w:rPr>
          <w:rFonts w:hint="eastAsia" w:eastAsia="仿宋_GB2312"/>
          <w:sz w:val="32"/>
          <w:szCs w:val="32"/>
          <w:lang w:val="en"/>
        </w:rPr>
        <w:t>，</w:t>
      </w:r>
      <w:r>
        <w:rPr>
          <w:rFonts w:eastAsia="仿宋_GB2312"/>
          <w:sz w:val="32"/>
          <w:szCs w:val="32"/>
          <w:lang w:val="en"/>
        </w:rPr>
        <w:t>推进了林业资源的资本化，促进了林业资本市场的初步建立</w:t>
      </w:r>
      <w:r>
        <w:rPr>
          <w:rFonts w:hint="eastAsia" w:eastAsia="仿宋_GB2312"/>
          <w:sz w:val="32"/>
          <w:szCs w:val="32"/>
          <w:lang w:val="en"/>
        </w:rPr>
        <w:t>。</w:t>
      </w:r>
      <w:r>
        <w:rPr>
          <w:rFonts w:eastAsia="仿宋_GB2312"/>
          <w:sz w:val="32"/>
          <w:szCs w:val="32"/>
          <w:lang w:val="en"/>
        </w:rPr>
        <w:t>全面推行林长制，按照山水林田湖草系统治理的要求，坚持生态优先、保护为主，坚持绿色发展、生态惠民，坚持问题导向、因地制宜，建立健全党政领导责任体系，明确各级林长的森林草原保护发展责任。</w:t>
      </w:r>
      <w:r>
        <w:rPr>
          <w:rFonts w:hint="eastAsia" w:eastAsia="仿宋_GB2312"/>
          <w:sz w:val="32"/>
          <w:szCs w:val="32"/>
        </w:rPr>
        <w:t>创新林业治理体系，必然通过林业改革实现新旧体系的转换，为林业改革发展创造新机遇。</w:t>
      </w:r>
    </w:p>
    <w:p w14:paraId="79E1C1E6">
      <w:pPr>
        <w:ind w:firstLine="643" w:firstLineChars="200"/>
        <w:rPr>
          <w:rFonts w:hint="eastAsia" w:eastAsia="仿宋_GB2312"/>
          <w:sz w:val="32"/>
          <w:szCs w:val="32"/>
        </w:rPr>
      </w:pPr>
      <w:r>
        <w:rPr>
          <w:rFonts w:eastAsia="仿宋_GB2312"/>
          <w:b/>
          <w:sz w:val="32"/>
          <w:szCs w:val="32"/>
        </w:rPr>
        <w:t>（</w:t>
      </w:r>
      <w:r>
        <w:rPr>
          <w:rFonts w:hint="eastAsia" w:eastAsia="仿宋_GB2312"/>
          <w:b/>
          <w:sz w:val="32"/>
          <w:szCs w:val="32"/>
        </w:rPr>
        <w:t>3</w:t>
      </w:r>
      <w:r>
        <w:rPr>
          <w:rFonts w:eastAsia="仿宋_GB2312"/>
          <w:b/>
          <w:sz w:val="32"/>
          <w:szCs w:val="32"/>
        </w:rPr>
        <w:t>）林业产业</w:t>
      </w:r>
      <w:r>
        <w:rPr>
          <w:rFonts w:hint="eastAsia" w:eastAsia="仿宋_GB2312"/>
          <w:b/>
          <w:sz w:val="32"/>
          <w:szCs w:val="32"/>
        </w:rPr>
        <w:t>结构调整与产业</w:t>
      </w:r>
      <w:r>
        <w:rPr>
          <w:rFonts w:eastAsia="仿宋_GB2312"/>
          <w:b/>
          <w:sz w:val="32"/>
          <w:szCs w:val="32"/>
        </w:rPr>
        <w:t>转型的需要</w:t>
      </w:r>
    </w:p>
    <w:p w14:paraId="64D89488">
      <w:pPr>
        <w:ind w:firstLine="640" w:firstLineChars="200"/>
        <w:rPr>
          <w:rFonts w:eastAsia="仿宋_GB2312"/>
          <w:sz w:val="32"/>
          <w:szCs w:val="32"/>
        </w:rPr>
      </w:pPr>
      <w:r>
        <w:rPr>
          <w:rFonts w:hint="eastAsia" w:eastAsia="仿宋_GB2312"/>
          <w:sz w:val="32"/>
          <w:szCs w:val="32"/>
        </w:rPr>
        <w:t>据经</w:t>
      </w:r>
      <w:r>
        <w:rPr>
          <w:rFonts w:eastAsia="仿宋_GB2312"/>
          <w:sz w:val="32"/>
          <w:szCs w:val="32"/>
        </w:rPr>
        <w:t>初步调查统计，</w:t>
      </w:r>
      <w:r>
        <w:rPr>
          <w:rFonts w:hint="eastAsia" w:eastAsia="仿宋_GB2312"/>
          <w:sz w:val="32"/>
          <w:szCs w:val="32"/>
        </w:rPr>
        <w:t>三亚市</w:t>
      </w:r>
      <w:r>
        <w:rPr>
          <w:rFonts w:eastAsia="仿宋_GB2312"/>
          <w:sz w:val="32"/>
          <w:szCs w:val="32"/>
        </w:rPr>
        <w:t>林业产业总产值</w:t>
      </w:r>
      <w:r>
        <w:rPr>
          <w:rFonts w:hint="eastAsia" w:eastAsia="仿宋_GB2312"/>
          <w:sz w:val="32"/>
          <w:szCs w:val="32"/>
        </w:rPr>
        <w:t>481492</w:t>
      </w:r>
      <w:r>
        <w:rPr>
          <w:rFonts w:eastAsia="仿宋_GB2312"/>
          <w:sz w:val="32"/>
          <w:szCs w:val="32"/>
        </w:rPr>
        <w:t>万元（</w:t>
      </w:r>
      <w:r>
        <w:rPr>
          <w:rFonts w:hint="eastAsia" w:eastAsia="仿宋_GB2312"/>
          <w:sz w:val="32"/>
          <w:szCs w:val="32"/>
        </w:rPr>
        <w:t>含</w:t>
      </w:r>
      <w:r>
        <w:rPr>
          <w:rFonts w:eastAsia="仿宋_GB2312"/>
          <w:sz w:val="32"/>
          <w:szCs w:val="32"/>
        </w:rPr>
        <w:t>林木种苗与花卉产业、森林旅游与森林康养产业、经济林产业、用材林产业、生态保护与修复</w:t>
      </w:r>
      <w:r>
        <w:rPr>
          <w:rFonts w:hint="eastAsia" w:eastAsia="仿宋_GB2312"/>
          <w:sz w:val="32"/>
          <w:szCs w:val="32"/>
        </w:rPr>
        <w:t>产业、</w:t>
      </w:r>
      <w:r>
        <w:rPr>
          <w:rFonts w:eastAsia="仿宋_GB2312"/>
          <w:sz w:val="32"/>
          <w:szCs w:val="32"/>
        </w:rPr>
        <w:t>林下经济产业），</w:t>
      </w:r>
      <w:r>
        <w:rPr>
          <w:rFonts w:hint="eastAsia" w:eastAsia="仿宋_GB2312"/>
          <w:sz w:val="32"/>
          <w:szCs w:val="32"/>
        </w:rPr>
        <w:t>三亚市</w:t>
      </w:r>
      <w:r>
        <w:rPr>
          <w:rFonts w:eastAsia="仿宋_GB2312"/>
          <w:sz w:val="32"/>
          <w:szCs w:val="32"/>
        </w:rPr>
        <w:t>林业产业总产值约</w:t>
      </w:r>
      <w:r>
        <w:rPr>
          <w:rFonts w:hint="eastAsia" w:eastAsia="仿宋_GB2312"/>
          <w:sz w:val="32"/>
          <w:szCs w:val="32"/>
        </w:rPr>
        <w:t>481492</w:t>
      </w:r>
      <w:r>
        <w:rPr>
          <w:rFonts w:eastAsia="仿宋_GB2312"/>
          <w:sz w:val="32"/>
          <w:szCs w:val="32"/>
        </w:rPr>
        <w:t>万元，其中第一产业</w:t>
      </w:r>
      <w:r>
        <w:rPr>
          <w:rFonts w:hint="eastAsia" w:eastAsia="仿宋_GB2312"/>
          <w:sz w:val="32"/>
          <w:szCs w:val="32"/>
        </w:rPr>
        <w:t>425380</w:t>
      </w:r>
      <w:r>
        <w:rPr>
          <w:rFonts w:eastAsia="仿宋_GB2312"/>
          <w:sz w:val="32"/>
          <w:szCs w:val="32"/>
        </w:rPr>
        <w:t>万元</w:t>
      </w:r>
      <w:r>
        <w:rPr>
          <w:rFonts w:hint="eastAsia" w:eastAsia="仿宋_GB2312"/>
          <w:sz w:val="32"/>
          <w:szCs w:val="32"/>
        </w:rPr>
        <w:t>、</w:t>
      </w:r>
      <w:r>
        <w:rPr>
          <w:rFonts w:eastAsia="仿宋_GB2312"/>
          <w:sz w:val="32"/>
          <w:szCs w:val="32"/>
        </w:rPr>
        <w:t>占比</w:t>
      </w:r>
      <w:r>
        <w:rPr>
          <w:rFonts w:hint="eastAsia" w:eastAsia="仿宋_GB2312"/>
          <w:sz w:val="32"/>
          <w:szCs w:val="32"/>
        </w:rPr>
        <w:t>88.34</w:t>
      </w:r>
      <w:r>
        <w:rPr>
          <w:rFonts w:eastAsia="仿宋_GB2312"/>
          <w:sz w:val="32"/>
          <w:szCs w:val="32"/>
        </w:rPr>
        <w:t>%，第二产业12400万元</w:t>
      </w:r>
      <w:r>
        <w:rPr>
          <w:rFonts w:hint="eastAsia" w:eastAsia="仿宋_GB2312"/>
          <w:sz w:val="32"/>
          <w:szCs w:val="32"/>
        </w:rPr>
        <w:t>、</w:t>
      </w:r>
      <w:r>
        <w:rPr>
          <w:rFonts w:eastAsia="仿宋_GB2312"/>
          <w:sz w:val="32"/>
          <w:szCs w:val="32"/>
        </w:rPr>
        <w:t>占比2.</w:t>
      </w:r>
      <w:r>
        <w:rPr>
          <w:rFonts w:hint="eastAsia" w:eastAsia="仿宋_GB2312"/>
          <w:sz w:val="32"/>
          <w:szCs w:val="32"/>
        </w:rPr>
        <w:t>58</w:t>
      </w:r>
      <w:r>
        <w:rPr>
          <w:rFonts w:eastAsia="仿宋_GB2312"/>
          <w:sz w:val="32"/>
          <w:szCs w:val="32"/>
        </w:rPr>
        <w:t>%，第三产业</w:t>
      </w:r>
      <w:r>
        <w:rPr>
          <w:rFonts w:hint="eastAsia" w:eastAsia="仿宋_GB2312"/>
          <w:sz w:val="32"/>
          <w:szCs w:val="32"/>
        </w:rPr>
        <w:t>43712</w:t>
      </w:r>
      <w:r>
        <w:rPr>
          <w:rFonts w:eastAsia="仿宋_GB2312"/>
          <w:sz w:val="32"/>
          <w:szCs w:val="32"/>
        </w:rPr>
        <w:t>万元</w:t>
      </w:r>
      <w:r>
        <w:rPr>
          <w:rFonts w:hint="eastAsia" w:eastAsia="仿宋_GB2312"/>
          <w:sz w:val="32"/>
          <w:szCs w:val="32"/>
        </w:rPr>
        <w:t>、</w:t>
      </w:r>
      <w:r>
        <w:rPr>
          <w:rFonts w:eastAsia="仿宋_GB2312"/>
          <w:sz w:val="32"/>
          <w:szCs w:val="32"/>
        </w:rPr>
        <w:t>占比</w:t>
      </w:r>
      <w:r>
        <w:rPr>
          <w:rFonts w:hint="eastAsia" w:eastAsia="仿宋_GB2312"/>
          <w:sz w:val="32"/>
          <w:szCs w:val="32"/>
        </w:rPr>
        <w:t>9.08</w:t>
      </w:r>
      <w:r>
        <w:rPr>
          <w:rFonts w:eastAsia="仿宋_GB2312"/>
          <w:sz w:val="32"/>
          <w:szCs w:val="32"/>
        </w:rPr>
        <w:t>%。2020年林业产业三大产业结构比为</w:t>
      </w:r>
      <w:r>
        <w:rPr>
          <w:rFonts w:hint="eastAsia" w:eastAsia="仿宋_GB2312"/>
          <w:sz w:val="32"/>
          <w:szCs w:val="32"/>
        </w:rPr>
        <w:t>88:3:9，</w:t>
      </w:r>
      <w:r>
        <w:rPr>
          <w:rFonts w:eastAsia="仿宋_GB2312"/>
          <w:sz w:val="32"/>
          <w:szCs w:val="32"/>
        </w:rPr>
        <w:t>作为基础产业的第一产业比重偏大，第二产业和第三产业比重偏低，林业产业结构明显不合理，阻碍了林业产业的快速、高效发展。 “十四五”时期，三亚市产业转型将进入深度调整期和转型攻关期，是产业转型升级中国家鼓励发展的产业。</w:t>
      </w:r>
      <w:r>
        <w:rPr>
          <w:rFonts w:hint="eastAsia" w:eastAsia="仿宋_GB2312"/>
          <w:sz w:val="32"/>
          <w:szCs w:val="32"/>
        </w:rPr>
        <w:t>市委、市政府高度重视林业资源的综合利用，把资源优势转化为产业优势、经济优势，赋予了林业发展新的更加艰巨的任务，</w:t>
      </w:r>
      <w:r>
        <w:rPr>
          <w:rFonts w:eastAsia="仿宋_GB2312"/>
          <w:sz w:val="32"/>
          <w:szCs w:val="32"/>
        </w:rPr>
        <w:t>积极开展供给侧结构性改革，提高发展质量，扩大有效供给，</w:t>
      </w:r>
      <w:r>
        <w:rPr>
          <w:rFonts w:hint="eastAsia" w:eastAsia="仿宋_GB2312"/>
          <w:sz w:val="32"/>
          <w:szCs w:val="32"/>
        </w:rPr>
        <w:t>满足人民群众不断增长的多元化生态产品和林产品需求，</w:t>
      </w:r>
      <w:r>
        <w:rPr>
          <w:rFonts w:eastAsia="仿宋_GB2312"/>
          <w:sz w:val="32"/>
          <w:szCs w:val="32"/>
        </w:rPr>
        <w:t>加快实现林业产业转型升级。</w:t>
      </w:r>
    </w:p>
    <w:p w14:paraId="63C70889">
      <w:pPr>
        <w:ind w:firstLine="643" w:firstLineChars="200"/>
        <w:rPr>
          <w:rFonts w:eastAsia="仿宋_GB2312"/>
          <w:b/>
          <w:sz w:val="32"/>
          <w:szCs w:val="32"/>
        </w:rPr>
      </w:pPr>
      <w:r>
        <w:rPr>
          <w:rFonts w:hint="eastAsia" w:eastAsia="仿宋_GB2312"/>
          <w:b/>
          <w:sz w:val="32"/>
          <w:szCs w:val="32"/>
        </w:rPr>
        <w:t>（4）</w:t>
      </w:r>
      <w:r>
        <w:rPr>
          <w:rFonts w:eastAsia="仿宋_GB2312"/>
          <w:b/>
          <w:sz w:val="32"/>
          <w:szCs w:val="32"/>
        </w:rPr>
        <w:t>全面推进乡村振兴的需要</w:t>
      </w:r>
    </w:p>
    <w:p w14:paraId="659F5585">
      <w:pPr>
        <w:spacing w:line="360" w:lineRule="auto"/>
        <w:ind w:firstLine="640" w:firstLineChars="200"/>
        <w:rPr>
          <w:rFonts w:eastAsia="仿宋_GB2312"/>
          <w:sz w:val="32"/>
          <w:szCs w:val="32"/>
        </w:rPr>
      </w:pPr>
      <w:r>
        <w:rPr>
          <w:rFonts w:eastAsia="仿宋_GB2312"/>
          <w:sz w:val="32"/>
          <w:szCs w:val="32"/>
        </w:rPr>
        <w:t>党的十九大以来，党中央、国务院采取一系列重大举措加快推进乡村振兴，出台《中共中央、国务院关于实施乡村振兴战略的意见》、《乡村振兴战略规划（2018—2022年）》，全面部署了乡村振兴各项工作。习近平</w:t>
      </w:r>
      <w:r>
        <w:rPr>
          <w:rFonts w:hint="eastAsia" w:eastAsia="仿宋_GB2312"/>
          <w:sz w:val="32"/>
          <w:szCs w:val="32"/>
        </w:rPr>
        <w:t>总书记</w:t>
      </w:r>
      <w:r>
        <w:rPr>
          <w:rFonts w:eastAsia="仿宋_GB2312"/>
          <w:sz w:val="32"/>
          <w:szCs w:val="32"/>
        </w:rPr>
        <w:t>在全国实施乡村振兴战略工作推进会上强调，要坚持乡村全面振兴，抓重点、补短板、强弱项，实现乡村产业振兴、人才振兴、文化振兴、生态振兴、组织振兴，推动农业全面升级、农村全面进步、农民全面发展。</w:t>
      </w:r>
      <w:r>
        <w:rPr>
          <w:rFonts w:hint="eastAsia" w:eastAsia="仿宋_GB2312"/>
          <w:sz w:val="32"/>
          <w:szCs w:val="32"/>
        </w:rPr>
        <w:t>根据国家有关工作部署，</w:t>
      </w:r>
      <w:r>
        <w:rPr>
          <w:rFonts w:eastAsia="仿宋_GB2312"/>
          <w:sz w:val="32"/>
          <w:szCs w:val="32"/>
        </w:rPr>
        <w:t>省委、省政府出台《海南省乡村振兴战略规划（2018—2022年）》，为海南乡村振兴明确了工作路径。</w:t>
      </w:r>
      <w:r>
        <w:rPr>
          <w:rFonts w:hint="eastAsia" w:eastAsia="仿宋_GB2312"/>
          <w:sz w:val="32"/>
          <w:szCs w:val="32"/>
        </w:rPr>
        <w:t>2021年4月中共三亚市委印发《全面推进乡村振兴 加快农业农村现代化的实施方案》的通知，指出举全市之力走特色乡村振兴路，加快农业农村现代化，实现农林牧渔增加值增长4%。</w:t>
      </w:r>
      <w:r>
        <w:rPr>
          <w:rFonts w:eastAsia="仿宋_GB2312"/>
          <w:sz w:val="32"/>
          <w:szCs w:val="32"/>
        </w:rPr>
        <w:t>三亚乡村人口聚落主要以农区、渔区和林区为主。林区历来是林业建设的主阵地，经济植物、野生动物和森林景观资源十分丰富、开发潜力巨大。林区农</w:t>
      </w:r>
      <w:r>
        <w:rPr>
          <w:rFonts w:hint="eastAsia" w:eastAsia="仿宋_GB2312"/>
          <w:sz w:val="32"/>
          <w:szCs w:val="32"/>
        </w:rPr>
        <w:t>民</w:t>
      </w:r>
      <w:r>
        <w:rPr>
          <w:rFonts w:eastAsia="仿宋_GB2312"/>
          <w:sz w:val="32"/>
          <w:szCs w:val="32"/>
        </w:rPr>
        <w:t>主要以劳务、种植为家庭主要经济收入来源，产量低</w:t>
      </w:r>
      <w:r>
        <w:rPr>
          <w:rFonts w:hint="eastAsia" w:eastAsia="仿宋_GB2312"/>
          <w:sz w:val="32"/>
          <w:szCs w:val="32"/>
        </w:rPr>
        <w:t>且</w:t>
      </w:r>
      <w:r>
        <w:rPr>
          <w:rFonts w:eastAsia="仿宋_GB2312"/>
          <w:sz w:val="32"/>
          <w:szCs w:val="32"/>
        </w:rPr>
        <w:t>收入少。</w:t>
      </w:r>
      <w:r>
        <w:rPr>
          <w:rFonts w:hint="eastAsia" w:eastAsia="仿宋_GB2312"/>
          <w:sz w:val="32"/>
          <w:szCs w:val="32"/>
        </w:rPr>
        <w:t>部分</w:t>
      </w:r>
      <w:r>
        <w:rPr>
          <w:rFonts w:eastAsia="仿宋_GB2312"/>
          <w:sz w:val="32"/>
          <w:szCs w:val="32"/>
        </w:rPr>
        <w:t>乡村振兴产业涉及林业发展范畴，如森林旅游与康养、种质资源培育、热带水果、林下经济、乡村旅游等，积极推动林业产业高质量发展，是满足人民美好生活需要的必然选择，是实施乡村振兴战略的迫切需要，是林业现代化建设的根本要求。</w:t>
      </w:r>
    </w:p>
    <w:p w14:paraId="2CA0C2C8">
      <w:pPr>
        <w:spacing w:line="360" w:lineRule="auto"/>
        <w:ind w:firstLine="643" w:firstLineChars="200"/>
        <w:rPr>
          <w:rFonts w:eastAsia="仿宋_GB2312"/>
          <w:b/>
          <w:sz w:val="32"/>
          <w:szCs w:val="32"/>
        </w:rPr>
      </w:pPr>
      <w:r>
        <w:rPr>
          <w:rFonts w:eastAsia="仿宋_GB2312"/>
          <w:b/>
          <w:sz w:val="32"/>
          <w:szCs w:val="32"/>
        </w:rPr>
        <w:t>（</w:t>
      </w:r>
      <w:r>
        <w:rPr>
          <w:rFonts w:hint="eastAsia" w:eastAsia="仿宋_GB2312"/>
          <w:b/>
          <w:sz w:val="32"/>
          <w:szCs w:val="32"/>
        </w:rPr>
        <w:t>5</w:t>
      </w:r>
      <w:r>
        <w:rPr>
          <w:rFonts w:eastAsia="仿宋_GB2312"/>
          <w:b/>
          <w:sz w:val="32"/>
          <w:szCs w:val="32"/>
        </w:rPr>
        <w:t>）建设智慧林业的需要</w:t>
      </w:r>
      <w:r>
        <w:rPr>
          <w:rFonts w:hint="eastAsia" w:eastAsia="仿宋_GB2312"/>
          <w:b/>
          <w:sz w:val="32"/>
          <w:szCs w:val="32"/>
        </w:rPr>
        <w:t xml:space="preserve"> </w:t>
      </w:r>
    </w:p>
    <w:p w14:paraId="2E5D48FA">
      <w:pPr>
        <w:spacing w:line="360" w:lineRule="auto"/>
        <w:ind w:firstLine="640" w:firstLineChars="200"/>
        <w:jc w:val="left"/>
        <w:rPr>
          <w:rFonts w:hint="eastAsia" w:eastAsia="仿宋_GB2312"/>
          <w:sz w:val="32"/>
          <w:szCs w:val="32"/>
        </w:rPr>
      </w:pPr>
      <w:r>
        <w:rPr>
          <w:rFonts w:eastAsia="仿宋_GB2312"/>
          <w:sz w:val="32"/>
          <w:szCs w:val="32"/>
        </w:rPr>
        <w:t>随着国家网络强国战略的实施，信息网络技术将得到广泛运用。目前，三亚林业信息化基础设施建设滞后，存在着信息化水平较低，产销网络平台不完善，</w:t>
      </w:r>
      <w:r>
        <w:rPr>
          <w:rFonts w:hint="eastAsia" w:eastAsia="仿宋_GB2312"/>
          <w:sz w:val="32"/>
          <w:szCs w:val="32"/>
        </w:rPr>
        <w:t>林业</w:t>
      </w:r>
      <w:r>
        <w:rPr>
          <w:rFonts w:eastAsia="仿宋_GB2312"/>
          <w:sz w:val="32"/>
          <w:szCs w:val="32"/>
        </w:rPr>
        <w:t>服务水平低</w:t>
      </w:r>
      <w:r>
        <w:rPr>
          <w:rFonts w:hint="eastAsia" w:eastAsia="仿宋_GB2312"/>
          <w:sz w:val="32"/>
          <w:szCs w:val="32"/>
        </w:rPr>
        <w:t>，</w:t>
      </w:r>
      <w:r>
        <w:rPr>
          <w:rFonts w:eastAsia="仿宋_GB2312"/>
          <w:sz w:val="32"/>
          <w:szCs w:val="32"/>
        </w:rPr>
        <w:t>林业产值基础数据统计口径</w:t>
      </w:r>
      <w:r>
        <w:rPr>
          <w:rFonts w:hint="eastAsia" w:eastAsia="仿宋_GB2312"/>
          <w:sz w:val="32"/>
          <w:szCs w:val="32"/>
        </w:rPr>
        <w:t>（</w:t>
      </w:r>
      <w:r>
        <w:rPr>
          <w:rFonts w:eastAsia="仿宋_GB2312"/>
          <w:sz w:val="32"/>
          <w:szCs w:val="32"/>
        </w:rPr>
        <w:t>范围</w:t>
      </w:r>
      <w:r>
        <w:rPr>
          <w:rFonts w:hint="eastAsia" w:eastAsia="仿宋_GB2312"/>
          <w:sz w:val="32"/>
          <w:szCs w:val="32"/>
        </w:rPr>
        <w:t>、</w:t>
      </w:r>
      <w:r>
        <w:rPr>
          <w:rFonts w:eastAsia="仿宋_GB2312"/>
          <w:sz w:val="32"/>
          <w:szCs w:val="32"/>
        </w:rPr>
        <w:t>标准</w:t>
      </w:r>
      <w:r>
        <w:rPr>
          <w:rFonts w:hint="eastAsia" w:eastAsia="仿宋_GB2312"/>
          <w:sz w:val="32"/>
          <w:szCs w:val="32"/>
        </w:rPr>
        <w:t>、</w:t>
      </w:r>
      <w:r>
        <w:rPr>
          <w:rFonts w:eastAsia="仿宋_GB2312"/>
          <w:sz w:val="32"/>
          <w:szCs w:val="32"/>
        </w:rPr>
        <w:t>数据</w:t>
      </w:r>
      <w:r>
        <w:rPr>
          <w:rFonts w:hint="eastAsia" w:eastAsia="仿宋_GB2312"/>
          <w:sz w:val="32"/>
          <w:szCs w:val="32"/>
        </w:rPr>
        <w:t>）</w:t>
      </w:r>
      <w:r>
        <w:rPr>
          <w:rFonts w:eastAsia="仿宋_GB2312"/>
          <w:sz w:val="32"/>
          <w:szCs w:val="32"/>
        </w:rPr>
        <w:t>不统一等问题</w:t>
      </w:r>
      <w:r>
        <w:rPr>
          <w:rFonts w:hint="eastAsia" w:eastAsia="仿宋_GB2312"/>
          <w:sz w:val="32"/>
          <w:szCs w:val="32"/>
        </w:rPr>
        <w:t>。2021年3月，国家主席习近平总书记考察福建武夷山智慧管理平台运行情况，指出运用智能化技术，实现对公园“天地空”全方位、全天候监测管理，提升生态保护能力。因此，</w:t>
      </w:r>
      <w:r>
        <w:rPr>
          <w:rFonts w:eastAsia="仿宋_GB2312"/>
          <w:sz w:val="32"/>
          <w:szCs w:val="32"/>
        </w:rPr>
        <w:t>建设信息化</w:t>
      </w:r>
      <w:r>
        <w:rPr>
          <w:rFonts w:hint="eastAsia" w:eastAsia="仿宋_GB2312"/>
          <w:sz w:val="32"/>
          <w:szCs w:val="32"/>
        </w:rPr>
        <w:t>林业尤为重要。</w:t>
      </w:r>
      <w:r>
        <w:rPr>
          <w:rFonts w:eastAsia="仿宋_GB2312"/>
          <w:sz w:val="32"/>
          <w:szCs w:val="32"/>
          <w:lang w:val="en"/>
        </w:rPr>
        <w:t>云计算、物联网、移动互联网、大数据、人工智能及区块链等技术，按照统一规划、统一标准、统一制式、统一平台、统一管理的建设原则，打造“智慧林业”建设工程，实现“天空地”一体化的数据获取与数据传输，以及林区海量数据应用与管理，对林业资源进行实时、动态、全方位智能监测</w:t>
      </w:r>
      <w:r>
        <w:rPr>
          <w:rFonts w:hint="eastAsia" w:eastAsia="仿宋_GB2312"/>
          <w:sz w:val="32"/>
          <w:szCs w:val="32"/>
          <w:lang w:val="en"/>
        </w:rPr>
        <w:t>，</w:t>
      </w:r>
      <w:r>
        <w:rPr>
          <w:rFonts w:eastAsia="仿宋_GB2312"/>
          <w:sz w:val="32"/>
          <w:szCs w:val="32"/>
        </w:rPr>
        <w:t>为林业产业的全面、健康发展插上了腾飞的翅膀。</w:t>
      </w:r>
    </w:p>
    <w:p w14:paraId="4BC55BE3">
      <w:pPr>
        <w:spacing w:line="360" w:lineRule="auto"/>
        <w:ind w:firstLine="643" w:firstLineChars="200"/>
        <w:rPr>
          <w:rFonts w:eastAsia="仿宋_GB2312"/>
          <w:b/>
          <w:sz w:val="32"/>
          <w:szCs w:val="32"/>
        </w:rPr>
      </w:pPr>
      <w:r>
        <w:rPr>
          <w:rFonts w:eastAsia="仿宋_GB2312"/>
          <w:b/>
          <w:sz w:val="32"/>
          <w:szCs w:val="32"/>
        </w:rPr>
        <w:t>（</w:t>
      </w:r>
      <w:r>
        <w:rPr>
          <w:rFonts w:hint="eastAsia" w:eastAsia="仿宋_GB2312"/>
          <w:b/>
          <w:sz w:val="32"/>
          <w:szCs w:val="32"/>
        </w:rPr>
        <w:t>6</w:t>
      </w:r>
      <w:r>
        <w:rPr>
          <w:rFonts w:eastAsia="仿宋_GB2312"/>
          <w:b/>
          <w:sz w:val="32"/>
          <w:szCs w:val="32"/>
        </w:rPr>
        <w:t>）实施人才强省战略，引百万人才进海南的需要</w:t>
      </w:r>
    </w:p>
    <w:p w14:paraId="6D62EEBA">
      <w:pPr>
        <w:spacing w:line="360" w:lineRule="auto"/>
        <w:ind w:firstLine="640" w:firstLineChars="200"/>
        <w:rPr>
          <w:rFonts w:hint="eastAsia" w:eastAsia="仿宋_GB2312"/>
          <w:sz w:val="32"/>
          <w:szCs w:val="32"/>
        </w:rPr>
      </w:pPr>
      <w:r>
        <w:rPr>
          <w:rFonts w:eastAsia="仿宋_GB2312"/>
          <w:sz w:val="32"/>
          <w:szCs w:val="32"/>
        </w:rPr>
        <w:t>按照习近平总书记“海南要坚持五湖四海广揽人才”重要指示，更好地吸引人才、留住人才、用好人才，扎实推进海南全岛自由贸易试验区和中国特色自由贸易港建设。人才战略势必对</w:t>
      </w:r>
      <w:r>
        <w:rPr>
          <w:rFonts w:hint="eastAsia" w:eastAsia="仿宋_GB2312"/>
          <w:sz w:val="32"/>
          <w:szCs w:val="32"/>
        </w:rPr>
        <w:t>三亚市</w:t>
      </w:r>
      <w:r>
        <w:rPr>
          <w:rFonts w:eastAsia="仿宋_GB2312"/>
          <w:sz w:val="32"/>
          <w:szCs w:val="32"/>
        </w:rPr>
        <w:t>林业发展注入新的活力和动力，面向全球招揽不同层次、不同专业的林业管理和技术人才，优化</w:t>
      </w:r>
      <w:r>
        <w:rPr>
          <w:rFonts w:hint="eastAsia" w:eastAsia="仿宋_GB2312"/>
          <w:sz w:val="32"/>
          <w:szCs w:val="32"/>
        </w:rPr>
        <w:t>三亚市</w:t>
      </w:r>
      <w:r>
        <w:rPr>
          <w:rFonts w:eastAsia="仿宋_GB2312"/>
          <w:sz w:val="32"/>
          <w:szCs w:val="32"/>
        </w:rPr>
        <w:t>林业队伍结构，提升林业科技创新水平，不断满足新时期国家生态文明试验区和海南自由贸易港建设对林业发展的需求。</w:t>
      </w:r>
    </w:p>
    <w:p w14:paraId="076D388E">
      <w:pPr>
        <w:pStyle w:val="3"/>
        <w:spacing w:before="0" w:after="0" w:line="360" w:lineRule="auto"/>
        <w:rPr>
          <w:rFonts w:ascii="Times New Roman" w:hAnsi="Times New Roman" w:eastAsia="黑体"/>
        </w:rPr>
      </w:pPr>
      <w:bookmarkStart w:id="40" w:name="_Toc82546063"/>
      <w:r>
        <w:rPr>
          <w:rFonts w:ascii="Times New Roman" w:hAnsi="Times New Roman" w:eastAsia="黑体"/>
        </w:rPr>
        <w:t>2.3 规划的意义</w:t>
      </w:r>
      <w:bookmarkEnd w:id="40"/>
    </w:p>
    <w:p w14:paraId="041F511E">
      <w:pPr>
        <w:spacing w:line="360" w:lineRule="auto"/>
        <w:ind w:firstLine="640" w:firstLineChars="200"/>
        <w:jc w:val="left"/>
        <w:rPr>
          <w:rFonts w:eastAsia="仿宋_GB2312"/>
          <w:sz w:val="32"/>
          <w:szCs w:val="32"/>
        </w:rPr>
      </w:pPr>
      <w:r>
        <w:rPr>
          <w:rFonts w:eastAsia="仿宋_GB2312"/>
          <w:sz w:val="32"/>
          <w:szCs w:val="32"/>
        </w:rPr>
        <w:t>森林作为人类的摇篮，是一座博大精深的文化宝库，在孕育、发展和传承人类文化方面发挥着重要作用。以树木山水为题材、兴起繁荣于森林的生态文化，是社会主义文化和生态文明建设的重要内容。三亚林业产业发展规划有利于大力倡导生态道德观、生态责任观、生态消费观和生态政绩观，充分挖掘森林文化、湿地文化、野生动物文化、生态旅游文化等潜力，深化三亚国家森林城市建设的内涵。</w:t>
      </w:r>
    </w:p>
    <w:p w14:paraId="4077A1D9">
      <w:pPr>
        <w:ind w:firstLine="640" w:firstLineChars="200"/>
        <w:jc w:val="left"/>
        <w:rPr>
          <w:rFonts w:eastAsia="仿宋_GB2312"/>
          <w:sz w:val="32"/>
          <w:szCs w:val="32"/>
        </w:rPr>
      </w:pPr>
      <w:r>
        <w:rPr>
          <w:rFonts w:eastAsia="仿宋_GB2312"/>
          <w:sz w:val="32"/>
          <w:szCs w:val="32"/>
        </w:rPr>
        <w:t>海南省生态文明建设是贯彻落实党中央、国务院关于生态文明建设的总体部署，发挥先行先试、敢为人先的改革勇气和创新精神，深入开展生态文明体制改革综合试验，谱写“美丽中国</w:t>
      </w:r>
      <w:r>
        <w:rPr>
          <w:sz w:val="32"/>
          <w:szCs w:val="32"/>
        </w:rPr>
        <w:t>•</w:t>
      </w:r>
      <w:r>
        <w:rPr>
          <w:rFonts w:eastAsia="仿宋_GB2312"/>
          <w:sz w:val="32"/>
          <w:szCs w:val="32"/>
        </w:rPr>
        <w:t>海南篇章”的新征程。三亚林业</w:t>
      </w:r>
      <w:r>
        <w:rPr>
          <w:rFonts w:hint="eastAsia" w:eastAsia="仿宋_GB2312"/>
          <w:sz w:val="32"/>
          <w:szCs w:val="32"/>
        </w:rPr>
        <w:t>建设处于新时期、新格局、新面貌，林业事业将迎来良好的发展机遇</w:t>
      </w:r>
      <w:r>
        <w:rPr>
          <w:rFonts w:eastAsia="仿宋_GB2312"/>
          <w:sz w:val="32"/>
          <w:szCs w:val="32"/>
        </w:rPr>
        <w:t>，三亚林业产业发展规划编制应借鉴和运用绿色发展理念，推进三亚生态文明建设，实现生态文明建设、生态产业化、乡村振兴协同推进，努力把绿水青山所蕴含的生态产品价值转化为金山银山。作为我国生态文明试验区、海南自贸试验区的先行城市，三亚应具备坚实的生态基础来承载城市未来的发展目标。因地制宜、突出特色、合理布局地制定产业发展规划来统筹林业产业发展，</w:t>
      </w:r>
      <w:r>
        <w:rPr>
          <w:rFonts w:hint="eastAsia" w:eastAsia="仿宋_GB2312"/>
          <w:sz w:val="32"/>
          <w:szCs w:val="32"/>
        </w:rPr>
        <w:t>为生态文明试验区和自由贸易港建设</w:t>
      </w:r>
      <w:r>
        <w:rPr>
          <w:rFonts w:eastAsia="仿宋_GB2312"/>
          <w:sz w:val="32"/>
          <w:szCs w:val="32"/>
        </w:rPr>
        <w:t>具有重要的意义。</w:t>
      </w:r>
    </w:p>
    <w:p w14:paraId="4888D347">
      <w:pPr>
        <w:pStyle w:val="15"/>
        <w:rPr>
          <w:rFonts w:ascii="Times New Roman" w:hAnsi="Times New Roman" w:eastAsia="黑体"/>
          <w:sz w:val="36"/>
        </w:rPr>
        <w:sectPr>
          <w:pgSz w:w="11906" w:h="16838"/>
          <w:pgMar w:top="1440" w:right="1800" w:bottom="1440" w:left="1800" w:header="851" w:footer="992" w:gutter="0"/>
          <w:cols w:space="720" w:num="1"/>
          <w:docGrid w:type="lines" w:linePitch="312" w:charSpace="0"/>
        </w:sectPr>
      </w:pPr>
      <w:bookmarkStart w:id="41" w:name="_Toc82546064"/>
    </w:p>
    <w:p w14:paraId="441E35A4">
      <w:pPr>
        <w:pStyle w:val="15"/>
        <w:rPr>
          <w:rFonts w:ascii="Times New Roman" w:hAnsi="Times New Roman" w:eastAsia="黑体"/>
          <w:sz w:val="36"/>
        </w:rPr>
      </w:pPr>
      <w:r>
        <w:rPr>
          <w:rFonts w:ascii="Times New Roman" w:hAnsi="Times New Roman" w:eastAsia="黑体"/>
          <w:sz w:val="36"/>
        </w:rPr>
        <w:t>第三章 林业产业发展条件</w:t>
      </w:r>
      <w:bookmarkEnd w:id="41"/>
    </w:p>
    <w:p w14:paraId="55FCAF2A">
      <w:pPr>
        <w:pStyle w:val="3"/>
        <w:spacing w:before="312" w:beforeLines="100" w:after="0" w:line="240" w:lineRule="auto"/>
        <w:rPr>
          <w:rFonts w:ascii="Times New Roman" w:hAnsi="Times New Roman" w:eastAsia="黑体"/>
        </w:rPr>
      </w:pPr>
      <w:bookmarkStart w:id="42" w:name="_Toc82546065"/>
      <w:r>
        <w:rPr>
          <w:rFonts w:ascii="Times New Roman" w:hAnsi="Times New Roman" w:eastAsia="黑体"/>
        </w:rPr>
        <w:t>3.1 三亚市概况</w:t>
      </w:r>
      <w:bookmarkEnd w:id="42"/>
    </w:p>
    <w:p w14:paraId="59D8CF40">
      <w:pPr>
        <w:spacing w:line="360" w:lineRule="auto"/>
        <w:rPr>
          <w:rFonts w:eastAsia="黑体"/>
          <w:b/>
          <w:kern w:val="44"/>
          <w:sz w:val="32"/>
          <w:szCs w:val="48"/>
        </w:rPr>
      </w:pPr>
      <w:r>
        <w:rPr>
          <w:rFonts w:eastAsia="黑体"/>
          <w:b/>
          <w:kern w:val="44"/>
          <w:sz w:val="32"/>
          <w:szCs w:val="48"/>
        </w:rPr>
        <w:t>3.1.1 自然</w:t>
      </w:r>
      <w:r>
        <w:rPr>
          <w:rFonts w:hint="eastAsia" w:eastAsia="黑体"/>
          <w:b/>
          <w:kern w:val="44"/>
          <w:sz w:val="32"/>
          <w:szCs w:val="48"/>
        </w:rPr>
        <w:t>条件</w:t>
      </w:r>
      <w:r>
        <w:rPr>
          <w:rFonts w:eastAsia="黑体"/>
          <w:b/>
          <w:kern w:val="44"/>
          <w:sz w:val="32"/>
          <w:szCs w:val="48"/>
        </w:rPr>
        <w:t>概况</w:t>
      </w:r>
    </w:p>
    <w:p w14:paraId="6D93A0CA">
      <w:pPr>
        <w:spacing w:line="360" w:lineRule="auto"/>
        <w:ind w:firstLine="643" w:firstLineChars="200"/>
        <w:rPr>
          <w:rFonts w:eastAsia="仿宋_GB2312"/>
          <w:b/>
          <w:bCs/>
          <w:sz w:val="32"/>
          <w:szCs w:val="32"/>
        </w:rPr>
      </w:pPr>
      <w:r>
        <w:rPr>
          <w:rFonts w:eastAsia="仿宋_GB2312"/>
          <w:b/>
          <w:bCs/>
          <w:sz w:val="32"/>
          <w:szCs w:val="32"/>
        </w:rPr>
        <w:t>（1）地理位置与区位</w:t>
      </w:r>
    </w:p>
    <w:p w14:paraId="538C5DB7">
      <w:pPr>
        <w:ind w:firstLine="640" w:firstLineChars="200"/>
        <w:jc w:val="left"/>
        <w:rPr>
          <w:rFonts w:eastAsia="仿宋_GB2312"/>
          <w:sz w:val="32"/>
          <w:szCs w:val="32"/>
        </w:rPr>
      </w:pPr>
      <w:r>
        <w:rPr>
          <w:rFonts w:eastAsia="仿宋_GB2312"/>
          <w:sz w:val="32"/>
          <w:szCs w:val="32"/>
        </w:rPr>
        <w:t>三亚地处中国海南省最南端，位于</w:t>
      </w:r>
      <w:r>
        <w:rPr>
          <w:rFonts w:hint="eastAsia" w:eastAsia="仿宋_GB2312"/>
          <w:sz w:val="32"/>
          <w:szCs w:val="32"/>
        </w:rPr>
        <w:t>北纬</w:t>
      </w:r>
      <w:r>
        <w:rPr>
          <w:rFonts w:eastAsia="仿宋_GB2312"/>
          <w:sz w:val="32"/>
          <w:szCs w:val="32"/>
        </w:rPr>
        <w:t>18°09′</w:t>
      </w:r>
      <w:r>
        <w:rPr>
          <w:rFonts w:hint="eastAsia" w:eastAsia="仿宋_GB2312"/>
          <w:sz w:val="32"/>
          <w:szCs w:val="32"/>
        </w:rPr>
        <w:t>~</w:t>
      </w:r>
      <w:r>
        <w:rPr>
          <w:rFonts w:eastAsia="仿宋_GB2312"/>
          <w:sz w:val="32"/>
          <w:szCs w:val="32"/>
        </w:rPr>
        <w:t>18°37′，</w:t>
      </w:r>
      <w:r>
        <w:rPr>
          <w:rFonts w:hint="eastAsia" w:eastAsia="仿宋_GB2312"/>
          <w:sz w:val="32"/>
          <w:szCs w:val="32"/>
        </w:rPr>
        <w:t>东经</w:t>
      </w:r>
      <w:r>
        <w:rPr>
          <w:rFonts w:eastAsia="仿宋_GB2312"/>
          <w:sz w:val="32"/>
          <w:szCs w:val="32"/>
        </w:rPr>
        <w:t>108°56′</w:t>
      </w:r>
      <w:r>
        <w:rPr>
          <w:rFonts w:hint="eastAsia" w:eastAsia="仿宋_GB2312"/>
          <w:sz w:val="32"/>
          <w:szCs w:val="32"/>
        </w:rPr>
        <w:t>~</w:t>
      </w:r>
      <w:r>
        <w:rPr>
          <w:rFonts w:eastAsia="仿宋_GB2312"/>
          <w:sz w:val="32"/>
          <w:szCs w:val="32"/>
        </w:rPr>
        <w:t>109°48′。东邻陵水、北依保亭、西毗乐东、南临南海。全境东西长91.6 km，南北宽51 km，陆域总面积192</w:t>
      </w:r>
      <w:r>
        <w:rPr>
          <w:rFonts w:hint="eastAsia" w:eastAsia="仿宋_GB2312"/>
          <w:sz w:val="32"/>
          <w:szCs w:val="32"/>
        </w:rPr>
        <w:t>2</w:t>
      </w:r>
      <w:r>
        <w:rPr>
          <w:rFonts w:eastAsia="仿宋_GB2312"/>
          <w:sz w:val="32"/>
          <w:szCs w:val="32"/>
        </w:rPr>
        <w:t xml:space="preserve"> hm</w:t>
      </w:r>
      <w:r>
        <w:rPr>
          <w:rFonts w:eastAsia="仿宋_GB2312"/>
          <w:sz w:val="32"/>
          <w:szCs w:val="32"/>
          <w:vertAlign w:val="superscript"/>
        </w:rPr>
        <w:t>2</w:t>
      </w:r>
      <w:r>
        <w:rPr>
          <w:rFonts w:eastAsia="仿宋_GB2312"/>
          <w:sz w:val="32"/>
          <w:szCs w:val="32"/>
        </w:rPr>
        <w:t>，管辖海域面积约3226 hm</w:t>
      </w:r>
      <w:r>
        <w:rPr>
          <w:rFonts w:eastAsia="仿宋_GB2312"/>
          <w:sz w:val="32"/>
          <w:szCs w:val="32"/>
          <w:vertAlign w:val="superscript"/>
        </w:rPr>
        <w:t>2</w:t>
      </w:r>
      <w:r>
        <w:rPr>
          <w:rFonts w:eastAsia="仿宋_GB2312"/>
          <w:sz w:val="32"/>
          <w:szCs w:val="32"/>
        </w:rPr>
        <w:t>，岸线长263.29 km。</w:t>
      </w:r>
    </w:p>
    <w:p w14:paraId="4AF42AE5">
      <w:pPr>
        <w:spacing w:line="360" w:lineRule="auto"/>
        <w:ind w:firstLine="643" w:firstLineChars="200"/>
        <w:rPr>
          <w:rFonts w:eastAsia="仿宋_GB2312"/>
          <w:b/>
          <w:bCs/>
          <w:sz w:val="32"/>
          <w:szCs w:val="32"/>
        </w:rPr>
      </w:pPr>
      <w:r>
        <w:rPr>
          <w:rFonts w:eastAsia="仿宋_GB2312"/>
          <w:b/>
          <w:bCs/>
          <w:sz w:val="32"/>
          <w:szCs w:val="32"/>
        </w:rPr>
        <w:t>（2）地形地貌</w:t>
      </w:r>
    </w:p>
    <w:p w14:paraId="141E5EDF">
      <w:pPr>
        <w:ind w:firstLine="640" w:firstLineChars="200"/>
        <w:rPr>
          <w:rFonts w:eastAsia="仿宋_GB2312"/>
          <w:sz w:val="32"/>
          <w:szCs w:val="32"/>
        </w:rPr>
      </w:pPr>
      <w:r>
        <w:rPr>
          <w:rFonts w:hint="eastAsia" w:eastAsia="仿宋_GB2312"/>
          <w:sz w:val="32"/>
          <w:szCs w:val="32"/>
        </w:rPr>
        <w:t>三亚市北高南低，北面环山，南面临海，从北至南分布着山地、丘陵、台地、河流、谷地、平原等地形结构。自东至西，由福万岭一黄</w:t>
      </w:r>
      <w:r>
        <w:rPr>
          <w:rFonts w:hint="eastAsia" w:ascii="宋体" w:hAnsi="宋体" w:cs="宋体"/>
          <w:sz w:val="32"/>
          <w:szCs w:val="32"/>
        </w:rPr>
        <w:t>猄</w:t>
      </w:r>
      <w:r>
        <w:rPr>
          <w:rFonts w:hint="eastAsia" w:eastAsia="仿宋_GB2312"/>
          <w:sz w:val="32"/>
          <w:szCs w:val="32"/>
        </w:rPr>
        <w:t>岭一云梦山连成一条横向小系，将南部沿海丘陵、台地、平原和北部的山地分开。而南部，又由北走南的鹿回岭一田岸后大岭一海妃岭一牙龙岭和荔枝岭一塔岭两条山系，把南部分成三域。</w:t>
      </w:r>
    </w:p>
    <w:p w14:paraId="6C2A5605">
      <w:pPr>
        <w:ind w:firstLine="640" w:firstLineChars="200"/>
        <w:rPr>
          <w:rFonts w:eastAsia="仿宋_GB2312"/>
          <w:sz w:val="32"/>
          <w:szCs w:val="32"/>
        </w:rPr>
      </w:pPr>
      <w:r>
        <w:rPr>
          <w:rFonts w:hint="eastAsia" w:eastAsia="仿宋_GB2312"/>
          <w:sz w:val="32"/>
          <w:szCs w:val="32"/>
        </w:rPr>
        <w:t>三亚市形成北部山地、东部平原、南部平原及丘陵、西部丘陵及平原等四个地块。三面环山，北有抱坡岭，东有大会岭、虎豹岭和海拔393 m的高岭（狗岭），南有南边岭，形成环抱之势，山岭绵延起伏、层次分明；同时，山脉的延伸将市区分成若干青山围成的空间，为城市不同地区提供了各具特色的空间景观环境。</w:t>
      </w:r>
    </w:p>
    <w:p w14:paraId="2F32E2D2">
      <w:pPr>
        <w:ind w:firstLine="640" w:firstLineChars="200"/>
        <w:rPr>
          <w:rFonts w:eastAsia="仿宋_GB2312"/>
          <w:sz w:val="32"/>
          <w:szCs w:val="32"/>
        </w:rPr>
      </w:pPr>
      <w:r>
        <w:rPr>
          <w:rFonts w:hint="eastAsia" w:eastAsia="仿宋_GB2312"/>
          <w:sz w:val="32"/>
          <w:szCs w:val="32"/>
        </w:rPr>
        <w:t>三亚市南临南海，管辖的海域面积5000 km</w:t>
      </w:r>
      <w:r>
        <w:rPr>
          <w:rFonts w:hint="eastAsia" w:eastAsia="仿宋_GB2312"/>
          <w:sz w:val="32"/>
          <w:szCs w:val="32"/>
          <w:vertAlign w:val="superscript"/>
        </w:rPr>
        <w:t>2</w:t>
      </w:r>
      <w:r>
        <w:rPr>
          <w:rFonts w:hint="eastAsia" w:eastAsia="仿宋_GB2312"/>
          <w:sz w:val="32"/>
          <w:szCs w:val="32"/>
        </w:rPr>
        <w:t>。境内海岸线长258.65 km，海湾较多，有大小港湾19个，各有佳景。主要港口有三亚港、榆林港、南山港、铁炉港、六道港等。主要海湾有三亚湾、海棠湾、亚龙湾、崖州湾、大东海湾、月亮湾等。有大小岛屿40个，主要岛屿10个。</w:t>
      </w:r>
    </w:p>
    <w:p w14:paraId="4E34666F">
      <w:pPr>
        <w:spacing w:line="360" w:lineRule="auto"/>
        <w:ind w:firstLine="643" w:firstLineChars="200"/>
        <w:rPr>
          <w:rFonts w:eastAsia="仿宋_GB2312"/>
          <w:b/>
          <w:bCs/>
          <w:sz w:val="32"/>
          <w:szCs w:val="32"/>
        </w:rPr>
      </w:pPr>
      <w:r>
        <w:rPr>
          <w:rFonts w:eastAsia="仿宋_GB2312"/>
          <w:b/>
          <w:bCs/>
          <w:sz w:val="32"/>
          <w:szCs w:val="32"/>
        </w:rPr>
        <w:t>（3）气候条件</w:t>
      </w:r>
    </w:p>
    <w:p w14:paraId="4B4A897D">
      <w:pPr>
        <w:ind w:firstLine="640" w:firstLineChars="200"/>
        <w:rPr>
          <w:rFonts w:hint="eastAsia" w:eastAsia="仿宋_GB2312"/>
          <w:sz w:val="32"/>
          <w:szCs w:val="32"/>
        </w:rPr>
      </w:pPr>
      <w:r>
        <w:rPr>
          <w:rFonts w:eastAsia="仿宋_GB2312"/>
          <w:sz w:val="32"/>
          <w:szCs w:val="32"/>
        </w:rPr>
        <w:t>三亚地处北回归线以南的热带北缘，属热带海洋性季风气候区。</w:t>
      </w:r>
      <w:r>
        <w:rPr>
          <w:rFonts w:hint="eastAsia" w:eastAsia="仿宋_GB2312"/>
          <w:sz w:val="32"/>
          <w:szCs w:val="32"/>
        </w:rPr>
        <w:t>主要气候特点：高温多雨，四季变化不大，干湿季节明显，终年无霜；年平均气温</w:t>
      </w:r>
      <w:r>
        <w:rPr>
          <w:rFonts w:eastAsia="仿宋_GB2312"/>
          <w:sz w:val="32"/>
          <w:szCs w:val="32"/>
        </w:rPr>
        <w:t>27.1</w:t>
      </w:r>
      <w:r>
        <w:rPr>
          <w:rFonts w:hint="eastAsia" w:eastAsia="仿宋_GB2312"/>
          <w:sz w:val="32"/>
          <w:szCs w:val="32"/>
        </w:rPr>
        <w:t>℃，气温最高月为6月，极端高温</w:t>
      </w:r>
      <w:r>
        <w:rPr>
          <w:rFonts w:eastAsia="仿宋_GB2312"/>
          <w:sz w:val="32"/>
          <w:szCs w:val="32"/>
        </w:rPr>
        <w:t>36.5</w:t>
      </w:r>
      <w:r>
        <w:rPr>
          <w:rFonts w:hint="eastAsia" w:eastAsia="仿宋_GB2312"/>
          <w:sz w:val="32"/>
          <w:szCs w:val="32"/>
        </w:rPr>
        <w:t>℃，气温最低月为1月，极端低温1</w:t>
      </w:r>
      <w:r>
        <w:rPr>
          <w:rFonts w:eastAsia="仿宋_GB2312"/>
          <w:sz w:val="32"/>
          <w:szCs w:val="32"/>
        </w:rPr>
        <w:t>1.6</w:t>
      </w:r>
      <w:r>
        <w:rPr>
          <w:rFonts w:hint="eastAsia" w:eastAsia="仿宋_GB2312"/>
          <w:sz w:val="32"/>
          <w:szCs w:val="32"/>
        </w:rPr>
        <w:t>℃。全年日照时间2</w:t>
      </w:r>
      <w:r>
        <w:rPr>
          <w:rFonts w:eastAsia="仿宋_GB2312"/>
          <w:sz w:val="32"/>
          <w:szCs w:val="32"/>
        </w:rPr>
        <w:t>196</w:t>
      </w:r>
      <w:r>
        <w:rPr>
          <w:rFonts w:hint="eastAsia" w:eastAsia="仿宋_GB2312"/>
          <w:sz w:val="32"/>
          <w:szCs w:val="32"/>
        </w:rPr>
        <w:t xml:space="preserve"> h。年平均降水量</w:t>
      </w:r>
      <w:r>
        <w:rPr>
          <w:rFonts w:eastAsia="仿宋_GB2312"/>
          <w:sz w:val="32"/>
          <w:szCs w:val="32"/>
        </w:rPr>
        <w:t>973</w:t>
      </w:r>
      <w:r>
        <w:rPr>
          <w:rFonts w:hint="eastAsia" w:eastAsia="仿宋_GB2312"/>
          <w:sz w:val="32"/>
          <w:szCs w:val="32"/>
        </w:rPr>
        <w:t xml:space="preserve"> mm。5月至10月为雨季，降水量占全年的90%。</w:t>
      </w:r>
    </w:p>
    <w:p w14:paraId="05896019">
      <w:pPr>
        <w:ind w:firstLine="640" w:firstLineChars="200"/>
        <w:rPr>
          <w:rFonts w:eastAsia="仿宋_GB2312"/>
          <w:sz w:val="32"/>
          <w:szCs w:val="32"/>
        </w:rPr>
      </w:pPr>
      <w:r>
        <w:rPr>
          <w:rFonts w:eastAsia="仿宋_GB2312"/>
          <w:sz w:val="32"/>
          <w:szCs w:val="32"/>
        </w:rPr>
        <w:t>三亚阳光充足，</w:t>
      </w:r>
      <w:r>
        <w:rPr>
          <w:rFonts w:hint="eastAsia" w:eastAsia="仿宋_GB2312"/>
          <w:sz w:val="32"/>
          <w:szCs w:val="32"/>
        </w:rPr>
        <w:t>夏秋多台风；阳光充足，热能丰富。</w:t>
      </w:r>
      <w:r>
        <w:rPr>
          <w:rFonts w:eastAsia="仿宋_GB2312"/>
          <w:sz w:val="32"/>
          <w:szCs w:val="32"/>
        </w:rPr>
        <w:t>全年日照时间约</w:t>
      </w:r>
      <w:r>
        <w:rPr>
          <w:rFonts w:hint="eastAsia" w:eastAsia="仿宋_GB2312"/>
          <w:sz w:val="32"/>
          <w:szCs w:val="32"/>
        </w:rPr>
        <w:t>2</w:t>
      </w:r>
      <w:r>
        <w:rPr>
          <w:rFonts w:eastAsia="仿宋_GB2312"/>
          <w:sz w:val="32"/>
          <w:szCs w:val="32"/>
        </w:rPr>
        <w:t>196</w:t>
      </w:r>
      <w:r>
        <w:rPr>
          <w:rFonts w:hint="eastAsia" w:eastAsia="仿宋_GB2312"/>
          <w:sz w:val="32"/>
          <w:szCs w:val="32"/>
        </w:rPr>
        <w:t xml:space="preserve"> </w:t>
      </w:r>
      <w:r>
        <w:rPr>
          <w:rFonts w:eastAsia="仿宋_GB2312"/>
          <w:sz w:val="32"/>
          <w:szCs w:val="32"/>
        </w:rPr>
        <w:t>h</w:t>
      </w:r>
      <w:r>
        <w:rPr>
          <w:rFonts w:hint="eastAsia" w:eastAsia="仿宋_GB2312"/>
          <w:sz w:val="32"/>
          <w:szCs w:val="32"/>
        </w:rPr>
        <w:t>，</w:t>
      </w:r>
      <w:r>
        <w:rPr>
          <w:rFonts w:eastAsia="仿宋_GB2312"/>
          <w:sz w:val="32"/>
          <w:szCs w:val="32"/>
        </w:rPr>
        <w:t>日照率58%，其中七月份为一年中日照时数最长月份，全年太阳辐射量130.6</w:t>
      </w:r>
      <w:r>
        <w:rPr>
          <w:rFonts w:hint="eastAsia" w:eastAsia="仿宋_GB2312"/>
          <w:sz w:val="32"/>
          <w:szCs w:val="32"/>
        </w:rPr>
        <w:t xml:space="preserve"> </w:t>
      </w:r>
      <w:r>
        <w:rPr>
          <w:rFonts w:eastAsia="仿宋_GB2312"/>
          <w:sz w:val="32"/>
          <w:szCs w:val="32"/>
        </w:rPr>
        <w:t>kCal/cm</w:t>
      </w:r>
      <w:r>
        <w:rPr>
          <w:rFonts w:eastAsia="仿宋_GB2312"/>
          <w:sz w:val="32"/>
          <w:szCs w:val="32"/>
          <w:vertAlign w:val="superscript"/>
        </w:rPr>
        <w:t>2</w:t>
      </w:r>
      <w:r>
        <w:rPr>
          <w:rFonts w:eastAsia="仿宋_GB2312"/>
          <w:sz w:val="32"/>
          <w:szCs w:val="32"/>
        </w:rPr>
        <w:t>。三亚全年温热，年平均气温27.1</w:t>
      </w:r>
      <w:r>
        <w:rPr>
          <w:rFonts w:hint="eastAsia" w:eastAsia="仿宋_GB2312"/>
          <w:sz w:val="32"/>
          <w:szCs w:val="32"/>
        </w:rPr>
        <w:t>℃</w:t>
      </w:r>
      <w:r>
        <w:rPr>
          <w:rFonts w:eastAsia="仿宋_GB2312"/>
          <w:sz w:val="32"/>
          <w:szCs w:val="32"/>
        </w:rPr>
        <w:t>。</w:t>
      </w:r>
    </w:p>
    <w:p w14:paraId="023850D7">
      <w:pPr>
        <w:spacing w:line="360" w:lineRule="auto"/>
        <w:ind w:firstLine="643" w:firstLineChars="200"/>
        <w:rPr>
          <w:rFonts w:eastAsia="仿宋_GB2312"/>
          <w:b/>
          <w:bCs/>
          <w:sz w:val="32"/>
          <w:szCs w:val="32"/>
        </w:rPr>
      </w:pPr>
      <w:r>
        <w:rPr>
          <w:rFonts w:eastAsia="仿宋_GB2312"/>
          <w:b/>
          <w:bCs/>
          <w:sz w:val="32"/>
          <w:szCs w:val="32"/>
        </w:rPr>
        <w:t>（4）土壤条件</w:t>
      </w:r>
    </w:p>
    <w:p w14:paraId="4581EC98">
      <w:pPr>
        <w:ind w:firstLine="640" w:firstLineChars="200"/>
        <w:rPr>
          <w:rFonts w:hint="eastAsia" w:eastAsia="仿宋_GB2312"/>
          <w:sz w:val="32"/>
          <w:szCs w:val="32"/>
        </w:rPr>
      </w:pPr>
      <w:r>
        <w:rPr>
          <w:rFonts w:hint="eastAsia" w:eastAsia="仿宋_GB2312"/>
          <w:sz w:val="32"/>
          <w:szCs w:val="32"/>
        </w:rPr>
        <w:t>三亚市山地、丘陵面积较大，地形较复杂，从山地的最高点至滨海最低点，相差1000 m以上，山地植被丰富，被盖良好，</w:t>
      </w:r>
      <w:r>
        <w:rPr>
          <w:rFonts w:eastAsia="仿宋_GB2312"/>
          <w:sz w:val="32"/>
          <w:szCs w:val="32"/>
        </w:rPr>
        <w:t>土壤有6个土类，自然土壤以砖红壤、赤红壤为主，以及滨海沙土、燥红壤、砖红壤、山地黄壤、潮沙泥土等。砖红壤一般海拔50</w:t>
      </w:r>
      <w:r>
        <w:rPr>
          <w:rFonts w:hint="eastAsia" w:eastAsia="仿宋_GB2312"/>
          <w:sz w:val="32"/>
          <w:szCs w:val="32"/>
        </w:rPr>
        <w:t>~</w:t>
      </w:r>
      <w:r>
        <w:rPr>
          <w:rFonts w:eastAsia="仿宋_GB2312"/>
          <w:sz w:val="32"/>
          <w:szCs w:val="32"/>
        </w:rPr>
        <w:t>400</w:t>
      </w:r>
      <w:r>
        <w:rPr>
          <w:rFonts w:hint="eastAsia" w:eastAsia="仿宋_GB2312"/>
          <w:sz w:val="32"/>
          <w:szCs w:val="32"/>
        </w:rPr>
        <w:t xml:space="preserve"> </w:t>
      </w:r>
      <w:r>
        <w:rPr>
          <w:rFonts w:eastAsia="仿宋_GB2312"/>
          <w:sz w:val="32"/>
          <w:szCs w:val="32"/>
        </w:rPr>
        <w:t>m，土壤母质为花岗岩、砂页岩、安山岩等风化物，土层深厚，土壤肥力较高；而滨海沙土海拔0</w:t>
      </w:r>
      <w:r>
        <w:rPr>
          <w:rFonts w:hint="eastAsia" w:eastAsia="仿宋_GB2312"/>
          <w:sz w:val="32"/>
          <w:szCs w:val="32"/>
        </w:rPr>
        <w:t>~</w:t>
      </w:r>
      <w:r>
        <w:rPr>
          <w:rFonts w:eastAsia="仿宋_GB2312"/>
          <w:sz w:val="32"/>
          <w:szCs w:val="32"/>
        </w:rPr>
        <w:t>10</w:t>
      </w:r>
      <w:r>
        <w:rPr>
          <w:rFonts w:hint="eastAsia" w:eastAsia="仿宋_GB2312"/>
          <w:sz w:val="32"/>
          <w:szCs w:val="32"/>
        </w:rPr>
        <w:t xml:space="preserve"> </w:t>
      </w:r>
      <w:r>
        <w:rPr>
          <w:rFonts w:eastAsia="仿宋_GB2312"/>
          <w:sz w:val="32"/>
          <w:szCs w:val="32"/>
        </w:rPr>
        <w:t>m，为滨海沉积物形成，质地偏沙，有机质含量低，土壤肥力低。</w:t>
      </w:r>
    </w:p>
    <w:p w14:paraId="245E6EAC">
      <w:pPr>
        <w:spacing w:line="360" w:lineRule="auto"/>
        <w:rPr>
          <w:rFonts w:eastAsia="黑体"/>
          <w:b/>
          <w:kern w:val="44"/>
          <w:sz w:val="32"/>
          <w:szCs w:val="48"/>
        </w:rPr>
      </w:pPr>
      <w:r>
        <w:rPr>
          <w:rFonts w:eastAsia="黑体"/>
          <w:b/>
          <w:kern w:val="44"/>
          <w:sz w:val="32"/>
          <w:szCs w:val="48"/>
        </w:rPr>
        <w:t>3.1.</w:t>
      </w:r>
      <w:r>
        <w:rPr>
          <w:rFonts w:hint="eastAsia" w:eastAsia="黑体"/>
          <w:b/>
          <w:kern w:val="44"/>
          <w:sz w:val="32"/>
          <w:szCs w:val="48"/>
        </w:rPr>
        <w:t>2</w:t>
      </w:r>
      <w:r>
        <w:rPr>
          <w:rFonts w:eastAsia="黑体"/>
          <w:b/>
          <w:kern w:val="44"/>
          <w:sz w:val="32"/>
          <w:szCs w:val="48"/>
        </w:rPr>
        <w:t xml:space="preserve"> 自然资源概况</w:t>
      </w:r>
    </w:p>
    <w:p w14:paraId="55C872BB">
      <w:pPr>
        <w:spacing w:line="360" w:lineRule="auto"/>
        <w:ind w:firstLine="643" w:firstLineChars="200"/>
        <w:rPr>
          <w:rFonts w:eastAsia="仿宋_GB2312"/>
          <w:b/>
          <w:bCs/>
          <w:sz w:val="32"/>
          <w:szCs w:val="32"/>
        </w:rPr>
      </w:pPr>
      <w:r>
        <w:rPr>
          <w:rFonts w:eastAsia="仿宋_GB2312"/>
          <w:b/>
          <w:bCs/>
          <w:sz w:val="32"/>
          <w:szCs w:val="32"/>
        </w:rPr>
        <w:t>（</w:t>
      </w:r>
      <w:r>
        <w:rPr>
          <w:rFonts w:hint="eastAsia" w:eastAsia="仿宋_GB2312"/>
          <w:b/>
          <w:bCs/>
          <w:sz w:val="32"/>
          <w:szCs w:val="32"/>
        </w:rPr>
        <w:t>1</w:t>
      </w:r>
      <w:r>
        <w:rPr>
          <w:rFonts w:eastAsia="仿宋_GB2312"/>
          <w:b/>
          <w:bCs/>
          <w:sz w:val="32"/>
          <w:szCs w:val="32"/>
        </w:rPr>
        <w:t>）水</w:t>
      </w:r>
      <w:r>
        <w:rPr>
          <w:rFonts w:hint="eastAsia" w:eastAsia="仿宋_GB2312"/>
          <w:b/>
          <w:bCs/>
          <w:sz w:val="32"/>
          <w:szCs w:val="32"/>
        </w:rPr>
        <w:t>资源</w:t>
      </w:r>
      <w:r>
        <w:rPr>
          <w:rFonts w:eastAsia="仿宋_GB2312"/>
          <w:b/>
          <w:bCs/>
          <w:sz w:val="32"/>
          <w:szCs w:val="32"/>
        </w:rPr>
        <w:t xml:space="preserve"> </w:t>
      </w:r>
    </w:p>
    <w:p w14:paraId="05E65D42">
      <w:pPr>
        <w:ind w:firstLine="640" w:firstLineChars="200"/>
        <w:rPr>
          <w:rFonts w:hint="eastAsia" w:eastAsia="仿宋_GB2312"/>
          <w:sz w:val="32"/>
          <w:szCs w:val="32"/>
        </w:rPr>
      </w:pPr>
      <w:r>
        <w:rPr>
          <w:rFonts w:hint="eastAsia" w:eastAsia="仿宋_GB2312"/>
          <w:sz w:val="32"/>
          <w:szCs w:val="32"/>
        </w:rPr>
        <w:t>三亚市境内有中、小河流221条，集雨面积</w:t>
      </w:r>
      <w:r>
        <w:rPr>
          <w:rFonts w:eastAsia="仿宋_GB2312"/>
          <w:sz w:val="32"/>
          <w:szCs w:val="32"/>
        </w:rPr>
        <w:t>500</w:t>
      </w:r>
      <w:r>
        <w:rPr>
          <w:rFonts w:hint="eastAsia" w:eastAsia="仿宋_GB2312"/>
          <w:sz w:val="32"/>
          <w:szCs w:val="32"/>
        </w:rPr>
        <w:t xml:space="preserve"> km</w:t>
      </w:r>
      <w:r>
        <w:rPr>
          <w:rFonts w:hint="eastAsia" w:eastAsia="仿宋_GB2312"/>
          <w:sz w:val="32"/>
          <w:szCs w:val="32"/>
          <w:vertAlign w:val="superscript"/>
        </w:rPr>
        <w:t>2</w:t>
      </w:r>
      <w:r>
        <w:rPr>
          <w:rFonts w:hint="eastAsia" w:eastAsia="仿宋_GB2312"/>
          <w:sz w:val="32"/>
          <w:szCs w:val="32"/>
        </w:rPr>
        <w:t>以上的有宁远河、藤桥河；集雨面积</w:t>
      </w:r>
      <w:r>
        <w:rPr>
          <w:rFonts w:eastAsia="仿宋_GB2312"/>
          <w:sz w:val="32"/>
          <w:szCs w:val="32"/>
        </w:rPr>
        <w:t>100</w:t>
      </w:r>
      <w:r>
        <w:rPr>
          <w:rFonts w:hint="eastAsia" w:eastAsia="仿宋_GB2312"/>
          <w:sz w:val="32"/>
          <w:szCs w:val="32"/>
        </w:rPr>
        <w:t xml:space="preserve"> km</w:t>
      </w:r>
      <w:r>
        <w:rPr>
          <w:rFonts w:hint="eastAsia" w:eastAsia="仿宋_GB2312"/>
          <w:sz w:val="32"/>
          <w:szCs w:val="32"/>
          <w:vertAlign w:val="superscript"/>
        </w:rPr>
        <w:t>2</w:t>
      </w:r>
      <w:r>
        <w:rPr>
          <w:rFonts w:hint="eastAsia" w:eastAsia="仿宋_GB2312"/>
          <w:sz w:val="32"/>
          <w:szCs w:val="32"/>
        </w:rPr>
        <w:t>以上的有宁远河、藤桥河；集雨面积</w:t>
      </w:r>
      <w:r>
        <w:rPr>
          <w:rFonts w:eastAsia="仿宋_GB2312"/>
          <w:sz w:val="32"/>
          <w:szCs w:val="32"/>
        </w:rPr>
        <w:t>100</w:t>
      </w:r>
      <w:r>
        <w:rPr>
          <w:rFonts w:hint="eastAsia" w:eastAsia="仿宋_GB2312"/>
          <w:sz w:val="32"/>
          <w:szCs w:val="32"/>
        </w:rPr>
        <w:t xml:space="preserve"> km</w:t>
      </w:r>
      <w:r>
        <w:rPr>
          <w:rFonts w:hint="eastAsia" w:eastAsia="仿宋_GB2312"/>
          <w:sz w:val="32"/>
          <w:szCs w:val="32"/>
          <w:vertAlign w:val="superscript"/>
        </w:rPr>
        <w:t>2</w:t>
      </w:r>
      <w:r>
        <w:rPr>
          <w:rFonts w:hint="eastAsia" w:eastAsia="仿宋_GB2312"/>
          <w:sz w:val="32"/>
          <w:szCs w:val="32"/>
        </w:rPr>
        <w:t>以下的有三亚河、大茅水、雅边方河、龙潭河。根据三亚市水资源分布情况，可分为中、东、西部三个水系。</w:t>
      </w:r>
      <w:r>
        <w:rPr>
          <w:rFonts w:eastAsia="仿宋_GB2312"/>
          <w:sz w:val="32"/>
          <w:szCs w:val="32"/>
        </w:rPr>
        <w:t>东部水系以藤桥河为主，</w:t>
      </w:r>
      <w:r>
        <w:rPr>
          <w:rFonts w:hint="eastAsia" w:eastAsia="仿宋_GB2312"/>
          <w:sz w:val="32"/>
          <w:szCs w:val="32"/>
        </w:rPr>
        <w:t>包括藤桥西河和藤桥东河；</w:t>
      </w:r>
      <w:r>
        <w:rPr>
          <w:rFonts w:eastAsia="仿宋_GB2312"/>
          <w:sz w:val="32"/>
          <w:szCs w:val="32"/>
        </w:rPr>
        <w:t>中部以三亚河为主，</w:t>
      </w:r>
      <w:r>
        <w:rPr>
          <w:rFonts w:hint="eastAsia" w:eastAsia="仿宋_GB2312"/>
          <w:sz w:val="32"/>
          <w:szCs w:val="32"/>
        </w:rPr>
        <w:t>包括大茅水。</w:t>
      </w:r>
      <w:r>
        <w:rPr>
          <w:rFonts w:eastAsia="仿宋_GB2312"/>
          <w:sz w:val="32"/>
          <w:szCs w:val="32"/>
        </w:rPr>
        <w:t>西部以宁远河为主</w:t>
      </w:r>
      <w:r>
        <w:rPr>
          <w:rFonts w:hint="eastAsia" w:eastAsia="仿宋_GB2312"/>
          <w:sz w:val="32"/>
          <w:szCs w:val="32"/>
        </w:rPr>
        <w:t>，该河流域面积1020 km</w:t>
      </w:r>
      <w:r>
        <w:rPr>
          <w:rFonts w:hint="eastAsia" w:eastAsia="仿宋_GB2312"/>
          <w:sz w:val="32"/>
          <w:szCs w:val="32"/>
          <w:vertAlign w:val="superscript"/>
        </w:rPr>
        <w:t>2</w:t>
      </w:r>
      <w:r>
        <w:rPr>
          <w:rFonts w:hint="eastAsia" w:eastAsia="仿宋_GB2312"/>
          <w:sz w:val="32"/>
          <w:szCs w:val="32"/>
        </w:rPr>
        <w:t>，为三亚第一，海南第四大河。</w:t>
      </w:r>
    </w:p>
    <w:p w14:paraId="719460F9">
      <w:pPr>
        <w:ind w:firstLine="640" w:firstLineChars="200"/>
        <w:rPr>
          <w:rFonts w:hint="eastAsia" w:eastAsia="仿宋_GB2312"/>
          <w:sz w:val="32"/>
          <w:szCs w:val="32"/>
        </w:rPr>
      </w:pPr>
      <w:r>
        <w:rPr>
          <w:rFonts w:hint="eastAsia" w:eastAsia="仿宋_GB2312"/>
          <w:sz w:val="32"/>
          <w:szCs w:val="32"/>
        </w:rPr>
        <w:t>三亚市地表水年总径流量11.5亿m</w:t>
      </w:r>
      <w:r>
        <w:rPr>
          <w:rFonts w:hint="eastAsia" w:eastAsia="仿宋_GB2312"/>
          <w:sz w:val="32"/>
          <w:szCs w:val="32"/>
          <w:vertAlign w:val="superscript"/>
        </w:rPr>
        <w:t>3</w:t>
      </w:r>
      <w:r>
        <w:rPr>
          <w:rFonts w:hint="eastAsia" w:eastAsia="仿宋_GB2312"/>
          <w:sz w:val="32"/>
          <w:szCs w:val="32"/>
        </w:rPr>
        <w:t>，地下水动储量1.42亿m</w:t>
      </w:r>
      <w:r>
        <w:rPr>
          <w:rFonts w:hint="eastAsia" w:eastAsia="仿宋_GB2312"/>
          <w:sz w:val="32"/>
          <w:szCs w:val="32"/>
          <w:vertAlign w:val="superscript"/>
        </w:rPr>
        <w:t>3</w:t>
      </w:r>
      <w:r>
        <w:rPr>
          <w:rFonts w:hint="eastAsia" w:eastAsia="仿宋_GB2312"/>
          <w:sz w:val="32"/>
          <w:szCs w:val="32"/>
        </w:rPr>
        <w:t>，有丰富的地热资源：南田神州第一泉、凤凰山庄、半岭温泉和崖城玉井温泉等，此外有林旺落根田洋热泉。</w:t>
      </w:r>
    </w:p>
    <w:p w14:paraId="645932E8">
      <w:pPr>
        <w:spacing w:line="360" w:lineRule="auto"/>
        <w:rPr>
          <w:rFonts w:eastAsia="仿宋_GB2312"/>
          <w:sz w:val="32"/>
          <w:szCs w:val="32"/>
        </w:rPr>
      </w:pPr>
      <w:r>
        <w:rPr>
          <w:rFonts w:hint="eastAsia" w:eastAsia="仿宋_GB2312"/>
          <w:b/>
          <w:bCs/>
          <w:sz w:val="32"/>
          <w:szCs w:val="32"/>
        </w:rPr>
        <w:t>（2）</w:t>
      </w:r>
      <w:r>
        <w:rPr>
          <w:rFonts w:eastAsia="仿宋_GB2312"/>
          <w:b/>
          <w:bCs/>
          <w:sz w:val="32"/>
          <w:szCs w:val="32"/>
        </w:rPr>
        <w:t>林地资源</w:t>
      </w:r>
    </w:p>
    <w:p w14:paraId="4D02D143">
      <w:pPr>
        <w:ind w:firstLine="640" w:firstLineChars="200"/>
        <w:rPr>
          <w:rFonts w:hint="eastAsia" w:eastAsia="仿宋_GB2312"/>
          <w:sz w:val="32"/>
          <w:szCs w:val="32"/>
        </w:rPr>
      </w:pPr>
      <w:r>
        <w:rPr>
          <w:rFonts w:hint="eastAsia" w:eastAsia="仿宋_GB2312"/>
          <w:sz w:val="32"/>
          <w:szCs w:val="32"/>
        </w:rPr>
        <w:t>三亚市总面积192139.62 hm</w:t>
      </w:r>
      <w:r>
        <w:rPr>
          <w:rFonts w:hint="eastAsia" w:eastAsia="仿宋_GB2312"/>
          <w:sz w:val="32"/>
          <w:szCs w:val="32"/>
          <w:vertAlign w:val="superscript"/>
        </w:rPr>
        <w:t>2</w:t>
      </w:r>
      <w:r>
        <w:rPr>
          <w:rFonts w:hint="eastAsia" w:eastAsia="仿宋_GB2312"/>
          <w:sz w:val="32"/>
          <w:szCs w:val="32"/>
        </w:rPr>
        <w:t>，其中林地面积 143137.07 公顷，非林地面积 49002.55 hm</w:t>
      </w:r>
      <w:r>
        <w:rPr>
          <w:rFonts w:hint="eastAsia" w:eastAsia="仿宋_GB2312"/>
          <w:sz w:val="32"/>
          <w:szCs w:val="32"/>
          <w:vertAlign w:val="superscript"/>
        </w:rPr>
        <w:t>2</w:t>
      </w:r>
      <w:r>
        <w:rPr>
          <w:rFonts w:hint="eastAsia" w:eastAsia="仿宋_GB2312"/>
          <w:sz w:val="32"/>
          <w:szCs w:val="32"/>
        </w:rPr>
        <w:t>。林地面积中森林面积（有林地面积加国家特别规定灌木林地面积）134653.87 hm</w:t>
      </w:r>
      <w:r>
        <w:rPr>
          <w:rFonts w:hint="eastAsia" w:eastAsia="仿宋_GB2312"/>
          <w:sz w:val="32"/>
          <w:szCs w:val="32"/>
          <w:vertAlign w:val="superscript"/>
        </w:rPr>
        <w:t>2</w:t>
      </w:r>
      <w:r>
        <w:rPr>
          <w:rFonts w:hint="eastAsia" w:eastAsia="仿宋_GB2312"/>
          <w:sz w:val="32"/>
          <w:szCs w:val="32"/>
        </w:rPr>
        <w:t>，森林覆盖率</w:t>
      </w:r>
      <w:r>
        <w:rPr>
          <w:rFonts w:hint="eastAsia" w:eastAsia="仿宋_GB2312"/>
          <w:color w:val="FF0000"/>
          <w:sz w:val="32"/>
          <w:szCs w:val="32"/>
        </w:rPr>
        <w:t>70.8%</w:t>
      </w:r>
      <w:r>
        <w:rPr>
          <w:rFonts w:hint="eastAsia" w:eastAsia="仿宋_GB2312"/>
          <w:sz w:val="32"/>
          <w:szCs w:val="32"/>
        </w:rPr>
        <w:t>，林木绿化率70.99%。全市活立木总蓄积量7647805 m</w:t>
      </w:r>
      <w:r>
        <w:rPr>
          <w:rFonts w:hint="eastAsia" w:eastAsia="仿宋_GB2312"/>
          <w:sz w:val="32"/>
          <w:szCs w:val="32"/>
          <w:vertAlign w:val="superscript"/>
        </w:rPr>
        <w:t>3</w:t>
      </w:r>
      <w:r>
        <w:rPr>
          <w:rFonts w:hint="eastAsia" w:eastAsia="仿宋_GB2312"/>
          <w:sz w:val="32"/>
          <w:szCs w:val="32"/>
        </w:rPr>
        <w:t>，其中林分蓄积量（乔木林地）7585263 m</w:t>
      </w:r>
      <w:r>
        <w:rPr>
          <w:rFonts w:hint="eastAsia" w:eastAsia="仿宋_GB2312"/>
          <w:sz w:val="32"/>
          <w:szCs w:val="32"/>
          <w:vertAlign w:val="superscript"/>
        </w:rPr>
        <w:t>3</w:t>
      </w:r>
      <w:r>
        <w:rPr>
          <w:rFonts w:hint="eastAsia" w:eastAsia="仿宋_GB2312"/>
          <w:sz w:val="32"/>
          <w:szCs w:val="32"/>
        </w:rPr>
        <w:t>，占全市活立木总蓄积量的99.18%；四旁蓄积量716 m</w:t>
      </w:r>
      <w:r>
        <w:rPr>
          <w:rFonts w:hint="eastAsia" w:eastAsia="仿宋_GB2312"/>
          <w:sz w:val="32"/>
          <w:szCs w:val="32"/>
          <w:vertAlign w:val="superscript"/>
        </w:rPr>
        <w:t>3</w:t>
      </w:r>
      <w:r>
        <w:rPr>
          <w:rFonts w:hint="eastAsia" w:eastAsia="仿宋_GB2312"/>
          <w:sz w:val="32"/>
          <w:szCs w:val="32"/>
        </w:rPr>
        <w:t>，占全市活立木总蓄积量的 0.01%；散生蓄积量 61826 m</w:t>
      </w:r>
      <w:r>
        <w:rPr>
          <w:rFonts w:hint="eastAsia" w:eastAsia="仿宋_GB2312"/>
          <w:sz w:val="32"/>
          <w:szCs w:val="32"/>
          <w:vertAlign w:val="superscript"/>
        </w:rPr>
        <w:t>3</w:t>
      </w:r>
      <w:r>
        <w:rPr>
          <w:rFonts w:hint="eastAsia" w:eastAsia="仿宋_GB2312"/>
          <w:sz w:val="32"/>
          <w:szCs w:val="32"/>
        </w:rPr>
        <w:t>，占全市活立木总蓄积量的 0.81%（来源2020年森林资源二类调查数据）。</w:t>
      </w:r>
    </w:p>
    <w:p w14:paraId="0022CF29">
      <w:pPr>
        <w:ind w:firstLine="643"/>
        <w:rPr>
          <w:rFonts w:eastAsia="仿宋_GB2312"/>
          <w:b/>
          <w:bCs/>
          <w:sz w:val="32"/>
          <w:szCs w:val="32"/>
        </w:rPr>
      </w:pPr>
      <w:r>
        <w:rPr>
          <w:rFonts w:hint="eastAsia" w:eastAsia="仿宋_GB2312"/>
          <w:b/>
          <w:bCs/>
          <w:sz w:val="32"/>
          <w:szCs w:val="32"/>
        </w:rPr>
        <w:t>（3）</w:t>
      </w:r>
      <w:r>
        <w:rPr>
          <w:rFonts w:eastAsia="仿宋_GB2312"/>
          <w:b/>
          <w:bCs/>
          <w:sz w:val="32"/>
          <w:szCs w:val="32"/>
        </w:rPr>
        <w:t>植物资源</w:t>
      </w:r>
    </w:p>
    <w:p w14:paraId="527206E0">
      <w:pPr>
        <w:ind w:firstLine="640" w:firstLineChars="200"/>
        <w:rPr>
          <w:rFonts w:eastAsia="仿宋_GB2312"/>
          <w:sz w:val="32"/>
          <w:szCs w:val="32"/>
        </w:rPr>
      </w:pPr>
      <w:r>
        <w:rPr>
          <w:rFonts w:hint="eastAsia" w:eastAsia="仿宋_GB2312"/>
          <w:sz w:val="32"/>
          <w:szCs w:val="32"/>
        </w:rPr>
        <w:t>三亚市境内中低山区的植被以热带次生雨林和季雨林为主，平原的植被以农作物为主。</w:t>
      </w:r>
      <w:r>
        <w:rPr>
          <w:rFonts w:eastAsia="仿宋_GB2312"/>
          <w:sz w:val="32"/>
          <w:szCs w:val="32"/>
        </w:rPr>
        <w:t>植物资源相当丰富，据调查，</w:t>
      </w:r>
      <w:r>
        <w:rPr>
          <w:rFonts w:hint="eastAsia" w:eastAsia="仿宋_GB2312"/>
          <w:sz w:val="32"/>
          <w:szCs w:val="32"/>
        </w:rPr>
        <w:t>境内植物种类1838种（含栽培品种），</w:t>
      </w:r>
      <w:r>
        <w:rPr>
          <w:rFonts w:eastAsia="仿宋_GB2312"/>
          <w:sz w:val="32"/>
          <w:szCs w:val="32"/>
        </w:rPr>
        <w:t>有双子叶植物1341种，单子叶植物399种。其中蕨类有22科72种，裸子植物7科26种，被子植物98科1740种；</w:t>
      </w:r>
      <w:r>
        <w:rPr>
          <w:rFonts w:hint="eastAsia" w:eastAsia="仿宋_GB2312"/>
          <w:sz w:val="32"/>
          <w:szCs w:val="32"/>
        </w:rPr>
        <w:t>其中有国家级和省级保护植物62种。</w:t>
      </w:r>
      <w:r>
        <w:rPr>
          <w:rFonts w:eastAsia="仿宋_GB2312"/>
          <w:sz w:val="32"/>
          <w:szCs w:val="32"/>
        </w:rPr>
        <w:t>在被子植物中，</w:t>
      </w:r>
      <w:r>
        <w:rPr>
          <w:rFonts w:hint="eastAsia" w:eastAsia="仿宋_GB2312"/>
          <w:sz w:val="32"/>
          <w:szCs w:val="32"/>
        </w:rPr>
        <w:t>三亚市自然植被类型可分为草地、灌木林、热带次生雨林、热带次生季雨林和红树林，人工植被划分为人工林、农田作物、城市植被，此外还有小岛屿植被、村庄植被等。</w:t>
      </w:r>
    </w:p>
    <w:p w14:paraId="7B7E94F1">
      <w:pPr>
        <w:spacing w:line="360" w:lineRule="auto"/>
        <w:rPr>
          <w:rFonts w:eastAsia="仿宋_GB2312"/>
          <w:b/>
          <w:bCs/>
          <w:sz w:val="32"/>
          <w:szCs w:val="32"/>
        </w:rPr>
      </w:pPr>
      <w:r>
        <w:rPr>
          <w:rFonts w:hint="eastAsia" w:eastAsia="仿宋_GB2312"/>
          <w:b/>
          <w:bCs/>
          <w:sz w:val="32"/>
          <w:szCs w:val="32"/>
        </w:rPr>
        <w:t>（4）</w:t>
      </w:r>
      <w:r>
        <w:rPr>
          <w:rFonts w:eastAsia="仿宋_GB2312"/>
          <w:b/>
          <w:bCs/>
          <w:sz w:val="32"/>
          <w:szCs w:val="32"/>
        </w:rPr>
        <w:t>动物资源</w:t>
      </w:r>
    </w:p>
    <w:p w14:paraId="4224DA69">
      <w:pPr>
        <w:ind w:firstLine="640" w:firstLineChars="200"/>
        <w:rPr>
          <w:rFonts w:eastAsia="仿宋_GB2312"/>
          <w:sz w:val="32"/>
          <w:szCs w:val="32"/>
        </w:rPr>
      </w:pPr>
      <w:r>
        <w:rPr>
          <w:rFonts w:eastAsia="仿宋_GB2312"/>
          <w:sz w:val="32"/>
          <w:szCs w:val="32"/>
        </w:rPr>
        <w:t>初步统计，全市共有脊椎动物24目67科138种；底栖动物3门5纲11科21种，动物资源十分丰富，其中哺乳类6目9科16种、鸟类12目34科65种、爬行类1目7科17种、两栖类1目6科11种、鱼类4目11科29种；底栖动物（无脊椎动物）共3门21种，包括环节动物门6种、软体动物门4种、节肢动物门11种。</w:t>
      </w:r>
    </w:p>
    <w:p w14:paraId="1ADBC789">
      <w:pPr>
        <w:spacing w:line="360" w:lineRule="auto"/>
        <w:rPr>
          <w:rFonts w:eastAsia="仿宋_GB2312"/>
          <w:b/>
          <w:bCs/>
          <w:sz w:val="32"/>
          <w:szCs w:val="32"/>
        </w:rPr>
      </w:pPr>
      <w:r>
        <w:rPr>
          <w:rFonts w:hint="eastAsia" w:eastAsia="仿宋_GB2312"/>
          <w:b/>
          <w:bCs/>
          <w:sz w:val="32"/>
          <w:szCs w:val="32"/>
        </w:rPr>
        <w:t>（5）</w:t>
      </w:r>
      <w:r>
        <w:rPr>
          <w:rFonts w:eastAsia="仿宋_GB2312"/>
          <w:b/>
          <w:bCs/>
          <w:sz w:val="32"/>
          <w:szCs w:val="32"/>
        </w:rPr>
        <w:t>土地利用条件</w:t>
      </w:r>
    </w:p>
    <w:p w14:paraId="7C82A0FE">
      <w:pPr>
        <w:ind w:firstLine="640" w:firstLineChars="200"/>
        <w:rPr>
          <w:rFonts w:hint="eastAsia" w:eastAsia="仿宋_GB2312"/>
          <w:sz w:val="32"/>
          <w:szCs w:val="32"/>
        </w:rPr>
      </w:pPr>
      <w:r>
        <w:rPr>
          <w:rFonts w:eastAsia="仿宋_GB2312"/>
          <w:sz w:val="32"/>
          <w:szCs w:val="32"/>
        </w:rPr>
        <w:t>三亚市国土面积为192139.62</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，其中林地面积占67.45%，园地面积占11.74%；耕地面积占11.74%；城镇村及工矿用地面积占10.11%；水域及水利设施用地占全市面积的4.27%；交通用地占2.56%，其他用地占1.48%。</w:t>
      </w:r>
    </w:p>
    <w:p w14:paraId="3A672264">
      <w:pPr>
        <w:spacing w:line="360" w:lineRule="auto"/>
        <w:ind w:firstLine="643" w:firstLineChars="200"/>
        <w:rPr>
          <w:rFonts w:eastAsia="仿宋_GB2312"/>
          <w:b/>
          <w:bCs/>
          <w:sz w:val="32"/>
          <w:szCs w:val="32"/>
        </w:rPr>
      </w:pPr>
      <w:r>
        <w:rPr>
          <w:rFonts w:hint="eastAsia" w:eastAsia="仿宋_GB2312"/>
          <w:b/>
          <w:bCs/>
          <w:sz w:val="32"/>
          <w:szCs w:val="32"/>
        </w:rPr>
        <w:t>（5）</w:t>
      </w:r>
      <w:r>
        <w:rPr>
          <w:rFonts w:eastAsia="仿宋_GB2312"/>
          <w:b/>
          <w:bCs/>
          <w:sz w:val="32"/>
          <w:szCs w:val="32"/>
        </w:rPr>
        <w:t>旅游资源</w:t>
      </w:r>
    </w:p>
    <w:p w14:paraId="219F2262">
      <w:pPr>
        <w:ind w:firstLine="640" w:firstLineChars="200"/>
        <w:rPr>
          <w:rFonts w:eastAsia="仿宋_GB2312"/>
          <w:sz w:val="32"/>
          <w:szCs w:val="32"/>
        </w:rPr>
      </w:pPr>
      <w:r>
        <w:rPr>
          <w:rFonts w:eastAsia="仿宋_GB2312"/>
          <w:sz w:val="32"/>
          <w:szCs w:val="32"/>
        </w:rPr>
        <w:t>三亚市风景优美，旅游资源丰富，是海南省风景名胜最多而又最密集的地方，不仅具备现代国际旅游五大要素——阳光、海水、沙滩、绿色植被、洁净空气，而且还拥有河流、港口、温泉、岩洞、田园、热带动植物、民族风情等各具特色的旅游资源，在国内外堪称一绝。三亚旅游资源包括碧海沙滩、热带雨林、民族风情、古城记忆、养生温泉、热带田园、国际赛事、水果王国、红色文化。</w:t>
      </w:r>
    </w:p>
    <w:p w14:paraId="70F6CB16">
      <w:pPr>
        <w:spacing w:line="360" w:lineRule="auto"/>
        <w:rPr>
          <w:rFonts w:eastAsia="黑体"/>
          <w:b/>
          <w:kern w:val="44"/>
          <w:sz w:val="32"/>
          <w:szCs w:val="48"/>
        </w:rPr>
      </w:pPr>
      <w:r>
        <w:rPr>
          <w:rFonts w:eastAsia="黑体"/>
          <w:b/>
          <w:kern w:val="44"/>
          <w:sz w:val="32"/>
          <w:szCs w:val="48"/>
        </w:rPr>
        <w:t>3.1.</w:t>
      </w:r>
      <w:r>
        <w:rPr>
          <w:rFonts w:hint="eastAsia" w:eastAsia="黑体"/>
          <w:b/>
          <w:kern w:val="44"/>
          <w:sz w:val="32"/>
          <w:szCs w:val="48"/>
        </w:rPr>
        <w:t>3</w:t>
      </w:r>
      <w:r>
        <w:rPr>
          <w:rFonts w:eastAsia="黑体"/>
          <w:b/>
          <w:kern w:val="44"/>
          <w:sz w:val="32"/>
          <w:szCs w:val="48"/>
        </w:rPr>
        <w:t xml:space="preserve"> 社会经济概况</w:t>
      </w:r>
    </w:p>
    <w:p w14:paraId="46DA01C1">
      <w:pPr>
        <w:spacing w:line="360" w:lineRule="auto"/>
        <w:ind w:firstLine="643" w:firstLineChars="200"/>
        <w:rPr>
          <w:rFonts w:eastAsia="仿宋_GB2312"/>
          <w:sz w:val="32"/>
          <w:szCs w:val="32"/>
        </w:rPr>
      </w:pPr>
      <w:r>
        <w:rPr>
          <w:rFonts w:eastAsia="仿宋_GB2312"/>
          <w:b/>
          <w:bCs/>
          <w:sz w:val="32"/>
          <w:szCs w:val="32"/>
        </w:rPr>
        <w:t>（1）行政区划及人口</w:t>
      </w:r>
    </w:p>
    <w:p w14:paraId="34821F35">
      <w:pPr>
        <w:ind w:firstLine="640" w:firstLineChars="200"/>
        <w:rPr>
          <w:rFonts w:eastAsia="仿宋_GB2312"/>
          <w:sz w:val="32"/>
          <w:szCs w:val="32"/>
        </w:rPr>
      </w:pPr>
      <w:r>
        <w:rPr>
          <w:rFonts w:eastAsia="仿宋_GB2312"/>
          <w:sz w:val="32"/>
          <w:szCs w:val="32"/>
        </w:rPr>
        <w:t>三亚市设4个行政区一个管委会（天涯区、吉阳区、崖州区、海棠区、育才生态区管委会），共有居委会57个，村委会92个，自然村491个。202</w:t>
      </w:r>
      <w:r>
        <w:rPr>
          <w:rFonts w:hint="eastAsia" w:eastAsia="仿宋_GB2312"/>
          <w:sz w:val="32"/>
          <w:szCs w:val="32"/>
        </w:rPr>
        <w:t>1</w:t>
      </w:r>
      <w:r>
        <w:rPr>
          <w:rFonts w:eastAsia="仿宋_GB2312"/>
          <w:sz w:val="32"/>
          <w:szCs w:val="32"/>
        </w:rPr>
        <w:t>年</w:t>
      </w:r>
      <w:r>
        <w:rPr>
          <w:rFonts w:hint="eastAsia" w:eastAsia="仿宋_GB2312"/>
          <w:sz w:val="32"/>
          <w:szCs w:val="32"/>
        </w:rPr>
        <w:t>5月，《三亚市第七次全国人口普查公报》显示</w:t>
      </w:r>
      <w:r>
        <w:rPr>
          <w:rFonts w:eastAsia="仿宋_GB2312"/>
          <w:sz w:val="32"/>
          <w:szCs w:val="32"/>
        </w:rPr>
        <w:t>全市常住人口</w:t>
      </w:r>
      <w:r>
        <w:rPr>
          <w:rFonts w:hint="eastAsia" w:eastAsia="仿宋_GB2312"/>
          <w:sz w:val="32"/>
          <w:szCs w:val="32"/>
        </w:rPr>
        <w:t>103.14</w:t>
      </w:r>
      <w:r>
        <w:rPr>
          <w:rFonts w:eastAsia="仿宋_GB2312"/>
          <w:sz w:val="32"/>
          <w:szCs w:val="32"/>
        </w:rPr>
        <w:t>万人，</w:t>
      </w:r>
      <w:r>
        <w:rPr>
          <w:rFonts w:hint="eastAsia" w:eastAsia="仿宋_GB2312"/>
          <w:sz w:val="32"/>
          <w:szCs w:val="32"/>
        </w:rPr>
        <w:t>居住在城镇的人口为72.48万人，</w:t>
      </w:r>
      <w:r>
        <w:rPr>
          <w:rFonts w:eastAsia="仿宋_GB2312"/>
          <w:sz w:val="32"/>
          <w:szCs w:val="32"/>
        </w:rPr>
        <w:t>占</w:t>
      </w:r>
      <w:r>
        <w:rPr>
          <w:rFonts w:hint="eastAsia" w:eastAsia="仿宋_GB2312"/>
          <w:sz w:val="32"/>
          <w:szCs w:val="32"/>
        </w:rPr>
        <w:t>70.28</w:t>
      </w:r>
      <w:r>
        <w:rPr>
          <w:rFonts w:eastAsia="仿宋_GB2312"/>
          <w:sz w:val="32"/>
          <w:szCs w:val="32"/>
        </w:rPr>
        <w:t>%，</w:t>
      </w:r>
      <w:r>
        <w:rPr>
          <w:rFonts w:hint="eastAsia" w:eastAsia="仿宋_GB2312"/>
          <w:sz w:val="32"/>
          <w:szCs w:val="32"/>
        </w:rPr>
        <w:t>居住在乡村的人口为30.</w:t>
      </w:r>
      <w:r>
        <w:rPr>
          <w:rFonts w:eastAsia="仿宋_GB2312"/>
          <w:sz w:val="32"/>
          <w:szCs w:val="32"/>
        </w:rPr>
        <w:t>65</w:t>
      </w:r>
      <w:r>
        <w:rPr>
          <w:rFonts w:hint="eastAsia" w:eastAsia="仿宋_GB2312"/>
          <w:sz w:val="32"/>
          <w:szCs w:val="32"/>
        </w:rPr>
        <w:t>万人，占29.72%</w:t>
      </w:r>
      <w:r>
        <w:rPr>
          <w:rFonts w:eastAsia="仿宋_GB2312"/>
          <w:sz w:val="32"/>
          <w:szCs w:val="32"/>
        </w:rPr>
        <w:t>，聚集了汉族、黎族、苗族、回族、壮族等20多个民族。按区域分，海棠区</w:t>
      </w:r>
      <w:r>
        <w:rPr>
          <w:rFonts w:hint="eastAsia" w:eastAsia="仿宋_GB2312"/>
          <w:sz w:val="32"/>
          <w:szCs w:val="32"/>
        </w:rPr>
        <w:t>11.35</w:t>
      </w:r>
      <w:r>
        <w:rPr>
          <w:rFonts w:eastAsia="仿宋_GB2312"/>
          <w:sz w:val="32"/>
          <w:szCs w:val="32"/>
        </w:rPr>
        <w:t>万人，吉阳区</w:t>
      </w:r>
      <w:r>
        <w:rPr>
          <w:rFonts w:hint="eastAsia" w:eastAsia="仿宋_GB2312"/>
          <w:sz w:val="32"/>
          <w:szCs w:val="32"/>
        </w:rPr>
        <w:t>44.73</w:t>
      </w:r>
      <w:r>
        <w:rPr>
          <w:rFonts w:eastAsia="仿宋_GB2312"/>
          <w:sz w:val="32"/>
          <w:szCs w:val="32"/>
        </w:rPr>
        <w:t>万人，天涯区</w:t>
      </w:r>
      <w:r>
        <w:rPr>
          <w:rFonts w:hint="eastAsia" w:eastAsia="仿宋_GB2312"/>
          <w:sz w:val="32"/>
          <w:szCs w:val="32"/>
        </w:rPr>
        <w:t>35.37</w:t>
      </w:r>
      <w:r>
        <w:rPr>
          <w:rFonts w:eastAsia="仿宋_GB2312"/>
          <w:sz w:val="32"/>
          <w:szCs w:val="32"/>
        </w:rPr>
        <w:t>万人，崖州区</w:t>
      </w:r>
      <w:r>
        <w:rPr>
          <w:rFonts w:hint="eastAsia" w:eastAsia="仿宋_GB2312"/>
          <w:sz w:val="32"/>
          <w:szCs w:val="32"/>
        </w:rPr>
        <w:t>11.69</w:t>
      </w:r>
      <w:r>
        <w:rPr>
          <w:rFonts w:eastAsia="仿宋_GB2312"/>
          <w:sz w:val="32"/>
          <w:szCs w:val="32"/>
        </w:rPr>
        <w:t>万人。</w:t>
      </w:r>
    </w:p>
    <w:p w14:paraId="7EF402C6">
      <w:pPr>
        <w:spacing w:line="360" w:lineRule="auto"/>
        <w:ind w:firstLine="643" w:firstLineChars="200"/>
        <w:rPr>
          <w:rFonts w:eastAsia="仿宋_GB2312"/>
          <w:b/>
          <w:bCs/>
          <w:sz w:val="32"/>
          <w:szCs w:val="32"/>
        </w:rPr>
      </w:pPr>
      <w:r>
        <w:rPr>
          <w:rFonts w:eastAsia="仿宋_GB2312"/>
          <w:b/>
          <w:bCs/>
          <w:sz w:val="32"/>
          <w:szCs w:val="32"/>
        </w:rPr>
        <w:t>（2）社会经济</w:t>
      </w:r>
    </w:p>
    <w:p w14:paraId="721B73EB">
      <w:pPr>
        <w:ind w:firstLine="640" w:firstLineChars="200"/>
        <w:rPr>
          <w:rFonts w:eastAsia="仿宋_GB2312"/>
          <w:sz w:val="32"/>
          <w:szCs w:val="32"/>
        </w:rPr>
      </w:pPr>
      <w:r>
        <w:rPr>
          <w:rFonts w:eastAsia="仿宋_GB2312"/>
          <w:sz w:val="32"/>
          <w:szCs w:val="32"/>
        </w:rPr>
        <w:t>根据2020年三亚市国民经济和社会发展统计公报</w:t>
      </w:r>
      <w:r>
        <w:rPr>
          <w:rFonts w:hint="eastAsia" w:eastAsia="仿宋_GB2312"/>
          <w:sz w:val="32"/>
          <w:szCs w:val="32"/>
        </w:rPr>
        <w:t>，</w:t>
      </w:r>
      <w:r>
        <w:rPr>
          <w:rFonts w:eastAsia="仿宋_GB2312"/>
          <w:sz w:val="32"/>
          <w:szCs w:val="32"/>
        </w:rPr>
        <w:t>三亚市年生产总值（GDP）6954100万元，按可比价格计算，同比增加3.1%。按产业分</w:t>
      </w:r>
      <w:r>
        <w:rPr>
          <w:rFonts w:hint="eastAsia" w:eastAsia="仿宋_GB2312"/>
          <w:sz w:val="32"/>
          <w:szCs w:val="32"/>
        </w:rPr>
        <w:t>，</w:t>
      </w:r>
      <w:r>
        <w:rPr>
          <w:rFonts w:eastAsia="仿宋_GB2312"/>
          <w:sz w:val="32"/>
          <w:szCs w:val="32"/>
        </w:rPr>
        <w:t>第一产业增加值79.16亿元</w:t>
      </w:r>
      <w:r>
        <w:rPr>
          <w:rFonts w:hint="eastAsia" w:eastAsia="仿宋_GB2312"/>
          <w:sz w:val="32"/>
          <w:szCs w:val="32"/>
        </w:rPr>
        <w:t>，</w:t>
      </w:r>
      <w:r>
        <w:rPr>
          <w:rFonts w:eastAsia="仿宋_GB2312"/>
          <w:sz w:val="32"/>
          <w:szCs w:val="32"/>
        </w:rPr>
        <w:t>增加2.2%；第二产业增加值113.3</w:t>
      </w:r>
      <w:r>
        <w:rPr>
          <w:rFonts w:hint="eastAsia" w:eastAsia="仿宋_GB2312"/>
          <w:sz w:val="32"/>
          <w:szCs w:val="32"/>
        </w:rPr>
        <w:t>0</w:t>
      </w:r>
      <w:r>
        <w:rPr>
          <w:rFonts w:eastAsia="仿宋_GB2312"/>
          <w:sz w:val="32"/>
          <w:szCs w:val="32"/>
        </w:rPr>
        <w:t>亿元，增加3.0%；第三产业增加值502</w:t>
      </w:r>
      <w:r>
        <w:rPr>
          <w:rFonts w:hint="eastAsia" w:eastAsia="仿宋_GB2312"/>
          <w:sz w:val="32"/>
          <w:szCs w:val="32"/>
        </w:rPr>
        <w:t>.</w:t>
      </w:r>
      <w:r>
        <w:rPr>
          <w:rFonts w:eastAsia="仿宋_GB2312"/>
          <w:sz w:val="32"/>
          <w:szCs w:val="32"/>
        </w:rPr>
        <w:t>95</w:t>
      </w:r>
      <w:r>
        <w:rPr>
          <w:rFonts w:hint="eastAsia" w:eastAsia="仿宋_GB2312"/>
          <w:sz w:val="32"/>
          <w:szCs w:val="32"/>
        </w:rPr>
        <w:t>亿</w:t>
      </w:r>
      <w:r>
        <w:rPr>
          <w:rFonts w:eastAsia="仿宋_GB2312"/>
          <w:sz w:val="32"/>
          <w:szCs w:val="32"/>
        </w:rPr>
        <w:t>元，同比增加3.2%。</w:t>
      </w:r>
    </w:p>
    <w:p w14:paraId="223AE04E">
      <w:pPr>
        <w:ind w:firstLine="640" w:firstLineChars="200"/>
        <w:rPr>
          <w:rFonts w:eastAsia="仿宋_GB2312"/>
          <w:sz w:val="32"/>
          <w:szCs w:val="32"/>
        </w:rPr>
      </w:pPr>
      <w:r>
        <w:rPr>
          <w:rFonts w:eastAsia="仿宋_GB2312"/>
          <w:sz w:val="32"/>
          <w:szCs w:val="32"/>
        </w:rPr>
        <w:t>2020年，全市民居民收入可支配收入34642元，比上年增长4.6%。按常住地分</w:t>
      </w:r>
      <w:r>
        <w:rPr>
          <w:rFonts w:hint="eastAsia" w:eastAsia="仿宋_GB2312"/>
          <w:sz w:val="32"/>
          <w:szCs w:val="32"/>
        </w:rPr>
        <w:t>，</w:t>
      </w:r>
      <w:r>
        <w:rPr>
          <w:rFonts w:eastAsia="仿宋_GB2312"/>
          <w:sz w:val="32"/>
          <w:szCs w:val="32"/>
        </w:rPr>
        <w:t>城镇常住居民人均可支配收入40547元</w:t>
      </w:r>
      <w:r>
        <w:rPr>
          <w:rFonts w:hint="eastAsia" w:eastAsia="仿宋_GB2312"/>
          <w:sz w:val="32"/>
          <w:szCs w:val="32"/>
        </w:rPr>
        <w:t>，</w:t>
      </w:r>
      <w:r>
        <w:rPr>
          <w:rFonts w:eastAsia="仿宋_GB2312"/>
          <w:sz w:val="32"/>
          <w:szCs w:val="32"/>
        </w:rPr>
        <w:t>同比名义增长3.2%</w:t>
      </w:r>
      <w:r>
        <w:rPr>
          <w:rFonts w:hint="eastAsia" w:eastAsia="仿宋_GB2312"/>
          <w:sz w:val="32"/>
          <w:szCs w:val="32"/>
        </w:rPr>
        <w:t>；</w:t>
      </w:r>
      <w:r>
        <w:rPr>
          <w:rFonts w:eastAsia="仿宋_GB2312"/>
          <w:sz w:val="32"/>
          <w:szCs w:val="32"/>
        </w:rPr>
        <w:t>农村常住居民人均可支配收入18389元</w:t>
      </w:r>
      <w:r>
        <w:rPr>
          <w:rFonts w:hint="eastAsia" w:eastAsia="仿宋_GB2312"/>
          <w:sz w:val="32"/>
          <w:szCs w:val="32"/>
        </w:rPr>
        <w:t>，</w:t>
      </w:r>
      <w:r>
        <w:rPr>
          <w:rFonts w:eastAsia="仿宋_GB2312"/>
          <w:sz w:val="32"/>
          <w:szCs w:val="32"/>
        </w:rPr>
        <w:t>同比名义增长8.0%。</w:t>
      </w:r>
    </w:p>
    <w:p w14:paraId="47BBD366">
      <w:pPr>
        <w:spacing w:line="360" w:lineRule="auto"/>
        <w:ind w:firstLine="643" w:firstLineChars="200"/>
        <w:rPr>
          <w:rFonts w:eastAsia="仿宋_GB2312"/>
          <w:b/>
          <w:bCs/>
          <w:sz w:val="32"/>
          <w:szCs w:val="32"/>
        </w:rPr>
      </w:pPr>
      <w:r>
        <w:rPr>
          <w:rFonts w:eastAsia="仿宋_GB2312"/>
          <w:b/>
          <w:bCs/>
          <w:sz w:val="32"/>
          <w:szCs w:val="32"/>
        </w:rPr>
        <w:t>（3）交通运输</w:t>
      </w:r>
    </w:p>
    <w:p w14:paraId="0BA9B957">
      <w:pPr>
        <w:ind w:firstLine="640" w:firstLineChars="200"/>
        <w:rPr>
          <w:rFonts w:eastAsia="仿宋_GB2312"/>
          <w:sz w:val="32"/>
          <w:szCs w:val="32"/>
        </w:rPr>
      </w:pPr>
      <w:r>
        <w:rPr>
          <w:rFonts w:eastAsia="仿宋_GB2312"/>
          <w:sz w:val="32"/>
          <w:szCs w:val="32"/>
        </w:rPr>
        <w:t>三亚不仅拥有主要航线210条，其中国际航线50条，而且是海南公路网的南部中心，是海南东西线高速公路在南部的交汇点，</w:t>
      </w:r>
      <w:r>
        <w:rPr>
          <w:rFonts w:hint="eastAsia" w:eastAsia="仿宋_GB2312"/>
          <w:sz w:val="32"/>
          <w:szCs w:val="32"/>
        </w:rPr>
        <w:t>高速公路有环岛高速公路以及同三高速公路等。三亚是海滨城市，当地人自古靠渔业和航运为生，港口自然是三亚的一大窗口，榆林港到三亚港都见证着三亚的航运发展。铁路有东环铁路和西环铁路。三亚还将</w:t>
      </w:r>
      <w:r>
        <w:rPr>
          <w:rFonts w:eastAsia="仿宋_GB2312"/>
          <w:sz w:val="32"/>
          <w:szCs w:val="32"/>
        </w:rPr>
        <w:t>继续谋划推进环岛旅游公路、环热带雨林国家公园旅游公路，进一步完善公路、铁路、港口、机场等交通基础设施，改善城市与周边地区交通运输条件，加强城市内外交通衔接，加强大三亚等重点发展区域间的互联互通，为三亚市的经济建设带来便利。</w:t>
      </w:r>
    </w:p>
    <w:p w14:paraId="0937E473">
      <w:pPr>
        <w:spacing w:line="360" w:lineRule="auto"/>
        <w:ind w:firstLine="643" w:firstLineChars="200"/>
        <w:rPr>
          <w:rFonts w:eastAsia="仿宋_GB2312"/>
          <w:b/>
          <w:bCs/>
          <w:sz w:val="32"/>
          <w:szCs w:val="32"/>
        </w:rPr>
      </w:pPr>
      <w:r>
        <w:rPr>
          <w:rFonts w:eastAsia="仿宋_GB2312"/>
          <w:b/>
          <w:bCs/>
          <w:sz w:val="32"/>
          <w:szCs w:val="32"/>
        </w:rPr>
        <w:t>（4）文化旅游</w:t>
      </w:r>
      <w:r>
        <w:rPr>
          <w:rFonts w:hint="eastAsia" w:eastAsia="仿宋_GB2312"/>
          <w:b/>
          <w:bCs/>
          <w:sz w:val="32"/>
          <w:szCs w:val="32"/>
        </w:rPr>
        <w:t>经济</w:t>
      </w:r>
    </w:p>
    <w:p w14:paraId="4043B8D7">
      <w:pPr>
        <w:autoSpaceDE w:val="0"/>
        <w:autoSpaceDN w:val="0"/>
        <w:adjustRightInd w:val="0"/>
        <w:ind w:firstLine="640" w:firstLineChars="200"/>
        <w:jc w:val="left"/>
        <w:rPr>
          <w:rFonts w:eastAsia="黑体"/>
          <w:b/>
          <w:kern w:val="44"/>
          <w:sz w:val="32"/>
          <w:szCs w:val="48"/>
        </w:rPr>
      </w:pPr>
      <w:r>
        <w:rPr>
          <w:rFonts w:eastAsia="仿宋_GB2312"/>
          <w:sz w:val="32"/>
          <w:szCs w:val="32"/>
        </w:rPr>
        <w:t>2020年三亚市国民经济和社会发展统计公报， 2020年三亚市接待旅游1714.4万人次，全年旅游总收入4247400万元，比2019年下降26.9%，其中国际旅游者15.41万人次；国内游客1699万人次，国内旅游收入4177300万元，旅游外汇收入10158万美元。</w:t>
      </w:r>
    </w:p>
    <w:p w14:paraId="0116D844">
      <w:pPr>
        <w:pStyle w:val="3"/>
        <w:spacing w:before="0" w:after="0" w:line="240" w:lineRule="auto"/>
        <w:rPr>
          <w:rFonts w:ascii="Times New Roman" w:hAnsi="Times New Roman" w:eastAsia="黑体"/>
        </w:rPr>
      </w:pPr>
      <w:bookmarkStart w:id="43" w:name="_Toc82546066"/>
      <w:r>
        <w:rPr>
          <w:rFonts w:ascii="Times New Roman" w:hAnsi="Times New Roman" w:eastAsia="黑体"/>
        </w:rPr>
        <w:t>3.2</w:t>
      </w:r>
      <w:bookmarkEnd w:id="43"/>
      <w:r>
        <w:rPr>
          <w:rFonts w:ascii="Times New Roman" w:hAnsi="Times New Roman" w:eastAsia="黑体"/>
        </w:rPr>
        <w:t xml:space="preserve"> </w:t>
      </w:r>
      <w:bookmarkStart w:id="44" w:name="_Toc82546067"/>
      <w:r>
        <w:rPr>
          <w:rFonts w:ascii="Times New Roman" w:hAnsi="Times New Roman" w:eastAsia="黑体"/>
        </w:rPr>
        <w:t>林业产业现状</w:t>
      </w:r>
      <w:bookmarkEnd w:id="44"/>
    </w:p>
    <w:p w14:paraId="6473591B">
      <w:pPr>
        <w:rPr>
          <w:rFonts w:eastAsia="仿宋_GB2312"/>
          <w:b/>
          <w:bCs/>
          <w:sz w:val="32"/>
          <w:szCs w:val="32"/>
        </w:rPr>
      </w:pPr>
      <w:r>
        <w:rPr>
          <w:rFonts w:eastAsia="仿宋_GB2312"/>
          <w:b/>
          <w:bCs/>
          <w:sz w:val="32"/>
          <w:szCs w:val="32"/>
        </w:rPr>
        <w:t>3.</w:t>
      </w:r>
      <w:r>
        <w:rPr>
          <w:rFonts w:hint="eastAsia" w:eastAsia="仿宋_GB2312"/>
          <w:b/>
          <w:bCs/>
          <w:sz w:val="32"/>
          <w:szCs w:val="32"/>
        </w:rPr>
        <w:t>2</w:t>
      </w:r>
      <w:r>
        <w:rPr>
          <w:rFonts w:eastAsia="仿宋_GB2312"/>
          <w:b/>
          <w:bCs/>
          <w:sz w:val="32"/>
          <w:szCs w:val="32"/>
        </w:rPr>
        <w:t>.1 林业产值</w:t>
      </w:r>
    </w:p>
    <w:p w14:paraId="382E47B0">
      <w:pPr>
        <w:ind w:firstLine="640" w:firstLineChars="200"/>
        <w:rPr>
          <w:rFonts w:hint="eastAsia" w:eastAsia="仿宋_GB2312"/>
          <w:sz w:val="32"/>
          <w:szCs w:val="32"/>
        </w:rPr>
      </w:pPr>
      <w:r>
        <w:rPr>
          <w:rFonts w:hint="eastAsia" w:eastAsia="仿宋_GB2312"/>
          <w:sz w:val="32"/>
          <w:szCs w:val="32"/>
        </w:rPr>
        <w:t>2003年6月25日中共中央国务院《关于加快林业发展的决定》指出，“森林是陆地系统的主体，林业是一项重要的公益事业和基础产业，承担着生态建设和林产品共计的重要任务。”</w:t>
      </w:r>
      <w:r>
        <w:rPr>
          <w:rFonts w:eastAsia="仿宋_GB2312"/>
          <w:sz w:val="32"/>
          <w:szCs w:val="32"/>
        </w:rPr>
        <w:t>2020年三亚市国民经济和社会发展统计公报，林业总产值35300万元，其中第一产业20526万元</w:t>
      </w:r>
      <w:r>
        <w:rPr>
          <w:rFonts w:hint="eastAsia" w:eastAsia="仿宋_GB2312"/>
          <w:sz w:val="32"/>
          <w:szCs w:val="32"/>
        </w:rPr>
        <w:t>、</w:t>
      </w:r>
      <w:r>
        <w:rPr>
          <w:rFonts w:eastAsia="仿宋_GB2312"/>
          <w:sz w:val="32"/>
          <w:szCs w:val="32"/>
        </w:rPr>
        <w:t>占比59%，第二产业</w:t>
      </w:r>
      <w:r>
        <w:rPr>
          <w:rFonts w:hint="eastAsia" w:eastAsia="仿宋_GB2312"/>
          <w:sz w:val="32"/>
          <w:szCs w:val="32"/>
        </w:rPr>
        <w:t>和</w:t>
      </w:r>
      <w:r>
        <w:rPr>
          <w:rFonts w:eastAsia="仿宋_GB2312"/>
          <w:sz w:val="32"/>
          <w:szCs w:val="32"/>
        </w:rPr>
        <w:t>第三产业14774万元</w:t>
      </w:r>
      <w:r>
        <w:rPr>
          <w:rFonts w:hint="eastAsia" w:eastAsia="仿宋_GB2312"/>
          <w:sz w:val="32"/>
          <w:szCs w:val="32"/>
        </w:rPr>
        <w:t>、</w:t>
      </w:r>
      <w:r>
        <w:rPr>
          <w:rFonts w:eastAsia="仿宋_GB2312"/>
          <w:sz w:val="32"/>
          <w:szCs w:val="32"/>
        </w:rPr>
        <w:t>占比41%。</w:t>
      </w:r>
      <w:r>
        <w:rPr>
          <w:rFonts w:hint="eastAsia" w:eastAsia="仿宋_GB2312"/>
          <w:sz w:val="32"/>
          <w:szCs w:val="32"/>
        </w:rPr>
        <w:t xml:space="preserve">说明林业产业是一个独具特色的产业体系，涉及国民经济第一、二、三产业的多个门类，涵盖范围广，产业链长、产品种类多的复合产业集群。 </w:t>
      </w:r>
    </w:p>
    <w:p w14:paraId="6280F8F0">
      <w:pPr>
        <w:ind w:firstLine="640" w:firstLineChars="200"/>
        <w:rPr>
          <w:rFonts w:eastAsia="仿宋_GB2312"/>
          <w:sz w:val="32"/>
          <w:szCs w:val="32"/>
        </w:rPr>
      </w:pPr>
      <w:r>
        <w:rPr>
          <w:rFonts w:hint="eastAsia" w:eastAsia="仿宋_GB2312"/>
          <w:sz w:val="32"/>
          <w:szCs w:val="32"/>
        </w:rPr>
        <w:t>经实地</w:t>
      </w:r>
      <w:r>
        <w:rPr>
          <w:rFonts w:eastAsia="仿宋_GB2312"/>
          <w:sz w:val="32"/>
          <w:szCs w:val="32"/>
        </w:rPr>
        <w:t>调查核算，</w:t>
      </w:r>
      <w:r>
        <w:rPr>
          <w:rFonts w:hint="eastAsia" w:eastAsia="仿宋_GB2312"/>
          <w:sz w:val="32"/>
          <w:szCs w:val="32"/>
        </w:rPr>
        <w:t>三亚市</w:t>
      </w:r>
      <w:r>
        <w:rPr>
          <w:rFonts w:eastAsia="仿宋_GB2312"/>
          <w:sz w:val="32"/>
          <w:szCs w:val="32"/>
        </w:rPr>
        <w:t>林业产业总产值约</w:t>
      </w:r>
      <w:r>
        <w:rPr>
          <w:rFonts w:hint="eastAsia" w:eastAsia="仿宋_GB2312"/>
          <w:sz w:val="32"/>
          <w:szCs w:val="32"/>
        </w:rPr>
        <w:t>481492</w:t>
      </w:r>
      <w:r>
        <w:rPr>
          <w:rFonts w:eastAsia="仿宋_GB2312"/>
          <w:sz w:val="32"/>
          <w:szCs w:val="32"/>
        </w:rPr>
        <w:t>万元，其中第一产业</w:t>
      </w:r>
      <w:r>
        <w:rPr>
          <w:rFonts w:hint="eastAsia" w:eastAsia="仿宋_GB2312"/>
          <w:sz w:val="32"/>
          <w:szCs w:val="32"/>
        </w:rPr>
        <w:t>425380</w:t>
      </w:r>
      <w:r>
        <w:rPr>
          <w:rFonts w:eastAsia="仿宋_GB2312"/>
          <w:sz w:val="32"/>
          <w:szCs w:val="32"/>
        </w:rPr>
        <w:t>万元</w:t>
      </w:r>
      <w:r>
        <w:rPr>
          <w:rFonts w:hint="eastAsia" w:eastAsia="仿宋_GB2312"/>
          <w:sz w:val="32"/>
          <w:szCs w:val="32"/>
        </w:rPr>
        <w:t>、</w:t>
      </w:r>
      <w:r>
        <w:rPr>
          <w:rFonts w:eastAsia="仿宋_GB2312"/>
          <w:sz w:val="32"/>
          <w:szCs w:val="32"/>
        </w:rPr>
        <w:t>占比</w:t>
      </w:r>
      <w:r>
        <w:rPr>
          <w:rFonts w:hint="eastAsia" w:eastAsia="仿宋_GB2312"/>
          <w:sz w:val="32"/>
          <w:szCs w:val="32"/>
        </w:rPr>
        <w:t>88.34</w:t>
      </w:r>
      <w:r>
        <w:rPr>
          <w:rFonts w:eastAsia="仿宋_GB2312"/>
          <w:sz w:val="32"/>
          <w:szCs w:val="32"/>
        </w:rPr>
        <w:t>%，第二产业12400万元</w:t>
      </w:r>
      <w:r>
        <w:rPr>
          <w:rFonts w:hint="eastAsia" w:eastAsia="仿宋_GB2312"/>
          <w:sz w:val="32"/>
          <w:szCs w:val="32"/>
        </w:rPr>
        <w:t>、</w:t>
      </w:r>
      <w:r>
        <w:rPr>
          <w:rFonts w:eastAsia="仿宋_GB2312"/>
          <w:sz w:val="32"/>
          <w:szCs w:val="32"/>
        </w:rPr>
        <w:t>占比2.</w:t>
      </w:r>
      <w:r>
        <w:rPr>
          <w:rFonts w:hint="eastAsia" w:eastAsia="仿宋_GB2312"/>
          <w:sz w:val="32"/>
          <w:szCs w:val="32"/>
        </w:rPr>
        <w:t>58</w:t>
      </w:r>
      <w:r>
        <w:rPr>
          <w:rFonts w:eastAsia="仿宋_GB2312"/>
          <w:sz w:val="32"/>
          <w:szCs w:val="32"/>
        </w:rPr>
        <w:t>%，第三产业</w:t>
      </w:r>
      <w:r>
        <w:rPr>
          <w:rFonts w:hint="eastAsia" w:eastAsia="仿宋_GB2312"/>
          <w:sz w:val="32"/>
          <w:szCs w:val="32"/>
        </w:rPr>
        <w:t>43712</w:t>
      </w:r>
      <w:r>
        <w:rPr>
          <w:rFonts w:eastAsia="仿宋_GB2312"/>
          <w:sz w:val="32"/>
          <w:szCs w:val="32"/>
        </w:rPr>
        <w:t>万元</w:t>
      </w:r>
      <w:r>
        <w:rPr>
          <w:rFonts w:hint="eastAsia" w:eastAsia="仿宋_GB2312"/>
          <w:sz w:val="32"/>
          <w:szCs w:val="32"/>
        </w:rPr>
        <w:t>、</w:t>
      </w:r>
      <w:r>
        <w:rPr>
          <w:rFonts w:eastAsia="仿宋_GB2312"/>
          <w:sz w:val="32"/>
          <w:szCs w:val="32"/>
        </w:rPr>
        <w:t>占比</w:t>
      </w:r>
      <w:r>
        <w:rPr>
          <w:rFonts w:hint="eastAsia" w:eastAsia="仿宋_GB2312"/>
          <w:sz w:val="32"/>
          <w:szCs w:val="32"/>
        </w:rPr>
        <w:t>9.08</w:t>
      </w:r>
      <w:r>
        <w:rPr>
          <w:rFonts w:eastAsia="仿宋_GB2312"/>
          <w:sz w:val="32"/>
          <w:szCs w:val="32"/>
        </w:rPr>
        <w:t>%。2020年林业产业三大产业结构比为</w:t>
      </w:r>
      <w:r>
        <w:rPr>
          <w:rFonts w:hint="eastAsia" w:eastAsia="仿宋_GB2312"/>
          <w:sz w:val="32"/>
          <w:szCs w:val="32"/>
        </w:rPr>
        <w:t>88:3:9</w:t>
      </w:r>
      <w:r>
        <w:rPr>
          <w:rFonts w:eastAsia="仿宋_GB2312"/>
          <w:sz w:val="32"/>
          <w:szCs w:val="32"/>
        </w:rPr>
        <w:t>，作为基础产业的第一产业比重偏大，第二产业和第三产业比重偏低，林业产业结构明显不合理，阻碍了林业产业的快速</w:t>
      </w:r>
      <w:r>
        <w:rPr>
          <w:rFonts w:hint="eastAsia" w:eastAsia="仿宋_GB2312"/>
          <w:sz w:val="32"/>
          <w:szCs w:val="32"/>
        </w:rPr>
        <w:t>与</w:t>
      </w:r>
      <w:r>
        <w:rPr>
          <w:rFonts w:eastAsia="仿宋_GB2312"/>
          <w:sz w:val="32"/>
          <w:szCs w:val="32"/>
        </w:rPr>
        <w:t>高效发展。</w:t>
      </w:r>
    </w:p>
    <w:p w14:paraId="08DAEC67">
      <w:pPr>
        <w:rPr>
          <w:rFonts w:eastAsia="仿宋_GB2312"/>
          <w:b/>
          <w:bCs/>
          <w:sz w:val="32"/>
          <w:szCs w:val="32"/>
        </w:rPr>
      </w:pPr>
      <w:r>
        <w:rPr>
          <w:rFonts w:eastAsia="仿宋_GB2312"/>
          <w:b/>
          <w:bCs/>
          <w:sz w:val="32"/>
          <w:szCs w:val="32"/>
        </w:rPr>
        <w:t>3.</w:t>
      </w:r>
      <w:r>
        <w:rPr>
          <w:rFonts w:hint="eastAsia" w:eastAsia="仿宋_GB2312"/>
          <w:b/>
          <w:bCs/>
          <w:sz w:val="32"/>
          <w:szCs w:val="32"/>
        </w:rPr>
        <w:t>2</w:t>
      </w:r>
      <w:r>
        <w:rPr>
          <w:rFonts w:eastAsia="仿宋_GB2312"/>
          <w:b/>
          <w:bCs/>
          <w:sz w:val="32"/>
          <w:szCs w:val="32"/>
        </w:rPr>
        <w:t>.2 林业生产</w:t>
      </w:r>
    </w:p>
    <w:p w14:paraId="51ABDD65">
      <w:pPr>
        <w:ind w:firstLine="960" w:firstLineChars="300"/>
        <w:rPr>
          <w:rFonts w:hint="eastAsia" w:eastAsia="仿宋_GB2312"/>
          <w:sz w:val="32"/>
          <w:szCs w:val="32"/>
        </w:rPr>
      </w:pPr>
      <w:r>
        <w:rPr>
          <w:rFonts w:eastAsia="仿宋_GB2312"/>
          <w:sz w:val="32"/>
          <w:szCs w:val="32"/>
        </w:rPr>
        <w:t>2020年，三亚市林木种苗与花卉苗木总面积1255.4</w:t>
      </w:r>
      <w:r>
        <w:rPr>
          <w:rFonts w:hint="eastAsia" w:eastAsia="仿宋_GB2312"/>
          <w:sz w:val="32"/>
          <w:szCs w:val="32"/>
        </w:rPr>
        <w:t xml:space="preserve"> hm</w:t>
      </w:r>
      <w:r>
        <w:rPr>
          <w:rFonts w:hint="eastAsia" w:eastAsia="仿宋_GB2312"/>
          <w:sz w:val="32"/>
          <w:szCs w:val="32"/>
          <w:vertAlign w:val="superscript"/>
        </w:rPr>
        <w:t>2</w:t>
      </w:r>
      <w:r>
        <w:rPr>
          <w:rFonts w:eastAsia="仿宋_GB2312"/>
          <w:sz w:val="32"/>
          <w:szCs w:val="32"/>
        </w:rPr>
        <w:t>，年产值47296万元。经济林种植面积有</w:t>
      </w:r>
      <w:r>
        <w:rPr>
          <w:rFonts w:hint="eastAsia" w:eastAsia="仿宋_GB2312"/>
          <w:sz w:val="32"/>
          <w:szCs w:val="32"/>
        </w:rPr>
        <w:t xml:space="preserve">59998 </w:t>
      </w:r>
      <w:r>
        <w:rPr>
          <w:rFonts w:eastAsia="仿宋_GB2312"/>
          <w:sz w:val="32"/>
          <w:szCs w:val="32"/>
        </w:rPr>
        <w:t>hm</w:t>
      </w:r>
      <w:r>
        <w:rPr>
          <w:rFonts w:eastAsia="仿宋_GB2312"/>
          <w:sz w:val="32"/>
          <w:szCs w:val="32"/>
          <w:vertAlign w:val="superscript"/>
        </w:rPr>
        <w:t>2</w:t>
      </w:r>
      <w:r>
        <w:rPr>
          <w:rFonts w:eastAsia="仿宋_GB2312"/>
          <w:sz w:val="32"/>
          <w:szCs w:val="32"/>
        </w:rPr>
        <w:t>，产值372859万元。</w:t>
      </w:r>
      <w:r>
        <w:rPr>
          <w:rFonts w:hint="eastAsia" w:eastAsia="仿宋_GB2312"/>
          <w:sz w:val="32"/>
          <w:szCs w:val="32"/>
        </w:rPr>
        <w:t>用材林</w:t>
      </w:r>
      <w:r>
        <w:rPr>
          <w:rFonts w:eastAsia="仿宋_GB2312"/>
          <w:sz w:val="32"/>
          <w:szCs w:val="32"/>
        </w:rPr>
        <w:t>桉树面积3590</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，相思221</w:t>
      </w:r>
      <w:r>
        <w:rPr>
          <w:rFonts w:hint="eastAsia" w:eastAsia="仿宋_GB2312"/>
          <w:sz w:val="32"/>
          <w:szCs w:val="32"/>
        </w:rPr>
        <w:t>1</w:t>
      </w:r>
      <w:r>
        <w:rPr>
          <w:rFonts w:eastAsia="仿宋_GB2312"/>
          <w:sz w:val="32"/>
          <w:szCs w:val="32"/>
        </w:rPr>
        <w:t xml:space="preserve"> hm</w:t>
      </w:r>
      <w:r>
        <w:rPr>
          <w:rFonts w:eastAsia="仿宋_GB2312"/>
          <w:sz w:val="32"/>
          <w:szCs w:val="32"/>
          <w:vertAlign w:val="superscript"/>
        </w:rPr>
        <w:t>2</w:t>
      </w:r>
      <w:r>
        <w:rPr>
          <w:rFonts w:hint="eastAsia" w:eastAsia="仿宋_GB2312"/>
          <w:sz w:val="32"/>
          <w:szCs w:val="32"/>
        </w:rPr>
        <w:t>，产值3480万元。</w:t>
      </w:r>
      <w:r>
        <w:rPr>
          <w:rFonts w:eastAsia="仿宋_GB2312"/>
          <w:sz w:val="32"/>
          <w:szCs w:val="32"/>
        </w:rPr>
        <w:t>林下经济种养面积</w:t>
      </w:r>
      <w:r>
        <w:rPr>
          <w:rFonts w:hint="eastAsia" w:eastAsia="仿宋_GB2312"/>
          <w:sz w:val="32"/>
          <w:szCs w:val="32"/>
        </w:rPr>
        <w:t xml:space="preserve">396.3 </w:t>
      </w:r>
      <w:r>
        <w:rPr>
          <w:rFonts w:eastAsia="仿宋_GB2312"/>
          <w:sz w:val="32"/>
          <w:szCs w:val="32"/>
        </w:rPr>
        <w:t>hm</w:t>
      </w:r>
      <w:r>
        <w:rPr>
          <w:rFonts w:eastAsia="仿宋_GB2312"/>
          <w:sz w:val="32"/>
          <w:szCs w:val="32"/>
          <w:vertAlign w:val="superscript"/>
        </w:rPr>
        <w:t>2</w:t>
      </w:r>
      <w:r>
        <w:rPr>
          <w:rFonts w:eastAsia="仿宋_GB2312"/>
          <w:sz w:val="32"/>
          <w:szCs w:val="32"/>
        </w:rPr>
        <w:t>，产值5938万元。</w:t>
      </w:r>
    </w:p>
    <w:p w14:paraId="49594B73">
      <w:pPr>
        <w:rPr>
          <w:rFonts w:eastAsia="仿宋_GB2312"/>
          <w:b/>
          <w:bCs/>
          <w:sz w:val="32"/>
          <w:szCs w:val="32"/>
        </w:rPr>
      </w:pPr>
      <w:r>
        <w:rPr>
          <w:rFonts w:eastAsia="仿宋_GB2312"/>
          <w:b/>
          <w:bCs/>
          <w:sz w:val="32"/>
          <w:szCs w:val="32"/>
        </w:rPr>
        <w:t>3.</w:t>
      </w:r>
      <w:r>
        <w:rPr>
          <w:rFonts w:hint="eastAsia" w:eastAsia="仿宋_GB2312"/>
          <w:b/>
          <w:bCs/>
          <w:sz w:val="32"/>
          <w:szCs w:val="32"/>
        </w:rPr>
        <w:t>2</w:t>
      </w:r>
      <w:r>
        <w:rPr>
          <w:rFonts w:eastAsia="仿宋_GB2312"/>
          <w:b/>
          <w:bCs/>
          <w:sz w:val="32"/>
          <w:szCs w:val="32"/>
        </w:rPr>
        <w:t>.3 森林旅游与服务</w:t>
      </w:r>
    </w:p>
    <w:p w14:paraId="01B059DE">
      <w:pPr>
        <w:autoSpaceDE w:val="0"/>
        <w:autoSpaceDN w:val="0"/>
        <w:adjustRightInd w:val="0"/>
        <w:ind w:firstLine="640" w:firstLineChars="200"/>
        <w:jc w:val="left"/>
        <w:rPr>
          <w:rFonts w:eastAsia="仿宋_GB2312"/>
          <w:sz w:val="32"/>
          <w:szCs w:val="32"/>
        </w:rPr>
      </w:pPr>
      <w:r>
        <w:rPr>
          <w:rFonts w:eastAsia="仿宋_GB2312"/>
          <w:sz w:val="32"/>
          <w:szCs w:val="32"/>
        </w:rPr>
        <w:t>三亚以森林为主题的公园有亚龙湾热带天堂森林公园、和临春岭森林公园，独特的热带森林景观资源吸引了大量的游客，游客数量增长较快，</w:t>
      </w:r>
      <w:r>
        <w:rPr>
          <w:rFonts w:hint="eastAsia" w:eastAsia="仿宋_GB2312"/>
          <w:sz w:val="32"/>
          <w:szCs w:val="32"/>
        </w:rPr>
        <w:t>2020年</w:t>
      </w:r>
      <w:r>
        <w:rPr>
          <w:rFonts w:eastAsia="仿宋_GB2312"/>
          <w:sz w:val="32"/>
          <w:szCs w:val="32"/>
        </w:rPr>
        <w:t>接待游客</w:t>
      </w:r>
      <w:r>
        <w:rPr>
          <w:rFonts w:hint="eastAsia" w:eastAsia="仿宋_GB2312"/>
          <w:sz w:val="32"/>
          <w:szCs w:val="32"/>
        </w:rPr>
        <w:t>237.6</w:t>
      </w:r>
      <w:r>
        <w:rPr>
          <w:rFonts w:eastAsia="仿宋_GB2312"/>
          <w:sz w:val="32"/>
          <w:szCs w:val="32"/>
        </w:rPr>
        <w:t>万人次，产值43712万元。同时也推动</w:t>
      </w:r>
      <w:r>
        <w:rPr>
          <w:rFonts w:hint="eastAsia" w:eastAsia="仿宋_GB2312"/>
          <w:sz w:val="32"/>
          <w:szCs w:val="32"/>
        </w:rPr>
        <w:t>天使</w:t>
      </w:r>
      <w:r>
        <w:rPr>
          <w:rFonts w:hint="eastAsia" w:ascii="宋体" w:hAnsi="宋体" w:cs="宋体"/>
          <w:sz w:val="32"/>
          <w:szCs w:val="32"/>
        </w:rPr>
        <w:t>•</w:t>
      </w:r>
      <w:r>
        <w:rPr>
          <w:rFonts w:hint="eastAsia" w:ascii="仿宋_GB2312" w:hAnsi="仿宋_GB2312" w:eastAsia="仿宋_GB2312" w:cs="仿宋_GB2312"/>
          <w:sz w:val="32"/>
          <w:szCs w:val="32"/>
        </w:rPr>
        <w:t>净心谷和南岛森林康养基地</w:t>
      </w:r>
      <w:r>
        <w:rPr>
          <w:rFonts w:eastAsia="仿宋_GB2312"/>
          <w:sz w:val="32"/>
          <w:szCs w:val="32"/>
        </w:rPr>
        <w:t>建设。</w:t>
      </w:r>
    </w:p>
    <w:p w14:paraId="65743A04">
      <w:pPr>
        <w:rPr>
          <w:rFonts w:eastAsia="仿宋_GB2312"/>
          <w:b/>
          <w:bCs/>
          <w:sz w:val="32"/>
          <w:szCs w:val="32"/>
        </w:rPr>
      </w:pPr>
      <w:r>
        <w:rPr>
          <w:rFonts w:eastAsia="仿宋_GB2312"/>
          <w:b/>
          <w:bCs/>
          <w:sz w:val="32"/>
          <w:szCs w:val="32"/>
        </w:rPr>
        <w:t>3.</w:t>
      </w:r>
      <w:r>
        <w:rPr>
          <w:rFonts w:hint="eastAsia" w:eastAsia="仿宋_GB2312"/>
          <w:b/>
          <w:bCs/>
          <w:sz w:val="32"/>
          <w:szCs w:val="32"/>
        </w:rPr>
        <w:t>2</w:t>
      </w:r>
      <w:r>
        <w:rPr>
          <w:rFonts w:eastAsia="仿宋_GB2312"/>
          <w:b/>
          <w:bCs/>
          <w:sz w:val="32"/>
          <w:szCs w:val="32"/>
        </w:rPr>
        <w:t>.</w:t>
      </w:r>
      <w:r>
        <w:rPr>
          <w:rFonts w:hint="eastAsia" w:eastAsia="仿宋_GB2312"/>
          <w:b/>
          <w:bCs/>
          <w:sz w:val="32"/>
          <w:szCs w:val="32"/>
        </w:rPr>
        <w:t>4</w:t>
      </w:r>
      <w:r>
        <w:rPr>
          <w:rFonts w:eastAsia="仿宋_GB2312"/>
          <w:b/>
          <w:bCs/>
          <w:sz w:val="32"/>
          <w:szCs w:val="32"/>
        </w:rPr>
        <w:t xml:space="preserve"> 生态建设</w:t>
      </w:r>
    </w:p>
    <w:p w14:paraId="36E29747">
      <w:pPr>
        <w:autoSpaceDE w:val="0"/>
        <w:autoSpaceDN w:val="0"/>
        <w:adjustRightInd w:val="0"/>
        <w:ind w:firstLine="640" w:firstLineChars="200"/>
        <w:rPr>
          <w:rFonts w:eastAsia="黑体"/>
          <w:b/>
          <w:kern w:val="44"/>
          <w:sz w:val="32"/>
          <w:szCs w:val="48"/>
        </w:rPr>
      </w:pPr>
      <w:r>
        <w:rPr>
          <w:rFonts w:hint="eastAsia" w:eastAsia="仿宋_GB2312"/>
          <w:sz w:val="32"/>
          <w:szCs w:val="32"/>
        </w:rPr>
        <w:t>“十三五”期间，三亚全市</w:t>
      </w:r>
      <w:r>
        <w:rPr>
          <w:rFonts w:eastAsia="仿宋_GB2312"/>
          <w:sz w:val="32"/>
          <w:szCs w:val="32"/>
        </w:rPr>
        <w:t>完成绿化造林</w:t>
      </w:r>
      <w:r>
        <w:rPr>
          <w:rFonts w:hint="eastAsia" w:eastAsia="仿宋_GB2312"/>
          <w:sz w:val="32"/>
          <w:szCs w:val="32"/>
        </w:rPr>
        <w:t>521.2</w:t>
      </w:r>
      <w:r>
        <w:rPr>
          <w:rFonts w:eastAsia="仿宋_GB2312"/>
          <w:sz w:val="32"/>
          <w:szCs w:val="32"/>
        </w:rPr>
        <w:t xml:space="preserve"> hm</w:t>
      </w:r>
      <w:r>
        <w:rPr>
          <w:rFonts w:hint="eastAsia" w:eastAsia="仿宋_GB2312"/>
          <w:sz w:val="32"/>
          <w:szCs w:val="32"/>
          <w:vertAlign w:val="superscript"/>
        </w:rPr>
        <w:t>2</w:t>
      </w:r>
      <w:r>
        <w:rPr>
          <w:rFonts w:eastAsia="仿宋_GB2312"/>
          <w:sz w:val="32"/>
          <w:szCs w:val="32"/>
        </w:rPr>
        <w:t>，全民义务植树</w:t>
      </w:r>
      <w:r>
        <w:rPr>
          <w:rFonts w:hint="eastAsia" w:eastAsia="仿宋_GB2312"/>
          <w:sz w:val="32"/>
          <w:szCs w:val="32"/>
        </w:rPr>
        <w:t>156.1</w:t>
      </w:r>
      <w:r>
        <w:rPr>
          <w:rFonts w:eastAsia="仿宋_GB2312"/>
          <w:sz w:val="32"/>
          <w:szCs w:val="32"/>
        </w:rPr>
        <w:t>万株；开展铁炉港、青梅港保护区退塘还林</w:t>
      </w:r>
      <w:r>
        <w:rPr>
          <w:rFonts w:hint="eastAsia" w:eastAsia="仿宋_GB2312"/>
          <w:sz w:val="32"/>
          <w:szCs w:val="32"/>
        </w:rPr>
        <w:t>（</w:t>
      </w:r>
      <w:r>
        <w:rPr>
          <w:rFonts w:eastAsia="仿宋_GB2312"/>
          <w:sz w:val="32"/>
          <w:szCs w:val="32"/>
        </w:rPr>
        <w:t>湿</w:t>
      </w:r>
      <w:r>
        <w:rPr>
          <w:rFonts w:hint="eastAsia" w:eastAsia="仿宋_GB2312"/>
          <w:sz w:val="32"/>
          <w:szCs w:val="32"/>
        </w:rPr>
        <w:t>）</w:t>
      </w:r>
      <w:r>
        <w:rPr>
          <w:rFonts w:eastAsia="仿宋_GB2312"/>
          <w:sz w:val="32"/>
          <w:szCs w:val="32"/>
        </w:rPr>
        <w:t>工作，营造红树林39.3 hm</w:t>
      </w:r>
      <w:r>
        <w:rPr>
          <w:rFonts w:hint="eastAsia" w:eastAsia="仿宋_GB2312"/>
          <w:sz w:val="32"/>
          <w:szCs w:val="32"/>
          <w:vertAlign w:val="superscript"/>
        </w:rPr>
        <w:t>2</w:t>
      </w:r>
      <w:r>
        <w:rPr>
          <w:rFonts w:eastAsia="仿宋_GB2312"/>
          <w:sz w:val="32"/>
          <w:szCs w:val="32"/>
        </w:rPr>
        <w:t>，清退鱼塘106.7 hm</w:t>
      </w:r>
      <w:r>
        <w:rPr>
          <w:rFonts w:hint="eastAsia" w:eastAsia="仿宋_GB2312"/>
          <w:sz w:val="32"/>
          <w:szCs w:val="32"/>
          <w:vertAlign w:val="superscript"/>
        </w:rPr>
        <w:t>2</w:t>
      </w:r>
      <w:r>
        <w:rPr>
          <w:rFonts w:eastAsia="仿宋_GB2312"/>
          <w:sz w:val="32"/>
          <w:szCs w:val="32"/>
        </w:rPr>
        <w:t>，成立海南三亚河国家湿地公园，湿地生态系统得到有效保护；</w:t>
      </w:r>
      <w:r>
        <w:rPr>
          <w:rFonts w:hint="eastAsia" w:eastAsia="仿宋_GB2312"/>
          <w:sz w:val="32"/>
          <w:szCs w:val="32"/>
        </w:rPr>
        <w:t>开展</w:t>
      </w:r>
      <w:r>
        <w:rPr>
          <w:rFonts w:eastAsia="仿宋_GB2312"/>
          <w:sz w:val="32"/>
          <w:szCs w:val="32"/>
        </w:rPr>
        <w:t>侵占重点生态公益林地</w:t>
      </w:r>
      <w:r>
        <w:rPr>
          <w:rFonts w:hint="eastAsia" w:eastAsia="仿宋_GB2312"/>
          <w:sz w:val="32"/>
          <w:szCs w:val="32"/>
        </w:rPr>
        <w:t>（</w:t>
      </w:r>
      <w:r>
        <w:rPr>
          <w:rFonts w:eastAsia="仿宋_GB2312"/>
          <w:sz w:val="32"/>
          <w:szCs w:val="32"/>
        </w:rPr>
        <w:t>天然林</w:t>
      </w:r>
      <w:r>
        <w:rPr>
          <w:rFonts w:hint="eastAsia" w:eastAsia="仿宋_GB2312"/>
          <w:sz w:val="32"/>
          <w:szCs w:val="32"/>
        </w:rPr>
        <w:t>）</w:t>
      </w:r>
      <w:r>
        <w:rPr>
          <w:rFonts w:eastAsia="仿宋_GB2312"/>
          <w:sz w:val="32"/>
          <w:szCs w:val="32"/>
        </w:rPr>
        <w:t>种植经济林清退工作，清退经济林面积130余hm</w:t>
      </w:r>
      <w:r>
        <w:rPr>
          <w:rFonts w:hint="eastAsia" w:eastAsia="仿宋_GB2312"/>
          <w:sz w:val="32"/>
          <w:szCs w:val="32"/>
          <w:vertAlign w:val="superscript"/>
        </w:rPr>
        <w:t>2</w:t>
      </w:r>
      <w:r>
        <w:rPr>
          <w:rFonts w:eastAsia="仿宋_GB2312"/>
          <w:sz w:val="32"/>
          <w:szCs w:val="32"/>
        </w:rPr>
        <w:t>，在全市</w:t>
      </w:r>
      <w:r>
        <w:rPr>
          <w:rFonts w:hint="eastAsia" w:eastAsia="仿宋_GB2312"/>
          <w:sz w:val="32"/>
          <w:szCs w:val="32"/>
        </w:rPr>
        <w:t>13个重要林区实施生态效益补偿，</w:t>
      </w:r>
      <w:r>
        <w:rPr>
          <w:rFonts w:eastAsia="仿宋_GB2312"/>
          <w:sz w:val="32"/>
          <w:szCs w:val="32"/>
        </w:rPr>
        <w:t>森林生态效益得到维护。</w:t>
      </w:r>
    </w:p>
    <w:p w14:paraId="2DD257E2">
      <w:pPr>
        <w:pStyle w:val="3"/>
        <w:spacing w:before="0" w:after="0" w:line="240" w:lineRule="auto"/>
        <w:rPr>
          <w:rFonts w:ascii="Times New Roman" w:hAnsi="Times New Roman" w:eastAsia="黑体"/>
        </w:rPr>
      </w:pPr>
      <w:bookmarkStart w:id="45" w:name="_Toc82546068"/>
      <w:r>
        <w:rPr>
          <w:rFonts w:ascii="Times New Roman" w:hAnsi="Times New Roman" w:eastAsia="黑体"/>
        </w:rPr>
        <w:t>3.</w:t>
      </w:r>
      <w:r>
        <w:rPr>
          <w:rFonts w:hint="eastAsia" w:ascii="Times New Roman" w:hAnsi="Times New Roman" w:eastAsia="黑体"/>
        </w:rPr>
        <w:t>3</w:t>
      </w:r>
      <w:r>
        <w:rPr>
          <w:rFonts w:ascii="Times New Roman" w:hAnsi="Times New Roman" w:eastAsia="黑体"/>
        </w:rPr>
        <w:t xml:space="preserve"> 林业产业发展优势</w:t>
      </w:r>
      <w:r>
        <w:rPr>
          <w:rFonts w:hint="eastAsia" w:ascii="Times New Roman" w:hAnsi="Times New Roman" w:eastAsia="黑体"/>
        </w:rPr>
        <w:t>与</w:t>
      </w:r>
      <w:r>
        <w:rPr>
          <w:rFonts w:ascii="Times New Roman" w:hAnsi="Times New Roman" w:eastAsia="黑体"/>
        </w:rPr>
        <w:t>制约因素</w:t>
      </w:r>
      <w:bookmarkEnd w:id="45"/>
    </w:p>
    <w:p w14:paraId="798251D0">
      <w:pPr>
        <w:rPr>
          <w:rFonts w:eastAsia="仿宋_GB2312"/>
          <w:b/>
          <w:bCs/>
          <w:sz w:val="32"/>
          <w:szCs w:val="32"/>
        </w:rPr>
      </w:pPr>
      <w:r>
        <w:rPr>
          <w:rFonts w:eastAsia="仿宋_GB2312"/>
          <w:b/>
          <w:bCs/>
          <w:sz w:val="32"/>
          <w:szCs w:val="32"/>
        </w:rPr>
        <w:t>3.</w:t>
      </w:r>
      <w:r>
        <w:rPr>
          <w:rFonts w:hint="eastAsia" w:eastAsia="仿宋_GB2312"/>
          <w:b/>
          <w:bCs/>
          <w:sz w:val="32"/>
          <w:szCs w:val="32"/>
        </w:rPr>
        <w:t>3</w:t>
      </w:r>
      <w:r>
        <w:rPr>
          <w:rFonts w:eastAsia="仿宋_GB2312"/>
          <w:b/>
          <w:bCs/>
          <w:sz w:val="32"/>
          <w:szCs w:val="32"/>
        </w:rPr>
        <w:t>.1发展优势</w:t>
      </w:r>
    </w:p>
    <w:p w14:paraId="17899B2A">
      <w:pPr>
        <w:autoSpaceDE w:val="0"/>
        <w:autoSpaceDN w:val="0"/>
        <w:adjustRightInd w:val="0"/>
        <w:spacing w:line="360" w:lineRule="auto"/>
        <w:ind w:firstLine="643" w:firstLineChars="200"/>
        <w:jc w:val="left"/>
        <w:rPr>
          <w:rFonts w:eastAsia="仿宋_GB2312"/>
          <w:b/>
          <w:sz w:val="32"/>
          <w:szCs w:val="32"/>
        </w:rPr>
      </w:pPr>
      <w:r>
        <w:rPr>
          <w:b/>
          <w:sz w:val="32"/>
        </w:rPr>
        <w:t>（</w:t>
      </w:r>
      <w:r>
        <w:rPr>
          <w:rFonts w:eastAsia="仿宋_GB2312"/>
          <w:b/>
          <w:sz w:val="32"/>
          <w:szCs w:val="32"/>
        </w:rPr>
        <w:t>1）林业改革不断深化，制度集成创新为林业产业发展不断注入新动力</w:t>
      </w:r>
    </w:p>
    <w:p w14:paraId="151264D0">
      <w:pPr>
        <w:spacing w:line="360" w:lineRule="auto"/>
        <w:ind w:firstLine="640" w:firstLineChars="200"/>
        <w:rPr>
          <w:rFonts w:eastAsia="仿宋_GB2312"/>
          <w:sz w:val="32"/>
          <w:szCs w:val="30"/>
        </w:rPr>
      </w:pPr>
      <w:r>
        <w:rPr>
          <w:rFonts w:eastAsia="仿宋_GB2312"/>
          <w:sz w:val="32"/>
          <w:szCs w:val="30"/>
        </w:rPr>
        <w:t>按照国家、省有关林业改革工作部署，全面深化林业体制机制改革。林业行政审批流程进一步简化、效率明显提高。顺利推进了国有林场改革，切实做好“四定”工作，推进国有林场职能分开、财务分开、资产分开、债务分开等“四分开”，进一步完善公益林政府购买管护机制，建立权责明确、监管有效的森林资源监管体制，妥善安置职工，加强基础设施建设，职工生产生活条件得到全面改善，林区林场面貌焕然一新。</w:t>
      </w:r>
      <w:r>
        <w:rPr>
          <w:rFonts w:hint="eastAsia" w:eastAsia="仿宋_GB2312"/>
          <w:sz w:val="32"/>
          <w:szCs w:val="32"/>
        </w:rPr>
        <w:t>计划到2025年完善林长制相关制度，构建权责明确、保障有力、监管严格、运行高效的森林资源保护发展机制。</w:t>
      </w:r>
      <w:r>
        <w:rPr>
          <w:rFonts w:hint="eastAsia" w:eastAsia="仿宋_GB2312"/>
          <w:sz w:val="32"/>
          <w:szCs w:val="30"/>
        </w:rPr>
        <w:t>三亚</w:t>
      </w:r>
      <w:r>
        <w:rPr>
          <w:rFonts w:eastAsia="仿宋_GB2312"/>
          <w:sz w:val="32"/>
          <w:szCs w:val="30"/>
        </w:rPr>
        <w:t>林业体制机制的改革创新，进一步增强了林业发展活力，增强林业发展动力，带动区域林业经济发展，促进了社会和谐稳定。</w:t>
      </w:r>
    </w:p>
    <w:p w14:paraId="7DB24F22">
      <w:pPr>
        <w:autoSpaceDE w:val="0"/>
        <w:autoSpaceDN w:val="0"/>
        <w:adjustRightInd w:val="0"/>
        <w:spacing w:line="360" w:lineRule="auto"/>
        <w:ind w:firstLine="643" w:firstLineChars="200"/>
        <w:jc w:val="left"/>
        <w:rPr>
          <w:rFonts w:hint="eastAsia" w:eastAsia="仿宋_GB2312"/>
          <w:b/>
          <w:sz w:val="32"/>
          <w:szCs w:val="32"/>
        </w:rPr>
      </w:pPr>
      <w:r>
        <w:rPr>
          <w:rFonts w:eastAsia="仿宋_GB2312"/>
          <w:b/>
          <w:sz w:val="32"/>
          <w:szCs w:val="32"/>
        </w:rPr>
        <w:t>（2）</w:t>
      </w:r>
      <w:r>
        <w:rPr>
          <w:rFonts w:hint="eastAsia" w:eastAsia="仿宋_GB2312"/>
          <w:b/>
          <w:sz w:val="32"/>
          <w:szCs w:val="32"/>
        </w:rPr>
        <w:t>森林资源保护不断强化，生态建设成绩斐然</w:t>
      </w:r>
    </w:p>
    <w:p w14:paraId="3C92C7CF">
      <w:pPr>
        <w:autoSpaceDE w:val="0"/>
        <w:autoSpaceDN w:val="0"/>
        <w:adjustRightInd w:val="0"/>
        <w:spacing w:line="360" w:lineRule="auto"/>
        <w:ind w:firstLine="643" w:firstLineChars="200"/>
        <w:rPr>
          <w:rFonts w:hint="eastAsia" w:eastAsia="仿宋_GB2312"/>
          <w:sz w:val="32"/>
          <w:szCs w:val="32"/>
        </w:rPr>
      </w:pPr>
      <w:r>
        <w:rPr>
          <w:rFonts w:hint="eastAsia" w:eastAsia="仿宋_GB2312"/>
          <w:b/>
          <w:sz w:val="32"/>
          <w:szCs w:val="32"/>
        </w:rPr>
        <w:t>森林资源保护不断强化。</w:t>
      </w:r>
      <w:r>
        <w:rPr>
          <w:rFonts w:hint="eastAsia" w:eastAsia="仿宋_GB2312"/>
          <w:sz w:val="32"/>
          <w:szCs w:val="32"/>
        </w:rPr>
        <w:t>贯彻落实习近平生态文明思想，坚决落实“中央环保督察”、“省委巡视”、“绿盾行动”、“双十行动”和“六大专项整治”等反馈问题整改。“十三五”期间，认真整改甘什岭、三亚河、铁炉港等自然保护区内建设设施、违法占用林地和珊瑚礁保护区规划调整问题；开展森林督查和森林资源“一张图”年度更新，2018-2020年对国家下发的1296 个森林督查图斑进行了内外业核实；严厉打击涉林违法犯罪行为，大力开展打击破坏森林资源专项行动，累计查处涉林刑事、行政案件341 起(宗)，有力震慑了破坏森林资源违法行为。</w:t>
      </w:r>
    </w:p>
    <w:p w14:paraId="66081ECC">
      <w:pPr>
        <w:autoSpaceDE w:val="0"/>
        <w:autoSpaceDN w:val="0"/>
        <w:adjustRightInd w:val="0"/>
        <w:ind w:firstLine="643" w:firstLineChars="200"/>
        <w:jc w:val="left"/>
        <w:rPr>
          <w:rFonts w:hint="eastAsia" w:eastAsia="仿宋_GB2312"/>
          <w:sz w:val="32"/>
          <w:szCs w:val="32"/>
        </w:rPr>
      </w:pPr>
      <w:r>
        <w:rPr>
          <w:rFonts w:hint="eastAsia" w:eastAsia="仿宋_GB2312"/>
          <w:b/>
          <w:sz w:val="32"/>
          <w:szCs w:val="32"/>
        </w:rPr>
        <w:t>生态文明建设加速推进。</w:t>
      </w:r>
      <w:r>
        <w:rPr>
          <w:rFonts w:hint="eastAsia" w:eastAsia="仿宋_GB2312"/>
          <w:sz w:val="32"/>
          <w:szCs w:val="32"/>
        </w:rPr>
        <w:t>启动国家级和省级“森林城市”创建，印发《三亚市创建国家及省级森林城市工作方案》，完成总体规划编制；持续推进村庄绿化，</w:t>
      </w:r>
      <w:r>
        <w:rPr>
          <w:rFonts w:eastAsia="仿宋_GB2312"/>
          <w:sz w:val="32"/>
          <w:szCs w:val="32"/>
        </w:rPr>
        <w:t xml:space="preserve">9 </w:t>
      </w:r>
      <w:r>
        <w:rPr>
          <w:rFonts w:hint="eastAsia" w:eastAsia="仿宋_GB2312"/>
          <w:sz w:val="32"/>
          <w:szCs w:val="32"/>
        </w:rPr>
        <w:t>个村被认定为“国家森林乡村”。加强古树名木保护管理工作，《三亚市古树名木保护管理若干规定》于2021年4月10日起施行；开展古树名木调查更新，实现古树名木信息化、动态化管理。经统计，三亚市现有古树名木</w:t>
      </w:r>
      <w:r>
        <w:rPr>
          <w:rFonts w:eastAsia="仿宋_GB2312"/>
          <w:sz w:val="32"/>
          <w:szCs w:val="32"/>
        </w:rPr>
        <w:t>1180</w:t>
      </w:r>
      <w:r>
        <w:rPr>
          <w:rFonts w:hint="eastAsia" w:eastAsia="仿宋_GB2312"/>
          <w:sz w:val="32"/>
          <w:szCs w:val="32"/>
        </w:rPr>
        <w:t>株，隶属</w:t>
      </w:r>
      <w:r>
        <w:rPr>
          <w:rFonts w:eastAsia="仿宋_GB2312"/>
          <w:sz w:val="32"/>
          <w:szCs w:val="32"/>
        </w:rPr>
        <w:t>20</w:t>
      </w:r>
      <w:r>
        <w:rPr>
          <w:rFonts w:hint="eastAsia" w:eastAsia="仿宋_GB2312"/>
          <w:sz w:val="32"/>
          <w:szCs w:val="32"/>
        </w:rPr>
        <w:t>科</w:t>
      </w:r>
      <w:r>
        <w:rPr>
          <w:rFonts w:eastAsia="仿宋_GB2312"/>
          <w:sz w:val="32"/>
          <w:szCs w:val="32"/>
        </w:rPr>
        <w:t>30</w:t>
      </w:r>
      <w:r>
        <w:rPr>
          <w:rFonts w:hint="eastAsia" w:eastAsia="仿宋_GB2312"/>
          <w:sz w:val="32"/>
          <w:szCs w:val="32"/>
        </w:rPr>
        <w:t>属</w:t>
      </w:r>
      <w:r>
        <w:rPr>
          <w:rFonts w:eastAsia="仿宋_GB2312"/>
          <w:sz w:val="32"/>
          <w:szCs w:val="32"/>
        </w:rPr>
        <w:t>35</w:t>
      </w:r>
      <w:r>
        <w:rPr>
          <w:rFonts w:hint="eastAsia" w:eastAsia="仿宋_GB2312"/>
          <w:sz w:val="32"/>
          <w:szCs w:val="32"/>
        </w:rPr>
        <w:t>种；依法组织古树名木保护，开展古树名木定期巡护，为古树名木保护提供技术指导。</w:t>
      </w:r>
    </w:p>
    <w:p w14:paraId="609266B4">
      <w:pPr>
        <w:autoSpaceDE w:val="0"/>
        <w:autoSpaceDN w:val="0"/>
        <w:adjustRightInd w:val="0"/>
        <w:ind w:firstLine="643" w:firstLineChars="200"/>
        <w:rPr>
          <w:rFonts w:hint="eastAsia" w:eastAsia="仿宋_GB2312"/>
          <w:sz w:val="32"/>
          <w:szCs w:val="32"/>
        </w:rPr>
      </w:pPr>
      <w:r>
        <w:rPr>
          <w:rFonts w:hint="eastAsia" w:eastAsia="仿宋_GB2312"/>
          <w:b/>
          <w:sz w:val="32"/>
          <w:szCs w:val="32"/>
        </w:rPr>
        <w:t>野生动植物保护切实加强。</w:t>
      </w:r>
      <w:r>
        <w:rPr>
          <w:rFonts w:hint="eastAsia" w:eastAsia="仿宋_GB2312"/>
          <w:sz w:val="32"/>
          <w:szCs w:val="32"/>
        </w:rPr>
        <w:t>加强野生动物保护救助，成立三亚市林业局保护候鸟等野生动物专项行动领导小组，救助、放生野生动物759只（条）；推进以食用为目的陆生野生动物退出处置，全市43家野生动物人工繁育场全部退出，补偿和奖励资金共计739.89万元（“十三五”期间）；加强野生动植物保护宣传，组织“爱鸟周”暨“世界野生动植物日”宣传活动，通过悬挂横幅，播放滚动视频，发放宣传卡片、倡议书及三亚日报等媒体开展宣传教育，有效提升了民众保护野生动植物意识。</w:t>
      </w:r>
    </w:p>
    <w:p w14:paraId="6B7AE520">
      <w:pPr>
        <w:autoSpaceDE w:val="0"/>
        <w:autoSpaceDN w:val="0"/>
        <w:adjustRightInd w:val="0"/>
        <w:ind w:firstLine="643" w:firstLineChars="200"/>
        <w:jc w:val="left"/>
        <w:rPr>
          <w:rFonts w:eastAsia="仿宋_GB2312"/>
          <w:b/>
          <w:sz w:val="32"/>
          <w:szCs w:val="32"/>
        </w:rPr>
      </w:pPr>
      <w:r>
        <w:rPr>
          <w:rFonts w:eastAsia="仿宋_GB2312"/>
          <w:b/>
          <w:sz w:val="32"/>
          <w:szCs w:val="32"/>
        </w:rPr>
        <w:t>（3）</w:t>
      </w:r>
      <w:r>
        <w:rPr>
          <w:rFonts w:hint="eastAsia" w:eastAsia="仿宋_GB2312"/>
          <w:b/>
          <w:sz w:val="32"/>
          <w:szCs w:val="32"/>
        </w:rPr>
        <w:t>森林旅游正在崛起，生态文明建设成为发展亮点</w:t>
      </w:r>
    </w:p>
    <w:p w14:paraId="64B4DF61">
      <w:pPr>
        <w:autoSpaceDE w:val="0"/>
        <w:autoSpaceDN w:val="0"/>
        <w:adjustRightInd w:val="0"/>
        <w:ind w:firstLine="640" w:firstLineChars="200"/>
        <w:jc w:val="left"/>
        <w:rPr>
          <w:rFonts w:hint="eastAsia" w:eastAsia="仿宋_GB2312"/>
          <w:sz w:val="32"/>
          <w:szCs w:val="32"/>
        </w:rPr>
      </w:pPr>
      <w:r>
        <w:rPr>
          <w:rFonts w:hint="eastAsia" w:eastAsia="仿宋_GB2312"/>
          <w:sz w:val="32"/>
          <w:szCs w:val="32"/>
        </w:rPr>
        <w:t>森林旅游因其回归自然、返璞归真的独特魅力而逐渐成为人们追求的时尚，包括森林旅游在内的旅游产业已成为许多自然和人文资源丰富地区的支柱产业。依托亚龙湾热带天堂森林公园等森林公园、湿地公园等自然景观，大力发展森林康养、国学研学等旅游新产品，推进生态文明建设，打造集避暑养老、森林旅游于一体的生态休闲观光区。提升森林旅游的文化内涵，构建生态文明的长廊，加快发展三亚旅游产业，着力培育全市旅游产业发展增长，打造三亚市经济社会发展的新引擎，成为林业经济增长名符其实的“亮点”。</w:t>
      </w:r>
    </w:p>
    <w:p w14:paraId="09EA75AA">
      <w:pPr>
        <w:autoSpaceDE w:val="0"/>
        <w:autoSpaceDN w:val="0"/>
        <w:adjustRightInd w:val="0"/>
        <w:ind w:firstLine="643" w:firstLineChars="200"/>
        <w:jc w:val="left"/>
        <w:rPr>
          <w:rFonts w:hint="eastAsia" w:eastAsia="仿宋_GB2312"/>
          <w:b/>
          <w:sz w:val="32"/>
          <w:szCs w:val="32"/>
        </w:rPr>
      </w:pPr>
      <w:r>
        <w:rPr>
          <w:rFonts w:hint="eastAsia" w:eastAsia="仿宋_GB2312"/>
          <w:b/>
          <w:sz w:val="32"/>
          <w:szCs w:val="32"/>
        </w:rPr>
        <w:t>（4）林业法律制度逐步完善，保障能力不断提升</w:t>
      </w:r>
    </w:p>
    <w:p w14:paraId="02B0C40B">
      <w:pPr>
        <w:autoSpaceDE w:val="0"/>
        <w:autoSpaceDN w:val="0"/>
        <w:adjustRightInd w:val="0"/>
        <w:ind w:firstLine="643" w:firstLineChars="200"/>
        <w:jc w:val="left"/>
        <w:rPr>
          <w:rFonts w:hint="eastAsia" w:eastAsia="仿宋_GB2312"/>
          <w:sz w:val="32"/>
          <w:szCs w:val="32"/>
        </w:rPr>
      </w:pPr>
      <w:r>
        <w:rPr>
          <w:rFonts w:hint="eastAsia" w:eastAsia="仿宋_GB2312"/>
          <w:b/>
          <w:sz w:val="32"/>
          <w:szCs w:val="32"/>
        </w:rPr>
        <w:t>法律制度保障不断完善。</w:t>
      </w:r>
      <w:r>
        <w:rPr>
          <w:rFonts w:hint="eastAsia" w:eastAsia="仿宋_GB2312"/>
          <w:sz w:val="32"/>
          <w:szCs w:val="32"/>
        </w:rPr>
        <w:t>《三亚市山体保护条例》经批准施行，出台《三亚市古树名木保护管理若干规定》，《三亚市国有森林资源托管办法</w:t>
      </w:r>
      <w:r>
        <w:rPr>
          <w:rFonts w:eastAsia="仿宋_GB2312"/>
          <w:sz w:val="32"/>
          <w:szCs w:val="32"/>
        </w:rPr>
        <w:t>(</w:t>
      </w:r>
      <w:r>
        <w:rPr>
          <w:rFonts w:hint="eastAsia" w:eastAsia="仿宋_GB2312"/>
          <w:sz w:val="32"/>
          <w:szCs w:val="32"/>
        </w:rPr>
        <w:t>试行</w:t>
      </w:r>
      <w:r>
        <w:rPr>
          <w:rFonts w:eastAsia="仿宋_GB2312"/>
          <w:sz w:val="32"/>
          <w:szCs w:val="32"/>
        </w:rPr>
        <w:t>)</w:t>
      </w:r>
      <w:r>
        <w:rPr>
          <w:rFonts w:hint="eastAsia" w:eastAsia="仿宋_GB2312"/>
          <w:sz w:val="32"/>
          <w:szCs w:val="32"/>
        </w:rPr>
        <w:t>》正在完善，印发了《三亚市关于全面推行林长制实施方案》，为三亚市林业工作开展提供了法定的依据。</w:t>
      </w:r>
    </w:p>
    <w:p w14:paraId="525D7FD6">
      <w:pPr>
        <w:autoSpaceDE w:val="0"/>
        <w:autoSpaceDN w:val="0"/>
        <w:adjustRightInd w:val="0"/>
        <w:ind w:firstLine="643" w:firstLineChars="200"/>
        <w:jc w:val="left"/>
        <w:rPr>
          <w:rFonts w:hint="eastAsia" w:eastAsia="仿宋_GB2312"/>
          <w:sz w:val="32"/>
          <w:szCs w:val="32"/>
        </w:rPr>
      </w:pPr>
      <w:r>
        <w:rPr>
          <w:rFonts w:hint="eastAsia" w:eastAsia="仿宋_GB2312"/>
          <w:b/>
          <w:sz w:val="32"/>
          <w:szCs w:val="32"/>
        </w:rPr>
        <w:t>公益林管护能力不断增强。</w:t>
      </w:r>
      <w:r>
        <w:rPr>
          <w:rFonts w:hint="eastAsia" w:eastAsia="仿宋_GB2312"/>
          <w:sz w:val="32"/>
          <w:szCs w:val="32"/>
        </w:rPr>
        <w:t>管护队伍不断完善，现有公益林管护单位</w:t>
      </w:r>
      <w:r>
        <w:rPr>
          <w:rFonts w:eastAsia="仿宋_GB2312"/>
          <w:sz w:val="32"/>
          <w:szCs w:val="32"/>
        </w:rPr>
        <w:t>7</w:t>
      </w:r>
      <w:r>
        <w:rPr>
          <w:rFonts w:hint="eastAsia" w:eastAsia="仿宋_GB2312"/>
          <w:sz w:val="32"/>
          <w:szCs w:val="32"/>
        </w:rPr>
        <w:t>个，公益林管护人员</w:t>
      </w:r>
      <w:r>
        <w:rPr>
          <w:rFonts w:eastAsia="仿宋_GB2312"/>
          <w:sz w:val="32"/>
          <w:szCs w:val="32"/>
        </w:rPr>
        <w:t>27</w:t>
      </w:r>
      <w:r>
        <w:rPr>
          <w:rFonts w:hint="eastAsia" w:eastAsia="仿宋_GB2312"/>
          <w:sz w:val="32"/>
          <w:szCs w:val="32"/>
        </w:rPr>
        <w:t>9人，其中专职技术员</w:t>
      </w:r>
      <w:r>
        <w:rPr>
          <w:rFonts w:eastAsia="仿宋_GB2312"/>
          <w:sz w:val="32"/>
          <w:szCs w:val="32"/>
        </w:rPr>
        <w:t>19</w:t>
      </w:r>
      <w:r>
        <w:rPr>
          <w:rFonts w:hint="eastAsia" w:eastAsia="仿宋_GB2312"/>
          <w:sz w:val="32"/>
          <w:szCs w:val="32"/>
        </w:rPr>
        <w:t>人、专职管理员</w:t>
      </w:r>
      <w:r>
        <w:rPr>
          <w:rFonts w:eastAsia="仿宋_GB2312"/>
          <w:sz w:val="32"/>
          <w:szCs w:val="32"/>
        </w:rPr>
        <w:t>25</w:t>
      </w:r>
      <w:r>
        <w:rPr>
          <w:rFonts w:hint="eastAsia" w:eastAsia="仿宋_GB2312"/>
          <w:sz w:val="32"/>
          <w:szCs w:val="32"/>
        </w:rPr>
        <w:t>人、专职护林防火员</w:t>
      </w:r>
      <w:r>
        <w:rPr>
          <w:rFonts w:eastAsia="仿宋_GB2312"/>
          <w:sz w:val="32"/>
          <w:szCs w:val="32"/>
        </w:rPr>
        <w:t>23</w:t>
      </w:r>
      <w:r>
        <w:rPr>
          <w:rFonts w:hint="eastAsia" w:eastAsia="仿宋_GB2312"/>
          <w:sz w:val="32"/>
          <w:szCs w:val="32"/>
        </w:rPr>
        <w:t>5人；管护方式不断升级，在全市范围内推广使用护林员巡护系统和林地变化监测系统，对破坏森林资源行为及时发现、制止和上报，增强管护人员巡山的时效性，推进使用无人机应用于管护工作，提高森林管护效率，实现森林资源管护全覆盖。</w:t>
      </w:r>
    </w:p>
    <w:p w14:paraId="67FE042B">
      <w:pPr>
        <w:spacing w:line="360" w:lineRule="auto"/>
        <w:rPr>
          <w:rFonts w:eastAsia="仿宋_GB2312"/>
          <w:b/>
          <w:bCs/>
          <w:sz w:val="32"/>
          <w:szCs w:val="32"/>
        </w:rPr>
      </w:pPr>
      <w:r>
        <w:rPr>
          <w:rFonts w:eastAsia="仿宋_GB2312"/>
          <w:b/>
          <w:bCs/>
          <w:sz w:val="32"/>
          <w:szCs w:val="32"/>
        </w:rPr>
        <w:t>3.</w:t>
      </w:r>
      <w:r>
        <w:rPr>
          <w:rFonts w:hint="eastAsia" w:eastAsia="仿宋_GB2312"/>
          <w:b/>
          <w:bCs/>
          <w:sz w:val="32"/>
          <w:szCs w:val="32"/>
        </w:rPr>
        <w:t>3</w:t>
      </w:r>
      <w:r>
        <w:rPr>
          <w:rFonts w:eastAsia="仿宋_GB2312"/>
          <w:b/>
          <w:bCs/>
          <w:sz w:val="32"/>
          <w:szCs w:val="32"/>
        </w:rPr>
        <w:t>.2制约因素</w:t>
      </w:r>
    </w:p>
    <w:p w14:paraId="16F2C4C8">
      <w:pPr>
        <w:ind w:firstLine="640" w:firstLineChars="200"/>
        <w:rPr>
          <w:rFonts w:hint="eastAsia" w:ascii="仿宋_GB2312" w:eastAsia="仿宋_GB2312"/>
          <w:sz w:val="32"/>
        </w:rPr>
      </w:pPr>
      <w:r>
        <w:rPr>
          <w:rFonts w:hint="eastAsia" w:ascii="仿宋_GB2312" w:eastAsia="仿宋_GB2312"/>
          <w:sz w:val="32"/>
        </w:rPr>
        <w:t>三亚市林业“大资源、小产值、低效益”的状况仍突出，其制约林业产业发展主要</w:t>
      </w:r>
      <w:r>
        <w:rPr>
          <w:rFonts w:eastAsia="仿宋_GB2312"/>
          <w:sz w:val="32"/>
        </w:rPr>
        <w:t>因素有</w:t>
      </w:r>
      <w:r>
        <w:rPr>
          <w:rFonts w:hint="eastAsia" w:eastAsia="仿宋_GB2312"/>
          <w:sz w:val="32"/>
        </w:rPr>
        <w:t>4</w:t>
      </w:r>
      <w:r>
        <w:rPr>
          <w:rFonts w:eastAsia="仿宋_GB2312"/>
          <w:sz w:val="32"/>
        </w:rPr>
        <w:t>个方面</w:t>
      </w:r>
      <w:r>
        <w:rPr>
          <w:rFonts w:hint="eastAsia" w:ascii="仿宋_GB2312" w:eastAsia="仿宋_GB2312"/>
          <w:sz w:val="32"/>
        </w:rPr>
        <w:t>。</w:t>
      </w:r>
    </w:p>
    <w:p w14:paraId="7A73FA5B">
      <w:pPr>
        <w:ind w:firstLine="643" w:firstLineChars="200"/>
        <w:rPr>
          <w:rFonts w:hint="eastAsia" w:ascii="仿宋_GB2312" w:eastAsia="仿宋_GB2312"/>
          <w:b/>
          <w:sz w:val="32"/>
        </w:rPr>
      </w:pPr>
      <w:r>
        <w:rPr>
          <w:rFonts w:hint="eastAsia" w:eastAsia="仿宋_GB2312"/>
          <w:b/>
          <w:bCs/>
          <w:sz w:val="32"/>
          <w:szCs w:val="32"/>
        </w:rPr>
        <w:t>（1）</w:t>
      </w:r>
      <w:r>
        <w:rPr>
          <w:rFonts w:hint="eastAsia" w:ascii="仿宋_GB2312" w:eastAsia="仿宋_GB2312"/>
          <w:b/>
          <w:sz w:val="32"/>
        </w:rPr>
        <w:t>森林质量不优，保护与发展矛盾日益突出</w:t>
      </w:r>
    </w:p>
    <w:p w14:paraId="4E585CC2">
      <w:pPr>
        <w:ind w:firstLine="640" w:firstLineChars="200"/>
        <w:rPr>
          <w:rFonts w:hint="eastAsia" w:ascii="仿宋_GB2312" w:eastAsia="仿宋_GB2312"/>
          <w:sz w:val="32"/>
        </w:rPr>
      </w:pPr>
      <w:r>
        <w:rPr>
          <w:rFonts w:hint="eastAsia" w:ascii="仿宋_GB2312" w:eastAsia="仿宋_GB2312"/>
          <w:sz w:val="32"/>
        </w:rPr>
        <w:t>目前三亚林业仍面临着林相单一、树种结构不合理、</w:t>
      </w:r>
      <w:r>
        <w:rPr>
          <w:rFonts w:eastAsia="仿宋_GB2312"/>
          <w:sz w:val="32"/>
          <w:szCs w:val="30"/>
        </w:rPr>
        <w:t>混交林比重小、森林质量不高、用材林生产力低、低质低效林多、</w:t>
      </w:r>
      <w:r>
        <w:rPr>
          <w:rFonts w:hint="eastAsia" w:ascii="仿宋_GB2312" w:eastAsia="仿宋_GB2312"/>
          <w:sz w:val="32"/>
        </w:rPr>
        <w:t>单面面积蓄积量较低、经济林集约经营能力差</w:t>
      </w:r>
      <w:r>
        <w:rPr>
          <w:rFonts w:eastAsia="仿宋_GB2312"/>
          <w:sz w:val="32"/>
          <w:szCs w:val="30"/>
        </w:rPr>
        <w:t>等现实问题</w:t>
      </w:r>
      <w:r>
        <w:rPr>
          <w:rFonts w:hint="eastAsia" w:ascii="仿宋_GB2312" w:eastAsia="仿宋_GB2312"/>
          <w:sz w:val="32"/>
        </w:rPr>
        <w:t>较为突出，生态功能还未充分发挥及效益发挥不明显。造林绿化推进难度大，特色是新森林法实施后，在非规划林地上难以监督植树造林，加上农户造林积极性不高，农户多以经济效益驱使，多造经济树种少用造用材树种，对林分结构、林种布局、森林质量等方面势必会造成一定影响。</w:t>
      </w:r>
    </w:p>
    <w:p w14:paraId="2EEB674D">
      <w:pPr>
        <w:ind w:firstLine="640" w:firstLineChars="200"/>
        <w:rPr>
          <w:rFonts w:hint="eastAsia" w:ascii="仿宋_GB2312" w:eastAsia="仿宋_GB2312"/>
          <w:b/>
          <w:sz w:val="32"/>
        </w:rPr>
      </w:pPr>
      <w:r>
        <w:rPr>
          <w:rFonts w:eastAsia="仿宋_GB2312"/>
          <w:sz w:val="32"/>
          <w:szCs w:val="30"/>
        </w:rPr>
        <w:t>随着海南自由贸易港建设的加速推进，旅游开发力度不断加大，经济总量持续增加，人口密度日益增长</w:t>
      </w:r>
      <w:r>
        <w:rPr>
          <w:rFonts w:hint="eastAsia" w:eastAsia="仿宋_GB2312"/>
          <w:sz w:val="32"/>
          <w:szCs w:val="30"/>
        </w:rPr>
        <w:t>，</w:t>
      </w:r>
      <w:r>
        <w:rPr>
          <w:rFonts w:eastAsia="仿宋_GB2312"/>
          <w:sz w:val="32"/>
          <w:szCs w:val="30"/>
        </w:rPr>
        <w:t>生态环境保护压力增大；人地矛盾突出，部分生态脆弱区域实属困难造林地，只适宜开展生态保护，不宜开展植树造林，且非林地造林落实存在较大困难</w:t>
      </w:r>
      <w:r>
        <w:rPr>
          <w:rFonts w:hint="eastAsia" w:eastAsia="仿宋_GB2312"/>
          <w:sz w:val="32"/>
          <w:szCs w:val="30"/>
        </w:rPr>
        <w:t>，致使环境承载力持续加大，生态环境保护压力增大</w:t>
      </w:r>
      <w:r>
        <w:rPr>
          <w:rFonts w:eastAsia="仿宋_GB2312"/>
          <w:sz w:val="32"/>
          <w:szCs w:val="30"/>
        </w:rPr>
        <w:t>。</w:t>
      </w:r>
    </w:p>
    <w:p w14:paraId="17E6D33C">
      <w:pPr>
        <w:autoSpaceDE w:val="0"/>
        <w:autoSpaceDN w:val="0"/>
        <w:adjustRightInd w:val="0"/>
        <w:spacing w:line="360" w:lineRule="auto"/>
        <w:ind w:firstLine="643" w:firstLineChars="200"/>
        <w:rPr>
          <w:rFonts w:hint="eastAsia" w:ascii="仿宋_GB2312" w:eastAsia="仿宋_GB2312"/>
          <w:b/>
          <w:sz w:val="32"/>
        </w:rPr>
      </w:pPr>
      <w:r>
        <w:rPr>
          <w:rFonts w:hint="eastAsia" w:eastAsia="仿宋_GB2312"/>
          <w:b/>
          <w:bCs/>
          <w:sz w:val="32"/>
          <w:szCs w:val="32"/>
        </w:rPr>
        <w:t>（2）资</w:t>
      </w:r>
      <w:r>
        <w:rPr>
          <w:rFonts w:hint="eastAsia" w:ascii="仿宋_GB2312" w:eastAsia="仿宋_GB2312"/>
          <w:b/>
          <w:sz w:val="32"/>
        </w:rPr>
        <w:t>金投入不足，扶持政策不足</w:t>
      </w:r>
    </w:p>
    <w:p w14:paraId="0D426B9C">
      <w:pPr>
        <w:spacing w:line="360" w:lineRule="auto"/>
        <w:ind w:firstLine="640" w:firstLineChars="200"/>
        <w:rPr>
          <w:rFonts w:hint="eastAsia" w:eastAsia="仿宋_GB2312"/>
          <w:bCs/>
          <w:sz w:val="32"/>
          <w:szCs w:val="32"/>
        </w:rPr>
      </w:pPr>
      <w:r>
        <w:rPr>
          <w:rFonts w:hint="eastAsia" w:eastAsia="仿宋_GB2312"/>
          <w:bCs/>
          <w:sz w:val="32"/>
          <w:szCs w:val="32"/>
        </w:rPr>
        <w:t>资金投入不足，融资困难，是影响林业产业化发展的重要因素。由于缺乏足够的资金支持，造成林业项目的实施质量普遍不高。林农自身投入明显不足，加上林业发展的周期长、见效慢等特点，金融机构对林业发展前景暂不看好，林业企业融资渠道狭窄。其次，三亚林业产业协会尚未成立，导致行业管理功能缺失，各区产业发展状况监测不到位，国家和省政府的政策难以有效落实。扶持产业发展优惠政策，如</w:t>
      </w:r>
      <w:r>
        <w:rPr>
          <w:rFonts w:eastAsia="仿宋_GB2312"/>
          <w:sz w:val="32"/>
          <w:szCs w:val="32"/>
          <w:lang w:val="zh-CN"/>
        </w:rPr>
        <w:t>税费优惠、投融资等方面的支持政策尚不完善</w:t>
      </w:r>
      <w:r>
        <w:rPr>
          <w:rFonts w:hint="eastAsia" w:eastAsia="仿宋_GB2312"/>
          <w:sz w:val="32"/>
          <w:szCs w:val="32"/>
          <w:lang w:val="zh-CN"/>
        </w:rPr>
        <w:t>，</w:t>
      </w:r>
      <w:r>
        <w:rPr>
          <w:rFonts w:hint="eastAsia" w:eastAsia="仿宋_GB2312"/>
          <w:bCs/>
          <w:sz w:val="32"/>
          <w:szCs w:val="32"/>
        </w:rPr>
        <w:t>力度不足，促进产业发展激励机制少，社会对绿色产业投资动力不足。</w:t>
      </w:r>
    </w:p>
    <w:p w14:paraId="4826E5BC">
      <w:pPr>
        <w:spacing w:line="360" w:lineRule="auto"/>
        <w:ind w:firstLine="643" w:firstLineChars="200"/>
        <w:rPr>
          <w:rFonts w:eastAsia="仿宋_GB2312"/>
          <w:b/>
          <w:bCs/>
          <w:sz w:val="32"/>
          <w:szCs w:val="32"/>
        </w:rPr>
      </w:pPr>
      <w:r>
        <w:rPr>
          <w:rFonts w:hint="eastAsia" w:eastAsia="仿宋_GB2312"/>
          <w:b/>
          <w:bCs/>
          <w:sz w:val="32"/>
          <w:szCs w:val="32"/>
        </w:rPr>
        <w:t>（3）林业科技人才队伍不足，科学技术水平较低</w:t>
      </w:r>
    </w:p>
    <w:p w14:paraId="174841A1">
      <w:pPr>
        <w:autoSpaceDE w:val="0"/>
        <w:autoSpaceDN w:val="0"/>
        <w:adjustRightInd w:val="0"/>
        <w:ind w:firstLine="640" w:firstLineChars="200"/>
        <w:rPr>
          <w:rFonts w:hint="eastAsia" w:ascii="仿宋_GB2312" w:eastAsia="仿宋_GB2312"/>
          <w:sz w:val="32"/>
        </w:rPr>
      </w:pPr>
      <w:r>
        <w:rPr>
          <w:rFonts w:hint="eastAsia" w:eastAsia="仿宋_GB2312"/>
          <w:bCs/>
          <w:sz w:val="32"/>
          <w:szCs w:val="32"/>
        </w:rPr>
        <w:t>目前，三亚市基层林业系统普遍存在人才层次地、专业性不强、科技推广体系不够完善，林业产业科技含量低。市林业局为机关单位，下属二级事业单位5个，专业技术人员不足50人，</w:t>
      </w:r>
      <w:r>
        <w:rPr>
          <w:rFonts w:hint="eastAsia" w:ascii="仿宋_GB2312" w:eastAsia="仿宋_GB2312"/>
          <w:sz w:val="32"/>
        </w:rPr>
        <w:t>缺乏林业高新技术人才</w:t>
      </w:r>
      <w:r>
        <w:rPr>
          <w:rFonts w:hint="eastAsia" w:eastAsia="仿宋_GB2312"/>
          <w:bCs/>
          <w:sz w:val="32"/>
          <w:szCs w:val="32"/>
        </w:rPr>
        <w:t>。在林业管理人才方面，现有干部队伍结构和素质不能很好地适应现代林业发展需求，对现代化科技产品接受能力不强，难以胜任新时期林业建设、保护和管理工作。在林业科技人才方面，存在体制不够完善、机制不够灵活、待遇偏低等问题，导致难以吸引高素质人才。特别在当前林业信息化、智慧化的背景下，严重制约林业科技关键技术攻关和推广应用，给新时期林业高质量发展带来新堡垒。</w:t>
      </w:r>
      <w:r>
        <w:rPr>
          <w:rFonts w:hint="eastAsia" w:ascii="仿宋_GB2312" w:eastAsia="仿宋_GB2312"/>
          <w:sz w:val="32"/>
        </w:rPr>
        <w:t xml:space="preserve"> </w:t>
      </w:r>
    </w:p>
    <w:p w14:paraId="4A0A7948">
      <w:pPr>
        <w:spacing w:line="360" w:lineRule="auto"/>
        <w:ind w:firstLine="643" w:firstLineChars="200"/>
        <w:rPr>
          <w:rFonts w:hint="eastAsia" w:eastAsia="仿宋_GB2312"/>
          <w:b/>
          <w:bCs/>
          <w:sz w:val="32"/>
          <w:szCs w:val="32"/>
        </w:rPr>
      </w:pPr>
      <w:r>
        <w:rPr>
          <w:rFonts w:hint="eastAsia" w:eastAsia="仿宋_GB2312"/>
          <w:b/>
          <w:bCs/>
          <w:sz w:val="32"/>
          <w:szCs w:val="32"/>
        </w:rPr>
        <w:t>（4）产业发展战略研究少，对策不多</w:t>
      </w:r>
    </w:p>
    <w:p w14:paraId="0EDB970D">
      <w:pPr>
        <w:spacing w:line="360" w:lineRule="auto"/>
        <w:ind w:firstLine="640" w:firstLineChars="200"/>
        <w:rPr>
          <w:rFonts w:hint="eastAsia" w:eastAsia="仿宋_GB2312"/>
          <w:bCs/>
          <w:sz w:val="32"/>
          <w:szCs w:val="32"/>
        </w:rPr>
      </w:pPr>
      <w:r>
        <w:rPr>
          <w:rFonts w:hint="eastAsia" w:eastAsia="仿宋_GB2312"/>
          <w:bCs/>
          <w:sz w:val="32"/>
          <w:szCs w:val="32"/>
        </w:rPr>
        <w:t>林业产业作为一个新兴产业，林业产业的发展规律、发展战略等宏观方面研究较为缺乏，发展中出现的一些问题，解决对策不对。如：市场问题是影响三亚市林业产业化发展的瓶颈之一。</w:t>
      </w:r>
      <w:r>
        <w:rPr>
          <w:rFonts w:eastAsia="仿宋_GB2312"/>
          <w:sz w:val="32"/>
          <w:szCs w:val="32"/>
          <w:lang w:val="zh-CN"/>
        </w:rPr>
        <w:t>某些项目效益好，就高度集中一窝蜂地上马，导致短期内出现资源不足、产能过剩、销售不畅、效益降低等问题。</w:t>
      </w:r>
      <w:r>
        <w:rPr>
          <w:rFonts w:hint="eastAsia" w:eastAsia="仿宋_GB2312"/>
          <w:bCs/>
          <w:sz w:val="32"/>
          <w:szCs w:val="32"/>
        </w:rPr>
        <w:t>生态体验基础设施缺乏，生态资源还未有效转化为优质的生态产品和公共服务，生态服务功能价值未充分体现和量化。</w:t>
      </w:r>
    </w:p>
    <w:p w14:paraId="193E83AC">
      <w:pPr>
        <w:rPr>
          <w:rFonts w:hint="eastAsia" w:eastAsia="仿宋_GB2312"/>
          <w:bCs/>
          <w:sz w:val="32"/>
          <w:szCs w:val="32"/>
        </w:rPr>
      </w:pPr>
    </w:p>
    <w:p w14:paraId="0E4E2EEF">
      <w:pPr>
        <w:pStyle w:val="15"/>
        <w:rPr>
          <w:rFonts w:eastAsia="仿宋_GB2312"/>
          <w:lang w:val="zh-CN"/>
        </w:rPr>
        <w:sectPr>
          <w:pgSz w:w="11906" w:h="16838"/>
          <w:pgMar w:top="1440" w:right="1800" w:bottom="1440" w:left="1800" w:header="851" w:footer="992" w:gutter="0"/>
          <w:cols w:space="720" w:num="1"/>
          <w:docGrid w:type="lines" w:linePitch="312" w:charSpace="0"/>
        </w:sectPr>
      </w:pPr>
    </w:p>
    <w:p w14:paraId="686B4B4E">
      <w:pPr>
        <w:pStyle w:val="15"/>
        <w:rPr>
          <w:rFonts w:ascii="Times New Roman" w:hAnsi="Times New Roman" w:eastAsia="黑体"/>
          <w:sz w:val="36"/>
        </w:rPr>
      </w:pPr>
      <w:bookmarkStart w:id="46" w:name="_Toc82546069"/>
      <w:r>
        <w:rPr>
          <w:rFonts w:ascii="Times New Roman" w:hAnsi="Times New Roman" w:eastAsia="黑体"/>
          <w:sz w:val="36"/>
        </w:rPr>
        <w:t>第四章 规划总体思路</w:t>
      </w:r>
      <w:bookmarkEnd w:id="46"/>
    </w:p>
    <w:p w14:paraId="7734F049">
      <w:pPr>
        <w:pStyle w:val="3"/>
        <w:spacing w:before="312" w:beforeLines="100" w:after="0" w:line="240" w:lineRule="auto"/>
        <w:rPr>
          <w:rFonts w:ascii="Times New Roman" w:hAnsi="Times New Roman" w:eastAsia="黑体"/>
        </w:rPr>
      </w:pPr>
      <w:bookmarkStart w:id="47" w:name="_Toc82546070"/>
      <w:r>
        <w:rPr>
          <w:rFonts w:ascii="Times New Roman" w:hAnsi="Times New Roman" w:eastAsia="黑体"/>
        </w:rPr>
        <w:t>4.1 指导思想</w:t>
      </w:r>
      <w:bookmarkEnd w:id="47"/>
    </w:p>
    <w:p w14:paraId="44F31183">
      <w:pPr>
        <w:ind w:firstLine="641"/>
        <w:rPr>
          <w:rFonts w:eastAsia="仿宋_GB2312"/>
          <w:sz w:val="32"/>
          <w:szCs w:val="32"/>
        </w:rPr>
      </w:pPr>
      <w:r>
        <w:rPr>
          <w:rFonts w:hint="eastAsia" w:eastAsia="仿宋_GB2312"/>
          <w:sz w:val="32"/>
          <w:szCs w:val="32"/>
        </w:rPr>
        <w:t>以习近平新时代中国特色社会主义思想和习近平生态文明思想为指导，深入贯彻落实习近平总书记在庆祝海南建省办经济特区30周年大会上的重要讲话精神、中央12号文件，以及十九大和十九届二中、三中、四中、五中、六中全会精神，坚持新发展理念，坚持节约资源和保护环境的基本国策，牢固树立创新、协调、绿色、开放、共享五个发展理念，按照海南“三区一中心”战略定位，以提高发展质量和效益为中心，以转变发展方式为主线；以“加快转型升级，建设美丽三亚”为核心；以建立发达的绿色产业体系为战略目标；以市场为导向、创新为动力、科技为支撑，建立绿色产业联盟，在海南自由贸易港建设中大力推动林业产业的发展，充分发挥林业生态资源优势、满足社会对林产品的多样性需求，不断推动农民增收，加快推进林业资源的综合利用，努力提高产业品质，完成产业的转型升级，实现林业产业的三大效益的最大化，保障林业产业又好又快发展。</w:t>
      </w:r>
    </w:p>
    <w:p w14:paraId="3BF3A522">
      <w:pPr>
        <w:pStyle w:val="3"/>
        <w:spacing w:before="156" w:beforeLines="50" w:after="0" w:line="240" w:lineRule="auto"/>
        <w:rPr>
          <w:rFonts w:ascii="Times New Roman" w:hAnsi="Times New Roman" w:eastAsia="仿宋_GB2312"/>
        </w:rPr>
      </w:pPr>
      <w:bookmarkStart w:id="48" w:name="_Toc82546071"/>
      <w:r>
        <w:rPr>
          <w:rFonts w:ascii="Times New Roman" w:hAnsi="Times New Roman" w:eastAsia="黑体"/>
        </w:rPr>
        <w:t>4.</w:t>
      </w:r>
      <w:r>
        <w:rPr>
          <w:rFonts w:hint="eastAsia" w:ascii="Times New Roman" w:hAnsi="Times New Roman" w:eastAsia="黑体"/>
        </w:rPr>
        <w:t>2</w:t>
      </w:r>
      <w:r>
        <w:rPr>
          <w:rFonts w:ascii="Times New Roman" w:hAnsi="Times New Roman" w:eastAsia="黑体"/>
        </w:rPr>
        <w:t xml:space="preserve"> 规划目标</w:t>
      </w:r>
      <w:bookmarkEnd w:id="48"/>
    </w:p>
    <w:p w14:paraId="0D12DB54">
      <w:pPr>
        <w:rPr>
          <w:rFonts w:eastAsia="仿宋_GB2312"/>
          <w:b/>
          <w:bCs/>
          <w:sz w:val="32"/>
          <w:szCs w:val="32"/>
        </w:rPr>
      </w:pPr>
      <w:r>
        <w:rPr>
          <w:rFonts w:eastAsia="仿宋_GB2312"/>
          <w:b/>
          <w:bCs/>
          <w:sz w:val="32"/>
          <w:szCs w:val="32"/>
        </w:rPr>
        <w:t>4.</w:t>
      </w:r>
      <w:r>
        <w:rPr>
          <w:rFonts w:hint="eastAsia" w:eastAsia="仿宋_GB2312"/>
          <w:b/>
          <w:bCs/>
          <w:sz w:val="32"/>
          <w:szCs w:val="32"/>
        </w:rPr>
        <w:t>2</w:t>
      </w:r>
      <w:r>
        <w:rPr>
          <w:rFonts w:eastAsia="仿宋_GB2312"/>
          <w:b/>
          <w:bCs/>
          <w:sz w:val="32"/>
          <w:szCs w:val="32"/>
        </w:rPr>
        <w:t>.1 近期（2021</w:t>
      </w:r>
      <w:r>
        <w:rPr>
          <w:rFonts w:hint="eastAsia" w:eastAsia="仿宋_GB2312"/>
          <w:b/>
          <w:bCs/>
          <w:sz w:val="32"/>
          <w:szCs w:val="32"/>
        </w:rPr>
        <w:t>~</w:t>
      </w:r>
      <w:r>
        <w:rPr>
          <w:rFonts w:eastAsia="仿宋_GB2312"/>
          <w:b/>
          <w:bCs/>
          <w:sz w:val="32"/>
          <w:szCs w:val="32"/>
        </w:rPr>
        <w:t>2025年）目标</w:t>
      </w:r>
    </w:p>
    <w:p w14:paraId="2774CE0E">
      <w:pPr>
        <w:ind w:firstLine="640" w:firstLineChars="200"/>
        <w:rPr>
          <w:rFonts w:eastAsia="仿宋_GB2312"/>
          <w:sz w:val="32"/>
          <w:szCs w:val="32"/>
        </w:rPr>
      </w:pPr>
      <w:r>
        <w:rPr>
          <w:rFonts w:eastAsia="仿宋_GB2312"/>
          <w:sz w:val="32"/>
          <w:szCs w:val="32"/>
        </w:rPr>
        <w:t>到2025年，</w:t>
      </w:r>
      <w:r>
        <w:rPr>
          <w:rFonts w:eastAsia="仿宋_GB2312"/>
          <w:b/>
          <w:sz w:val="32"/>
          <w:szCs w:val="32"/>
        </w:rPr>
        <w:t>在林业生态建设方面</w:t>
      </w:r>
      <w:r>
        <w:rPr>
          <w:rFonts w:eastAsia="仿宋_GB2312"/>
          <w:sz w:val="32"/>
          <w:szCs w:val="32"/>
        </w:rPr>
        <w:t>，应严格生态保护空间格局，积极开展森林生态系统与湿地生态系统的保护与恢复</w:t>
      </w:r>
      <w:r>
        <w:rPr>
          <w:rFonts w:hint="eastAsia" w:eastAsia="仿宋_GB2312"/>
          <w:sz w:val="32"/>
          <w:szCs w:val="32"/>
        </w:rPr>
        <w:t>。</w:t>
      </w:r>
      <w:r>
        <w:rPr>
          <w:rFonts w:eastAsia="仿宋_GB2312"/>
          <w:b/>
          <w:sz w:val="32"/>
          <w:szCs w:val="32"/>
        </w:rPr>
        <w:t>在林业产业建设方面</w:t>
      </w:r>
      <w:r>
        <w:rPr>
          <w:rFonts w:eastAsia="仿宋_GB2312"/>
          <w:sz w:val="32"/>
          <w:szCs w:val="32"/>
        </w:rPr>
        <w:t>，以</w:t>
      </w:r>
      <w:r>
        <w:rPr>
          <w:rFonts w:hint="eastAsia" w:eastAsia="仿宋_GB2312"/>
          <w:sz w:val="32"/>
          <w:szCs w:val="32"/>
        </w:rPr>
        <w:t>创新</w:t>
      </w:r>
      <w:r>
        <w:rPr>
          <w:rFonts w:eastAsia="仿宋_GB2312"/>
          <w:sz w:val="32"/>
          <w:szCs w:val="32"/>
        </w:rPr>
        <w:t>发展的林业绿色产业体系为目标，坚持发展特色林业产品，持续森林与湿地生态旅游基地、林产种植基地及林产品采集加工集群的建设，强调林业种植与文化产业及森林旅游的融合发展。</w:t>
      </w:r>
      <w:r>
        <w:rPr>
          <w:rFonts w:eastAsia="仿宋_GB2312"/>
          <w:b/>
          <w:sz w:val="32"/>
          <w:szCs w:val="32"/>
        </w:rPr>
        <w:t>在生态文</w:t>
      </w:r>
      <w:r>
        <w:rPr>
          <w:rFonts w:hint="eastAsia" w:eastAsia="仿宋_GB2312"/>
          <w:b/>
          <w:sz w:val="32"/>
          <w:szCs w:val="32"/>
        </w:rPr>
        <w:t>明</w:t>
      </w:r>
      <w:r>
        <w:rPr>
          <w:rFonts w:eastAsia="仿宋_GB2312"/>
          <w:b/>
          <w:sz w:val="32"/>
          <w:szCs w:val="32"/>
        </w:rPr>
        <w:t>建设方面</w:t>
      </w:r>
      <w:r>
        <w:rPr>
          <w:rFonts w:eastAsia="仿宋_GB2312"/>
          <w:sz w:val="32"/>
          <w:szCs w:val="32"/>
        </w:rPr>
        <w:t>，加强生态文明教育基地的建设，深度挖掘特色森林产业文化内涵，加大对民众生态文明理念的宣传</w:t>
      </w:r>
      <w:r>
        <w:rPr>
          <w:rFonts w:hint="eastAsia" w:eastAsia="仿宋_GB2312"/>
          <w:sz w:val="32"/>
          <w:szCs w:val="32"/>
        </w:rPr>
        <w:t>。</w:t>
      </w:r>
      <w:r>
        <w:rPr>
          <w:rFonts w:eastAsia="仿宋_GB2312"/>
          <w:sz w:val="32"/>
          <w:szCs w:val="32"/>
        </w:rPr>
        <w:t xml:space="preserve">加强森林资源保护和管理建设及林业支撑能力和基础设施建设，将三亚打造成为森林环境优美、林业产业类型丰富、生态文化底蕴浓厚、林业支撑体系完备的“生态基地、林产旺地、宜居福地”。 </w:t>
      </w:r>
    </w:p>
    <w:p w14:paraId="4711ACD4">
      <w:pPr>
        <w:spacing w:before="156" w:beforeLines="50"/>
        <w:rPr>
          <w:rFonts w:eastAsia="仿宋_GB2312"/>
          <w:b/>
          <w:bCs/>
          <w:sz w:val="32"/>
          <w:szCs w:val="32"/>
        </w:rPr>
      </w:pPr>
      <w:r>
        <w:rPr>
          <w:rFonts w:eastAsia="仿宋_GB2312"/>
          <w:b/>
          <w:bCs/>
          <w:sz w:val="32"/>
          <w:szCs w:val="32"/>
        </w:rPr>
        <w:t>4.</w:t>
      </w:r>
      <w:r>
        <w:rPr>
          <w:rFonts w:hint="eastAsia" w:eastAsia="仿宋_GB2312"/>
          <w:b/>
          <w:bCs/>
          <w:sz w:val="32"/>
          <w:szCs w:val="32"/>
        </w:rPr>
        <w:t>2</w:t>
      </w:r>
      <w:r>
        <w:rPr>
          <w:rFonts w:eastAsia="仿宋_GB2312"/>
          <w:b/>
          <w:bCs/>
          <w:sz w:val="32"/>
          <w:szCs w:val="32"/>
        </w:rPr>
        <w:t>.2 中长期（202</w:t>
      </w:r>
      <w:r>
        <w:rPr>
          <w:rFonts w:hint="eastAsia" w:eastAsia="仿宋_GB2312"/>
          <w:b/>
          <w:bCs/>
          <w:sz w:val="32"/>
          <w:szCs w:val="32"/>
        </w:rPr>
        <w:t>6~</w:t>
      </w:r>
      <w:r>
        <w:rPr>
          <w:rFonts w:eastAsia="仿宋_GB2312"/>
          <w:b/>
          <w:bCs/>
          <w:sz w:val="32"/>
          <w:szCs w:val="32"/>
        </w:rPr>
        <w:t>2035年）目标</w:t>
      </w:r>
    </w:p>
    <w:p w14:paraId="0C200E45">
      <w:pPr>
        <w:ind w:firstLine="640" w:firstLineChars="200"/>
        <w:rPr>
          <w:rFonts w:hint="eastAsia" w:eastAsia="仿宋_GB2312"/>
          <w:sz w:val="32"/>
          <w:szCs w:val="32"/>
        </w:rPr>
      </w:pPr>
      <w:r>
        <w:rPr>
          <w:rFonts w:eastAsia="仿宋_GB2312"/>
          <w:sz w:val="32"/>
          <w:szCs w:val="32"/>
        </w:rPr>
        <w:t>到2035年，创建生态文明制度体系领先的地位，以国内大循环为主</w:t>
      </w:r>
      <w:r>
        <w:rPr>
          <w:rFonts w:hint="eastAsia" w:eastAsia="仿宋_GB2312"/>
          <w:sz w:val="32"/>
          <w:szCs w:val="32"/>
        </w:rPr>
        <w:t>体</w:t>
      </w:r>
      <w:r>
        <w:rPr>
          <w:rFonts w:eastAsia="仿宋_GB2312"/>
          <w:sz w:val="32"/>
          <w:szCs w:val="32"/>
        </w:rPr>
        <w:t>，坚持目标导向和问题导向相结合</w:t>
      </w:r>
      <w:r>
        <w:rPr>
          <w:rFonts w:hint="eastAsia" w:eastAsia="仿宋_GB2312"/>
          <w:sz w:val="32"/>
          <w:szCs w:val="32"/>
        </w:rPr>
        <w:t>，</w:t>
      </w:r>
      <w:r>
        <w:rPr>
          <w:rFonts w:eastAsia="仿宋_GB2312"/>
          <w:sz w:val="32"/>
          <w:szCs w:val="32"/>
        </w:rPr>
        <w:t>加快发展森林旅游业、康养</w:t>
      </w:r>
      <w:r>
        <w:rPr>
          <w:rFonts w:hint="eastAsia" w:eastAsia="仿宋_GB2312"/>
          <w:sz w:val="32"/>
          <w:szCs w:val="32"/>
        </w:rPr>
        <w:t>、</w:t>
      </w:r>
      <w:r>
        <w:rPr>
          <w:rFonts w:eastAsia="仿宋_GB2312"/>
          <w:sz w:val="32"/>
          <w:szCs w:val="32"/>
        </w:rPr>
        <w:t>林产品市场交易产业集群和高新技术产业，做强做优热带特色高效林农产业，产业竞争力显著提升，争取进入创新型城市行列，打造全国经济高质量发展地标，全面推进林业科技发展上新台阶，打造海南特色自由贸易港和国家生态文明试验区建设的靓丽名片。</w:t>
      </w:r>
    </w:p>
    <w:p w14:paraId="44D02AF5">
      <w:pPr>
        <w:spacing w:line="360" w:lineRule="auto"/>
        <w:jc w:val="center"/>
        <w:rPr>
          <w:b/>
          <w:sz w:val="28"/>
          <w:szCs w:val="32"/>
        </w:rPr>
      </w:pPr>
      <w:r>
        <w:rPr>
          <w:b/>
          <w:sz w:val="28"/>
          <w:szCs w:val="32"/>
        </w:rPr>
        <w:t>表4-1  主要规划指标一览表</w:t>
      </w:r>
    </w:p>
    <w:tbl>
      <w:tblPr>
        <w:tblStyle w:val="18"/>
        <w:tblW w:w="8599" w:type="dxa"/>
        <w:tblInd w:w="93" w:type="dxa"/>
        <w:tblLayout w:type="fixed"/>
        <w:tblCellMar>
          <w:top w:w="0" w:type="dxa"/>
          <w:left w:w="108" w:type="dxa"/>
          <w:bottom w:w="0" w:type="dxa"/>
          <w:right w:w="108" w:type="dxa"/>
        </w:tblCellMar>
      </w:tblPr>
      <w:tblGrid>
        <w:gridCol w:w="866"/>
        <w:gridCol w:w="3827"/>
        <w:gridCol w:w="1276"/>
        <w:gridCol w:w="1418"/>
        <w:gridCol w:w="1212"/>
      </w:tblGrid>
      <w:tr w14:paraId="6727C48F">
        <w:tblPrEx>
          <w:tblCellMar>
            <w:top w:w="0" w:type="dxa"/>
            <w:left w:w="108" w:type="dxa"/>
            <w:bottom w:w="0" w:type="dxa"/>
            <w:right w:w="108" w:type="dxa"/>
          </w:tblCellMar>
        </w:tblPrEx>
        <w:trPr>
          <w:trHeight w:val="680" w:hRule="atLeast"/>
          <w:tblHeader/>
        </w:trPr>
        <w:tc>
          <w:tcPr>
            <w:tcW w:w="866" w:type="dxa"/>
            <w:tcBorders>
              <w:top w:val="single" w:color="auto" w:sz="4" w:space="0"/>
              <w:left w:val="single" w:color="auto" w:sz="4" w:space="0"/>
              <w:bottom w:val="single" w:color="auto" w:sz="4" w:space="0"/>
              <w:right w:val="single" w:color="auto" w:sz="4" w:space="0"/>
            </w:tcBorders>
            <w:noWrap/>
            <w:vAlign w:val="center"/>
          </w:tcPr>
          <w:p w14:paraId="010CD432">
            <w:pPr>
              <w:widowControl/>
              <w:jc w:val="center"/>
              <w:rPr>
                <w:b/>
                <w:bCs/>
                <w:kern w:val="0"/>
                <w:sz w:val="28"/>
                <w:szCs w:val="28"/>
              </w:rPr>
            </w:pPr>
            <w:r>
              <w:rPr>
                <w:b/>
                <w:bCs/>
                <w:kern w:val="0"/>
                <w:sz w:val="28"/>
                <w:szCs w:val="28"/>
              </w:rPr>
              <w:t>类别</w:t>
            </w:r>
          </w:p>
        </w:tc>
        <w:tc>
          <w:tcPr>
            <w:tcW w:w="3827" w:type="dxa"/>
            <w:tcBorders>
              <w:top w:val="single" w:color="auto" w:sz="4" w:space="0"/>
              <w:left w:val="nil"/>
              <w:bottom w:val="single" w:color="auto" w:sz="4" w:space="0"/>
              <w:right w:val="single" w:color="auto" w:sz="4" w:space="0"/>
            </w:tcBorders>
            <w:noWrap/>
            <w:vAlign w:val="center"/>
          </w:tcPr>
          <w:p w14:paraId="643537D0">
            <w:pPr>
              <w:widowControl/>
              <w:jc w:val="center"/>
              <w:rPr>
                <w:b/>
                <w:bCs/>
                <w:kern w:val="0"/>
                <w:sz w:val="28"/>
                <w:szCs w:val="28"/>
              </w:rPr>
            </w:pPr>
            <w:r>
              <w:rPr>
                <w:b/>
                <w:bCs/>
                <w:kern w:val="0"/>
                <w:sz w:val="28"/>
                <w:szCs w:val="28"/>
              </w:rPr>
              <w:t>指标</w:t>
            </w:r>
          </w:p>
        </w:tc>
        <w:tc>
          <w:tcPr>
            <w:tcW w:w="1276" w:type="dxa"/>
            <w:tcBorders>
              <w:top w:val="single" w:color="auto" w:sz="4" w:space="0"/>
              <w:left w:val="nil"/>
              <w:bottom w:val="single" w:color="auto" w:sz="4" w:space="0"/>
              <w:right w:val="single" w:color="auto" w:sz="4" w:space="0"/>
            </w:tcBorders>
            <w:noWrap/>
            <w:vAlign w:val="center"/>
          </w:tcPr>
          <w:p w14:paraId="68AB0280">
            <w:pPr>
              <w:widowControl/>
              <w:jc w:val="center"/>
              <w:rPr>
                <w:b/>
                <w:bCs/>
                <w:kern w:val="0"/>
                <w:sz w:val="28"/>
                <w:szCs w:val="28"/>
              </w:rPr>
            </w:pPr>
            <w:r>
              <w:rPr>
                <w:b/>
                <w:bCs/>
                <w:kern w:val="0"/>
                <w:sz w:val="28"/>
                <w:szCs w:val="28"/>
              </w:rPr>
              <w:t>2020年</w:t>
            </w:r>
          </w:p>
        </w:tc>
        <w:tc>
          <w:tcPr>
            <w:tcW w:w="1418" w:type="dxa"/>
            <w:tcBorders>
              <w:top w:val="single" w:color="auto" w:sz="4" w:space="0"/>
              <w:left w:val="nil"/>
              <w:bottom w:val="single" w:color="auto" w:sz="4" w:space="0"/>
              <w:right w:val="single" w:color="auto" w:sz="4" w:space="0"/>
            </w:tcBorders>
            <w:noWrap/>
            <w:vAlign w:val="center"/>
          </w:tcPr>
          <w:p w14:paraId="038BC8F0">
            <w:pPr>
              <w:widowControl/>
              <w:jc w:val="center"/>
              <w:rPr>
                <w:b/>
                <w:bCs/>
                <w:kern w:val="0"/>
                <w:sz w:val="28"/>
                <w:szCs w:val="28"/>
              </w:rPr>
            </w:pPr>
            <w:r>
              <w:rPr>
                <w:b/>
                <w:bCs/>
                <w:kern w:val="0"/>
                <w:sz w:val="28"/>
                <w:szCs w:val="28"/>
              </w:rPr>
              <w:t>2025年</w:t>
            </w:r>
          </w:p>
        </w:tc>
        <w:tc>
          <w:tcPr>
            <w:tcW w:w="1212" w:type="dxa"/>
            <w:tcBorders>
              <w:top w:val="single" w:color="auto" w:sz="4" w:space="0"/>
              <w:left w:val="nil"/>
              <w:bottom w:val="single" w:color="auto" w:sz="4" w:space="0"/>
              <w:right w:val="single" w:color="auto" w:sz="4" w:space="0"/>
            </w:tcBorders>
            <w:noWrap/>
            <w:vAlign w:val="center"/>
          </w:tcPr>
          <w:p w14:paraId="24A849E6">
            <w:pPr>
              <w:widowControl/>
              <w:jc w:val="center"/>
              <w:rPr>
                <w:b/>
                <w:bCs/>
                <w:kern w:val="0"/>
                <w:sz w:val="28"/>
                <w:szCs w:val="28"/>
              </w:rPr>
            </w:pPr>
            <w:r>
              <w:rPr>
                <w:b/>
                <w:bCs/>
                <w:kern w:val="0"/>
                <w:sz w:val="28"/>
                <w:szCs w:val="28"/>
              </w:rPr>
              <w:t>2035年</w:t>
            </w:r>
          </w:p>
        </w:tc>
      </w:tr>
      <w:tr w14:paraId="1163B38E">
        <w:tblPrEx>
          <w:tblCellMar>
            <w:top w:w="0" w:type="dxa"/>
            <w:left w:w="108" w:type="dxa"/>
            <w:bottom w:w="0" w:type="dxa"/>
            <w:right w:w="108" w:type="dxa"/>
          </w:tblCellMar>
        </w:tblPrEx>
        <w:trPr>
          <w:trHeight w:val="398" w:hRule="atLeast"/>
        </w:trPr>
        <w:tc>
          <w:tcPr>
            <w:tcW w:w="866" w:type="dxa"/>
            <w:vMerge w:val="restart"/>
            <w:tcBorders>
              <w:top w:val="nil"/>
              <w:left w:val="single" w:color="auto" w:sz="4" w:space="0"/>
              <w:bottom w:val="single" w:color="000000" w:sz="4" w:space="0"/>
              <w:right w:val="single" w:color="auto" w:sz="4" w:space="0"/>
            </w:tcBorders>
            <w:noWrap/>
            <w:vAlign w:val="center"/>
          </w:tcPr>
          <w:p w14:paraId="7BAC9124">
            <w:pPr>
              <w:widowControl/>
              <w:jc w:val="center"/>
              <w:rPr>
                <w:kern w:val="0"/>
                <w:sz w:val="28"/>
                <w:szCs w:val="28"/>
              </w:rPr>
            </w:pPr>
            <w:r>
              <w:rPr>
                <w:kern w:val="0"/>
                <w:sz w:val="28"/>
                <w:szCs w:val="28"/>
              </w:rPr>
              <w:t>资源基础</w:t>
            </w:r>
          </w:p>
        </w:tc>
        <w:tc>
          <w:tcPr>
            <w:tcW w:w="3827" w:type="dxa"/>
            <w:tcBorders>
              <w:top w:val="nil"/>
              <w:left w:val="nil"/>
              <w:bottom w:val="single" w:color="auto" w:sz="4" w:space="0"/>
              <w:right w:val="single" w:color="auto" w:sz="4" w:space="0"/>
            </w:tcBorders>
            <w:noWrap/>
            <w:vAlign w:val="center"/>
          </w:tcPr>
          <w:p w14:paraId="26490133">
            <w:pPr>
              <w:widowControl/>
              <w:jc w:val="center"/>
              <w:rPr>
                <w:kern w:val="0"/>
                <w:sz w:val="28"/>
                <w:szCs w:val="28"/>
              </w:rPr>
            </w:pPr>
            <w:r>
              <w:rPr>
                <w:kern w:val="0"/>
                <w:sz w:val="28"/>
                <w:szCs w:val="28"/>
              </w:rPr>
              <w:t>森林覆盖率（%）</w:t>
            </w:r>
          </w:p>
        </w:tc>
        <w:tc>
          <w:tcPr>
            <w:tcW w:w="1276" w:type="dxa"/>
            <w:tcBorders>
              <w:top w:val="nil"/>
              <w:left w:val="nil"/>
              <w:bottom w:val="single" w:color="auto" w:sz="4" w:space="0"/>
              <w:right w:val="single" w:color="auto" w:sz="4" w:space="0"/>
            </w:tcBorders>
            <w:noWrap/>
            <w:vAlign w:val="center"/>
          </w:tcPr>
          <w:p w14:paraId="59BFC363">
            <w:pPr>
              <w:widowControl/>
              <w:jc w:val="center"/>
              <w:rPr>
                <w:kern w:val="0"/>
                <w:sz w:val="28"/>
                <w:szCs w:val="28"/>
              </w:rPr>
            </w:pPr>
            <w:r>
              <w:rPr>
                <w:rFonts w:hint="eastAsia"/>
                <w:kern w:val="0"/>
                <w:sz w:val="28"/>
                <w:szCs w:val="28"/>
              </w:rPr>
              <w:t>70.08</w:t>
            </w:r>
          </w:p>
        </w:tc>
        <w:tc>
          <w:tcPr>
            <w:tcW w:w="1418" w:type="dxa"/>
            <w:tcBorders>
              <w:top w:val="nil"/>
              <w:left w:val="nil"/>
              <w:bottom w:val="single" w:color="auto" w:sz="4" w:space="0"/>
              <w:right w:val="single" w:color="auto" w:sz="4" w:space="0"/>
            </w:tcBorders>
            <w:noWrap/>
            <w:vAlign w:val="center"/>
          </w:tcPr>
          <w:p w14:paraId="2CB7A035">
            <w:pPr>
              <w:widowControl/>
              <w:jc w:val="center"/>
              <w:rPr>
                <w:kern w:val="0"/>
                <w:sz w:val="28"/>
                <w:szCs w:val="28"/>
              </w:rPr>
            </w:pPr>
            <w:r>
              <w:rPr>
                <w:kern w:val="0"/>
                <w:sz w:val="28"/>
                <w:szCs w:val="28"/>
              </w:rPr>
              <w:t>≥</w:t>
            </w:r>
            <w:r>
              <w:rPr>
                <w:rFonts w:hint="eastAsia"/>
                <w:kern w:val="0"/>
                <w:sz w:val="28"/>
                <w:szCs w:val="28"/>
              </w:rPr>
              <w:t>68.2</w:t>
            </w:r>
          </w:p>
        </w:tc>
        <w:tc>
          <w:tcPr>
            <w:tcW w:w="1212" w:type="dxa"/>
            <w:tcBorders>
              <w:top w:val="nil"/>
              <w:left w:val="nil"/>
              <w:bottom w:val="single" w:color="auto" w:sz="4" w:space="0"/>
              <w:right w:val="single" w:color="auto" w:sz="4" w:space="0"/>
            </w:tcBorders>
            <w:noWrap/>
            <w:vAlign w:val="center"/>
          </w:tcPr>
          <w:p w14:paraId="1B89D2AB">
            <w:pPr>
              <w:widowControl/>
              <w:jc w:val="center"/>
              <w:rPr>
                <w:kern w:val="0"/>
                <w:sz w:val="28"/>
                <w:szCs w:val="28"/>
              </w:rPr>
            </w:pPr>
            <w:r>
              <w:rPr>
                <w:kern w:val="0"/>
                <w:sz w:val="28"/>
                <w:szCs w:val="28"/>
              </w:rPr>
              <w:t>≥</w:t>
            </w:r>
            <w:r>
              <w:rPr>
                <w:rFonts w:hint="eastAsia"/>
                <w:kern w:val="0"/>
                <w:sz w:val="28"/>
                <w:szCs w:val="28"/>
              </w:rPr>
              <w:t>68.2</w:t>
            </w:r>
          </w:p>
        </w:tc>
      </w:tr>
      <w:tr w14:paraId="79D6A971">
        <w:tblPrEx>
          <w:tblCellMar>
            <w:top w:w="0" w:type="dxa"/>
            <w:left w:w="108" w:type="dxa"/>
            <w:bottom w:w="0" w:type="dxa"/>
            <w:right w:w="108" w:type="dxa"/>
          </w:tblCellMar>
        </w:tblPrEx>
        <w:trPr>
          <w:trHeight w:val="465" w:hRule="atLeast"/>
        </w:trPr>
        <w:tc>
          <w:tcPr>
            <w:tcW w:w="866" w:type="dxa"/>
            <w:vMerge w:val="continue"/>
            <w:tcBorders>
              <w:top w:val="nil"/>
              <w:left w:val="single" w:color="auto" w:sz="4" w:space="0"/>
              <w:bottom w:val="single" w:color="000000" w:sz="4" w:space="0"/>
              <w:right w:val="single" w:color="auto" w:sz="4" w:space="0"/>
            </w:tcBorders>
            <w:vAlign w:val="center"/>
          </w:tcPr>
          <w:p w14:paraId="38EC025D">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512370F7">
            <w:pPr>
              <w:widowControl/>
              <w:jc w:val="center"/>
              <w:rPr>
                <w:kern w:val="0"/>
                <w:sz w:val="28"/>
                <w:szCs w:val="28"/>
              </w:rPr>
            </w:pPr>
            <w:r>
              <w:rPr>
                <w:kern w:val="0"/>
                <w:sz w:val="28"/>
                <w:szCs w:val="28"/>
              </w:rPr>
              <w:t>森林蓄积量（万m</w:t>
            </w:r>
            <w:r>
              <w:rPr>
                <w:kern w:val="0"/>
                <w:sz w:val="28"/>
                <w:szCs w:val="28"/>
                <w:vertAlign w:val="superscript"/>
              </w:rPr>
              <w:t>3</w:t>
            </w:r>
            <w:r>
              <w:rPr>
                <w:kern w:val="0"/>
                <w:sz w:val="28"/>
                <w:szCs w:val="28"/>
              </w:rPr>
              <w:t>）</w:t>
            </w:r>
          </w:p>
        </w:tc>
        <w:tc>
          <w:tcPr>
            <w:tcW w:w="1276" w:type="dxa"/>
            <w:tcBorders>
              <w:top w:val="nil"/>
              <w:left w:val="nil"/>
              <w:bottom w:val="single" w:color="auto" w:sz="4" w:space="0"/>
              <w:right w:val="single" w:color="auto" w:sz="4" w:space="0"/>
            </w:tcBorders>
            <w:noWrap/>
            <w:vAlign w:val="center"/>
          </w:tcPr>
          <w:p w14:paraId="57B1A2FF">
            <w:pPr>
              <w:widowControl/>
              <w:jc w:val="center"/>
              <w:rPr>
                <w:kern w:val="0"/>
                <w:sz w:val="28"/>
                <w:szCs w:val="28"/>
              </w:rPr>
            </w:pPr>
            <w:r>
              <w:rPr>
                <w:rFonts w:hint="eastAsia"/>
                <w:kern w:val="0"/>
                <w:sz w:val="28"/>
                <w:szCs w:val="28"/>
              </w:rPr>
              <w:t>758.5</w:t>
            </w:r>
          </w:p>
        </w:tc>
        <w:tc>
          <w:tcPr>
            <w:tcW w:w="1418" w:type="dxa"/>
            <w:tcBorders>
              <w:top w:val="nil"/>
              <w:left w:val="nil"/>
              <w:bottom w:val="single" w:color="auto" w:sz="4" w:space="0"/>
              <w:right w:val="single" w:color="auto" w:sz="4" w:space="0"/>
            </w:tcBorders>
            <w:noWrap/>
            <w:vAlign w:val="center"/>
          </w:tcPr>
          <w:p w14:paraId="54C706B9">
            <w:pPr>
              <w:widowControl/>
              <w:jc w:val="center"/>
              <w:rPr>
                <w:kern w:val="0"/>
                <w:sz w:val="28"/>
                <w:szCs w:val="28"/>
              </w:rPr>
            </w:pPr>
            <w:r>
              <w:rPr>
                <w:kern w:val="0"/>
                <w:sz w:val="28"/>
                <w:szCs w:val="28"/>
              </w:rPr>
              <w:t>≥</w:t>
            </w:r>
            <w:r>
              <w:rPr>
                <w:rFonts w:hint="eastAsia"/>
                <w:kern w:val="0"/>
                <w:sz w:val="28"/>
                <w:szCs w:val="28"/>
              </w:rPr>
              <w:t>753.2</w:t>
            </w:r>
          </w:p>
        </w:tc>
        <w:tc>
          <w:tcPr>
            <w:tcW w:w="1212" w:type="dxa"/>
            <w:tcBorders>
              <w:top w:val="nil"/>
              <w:left w:val="nil"/>
              <w:bottom w:val="single" w:color="auto" w:sz="4" w:space="0"/>
              <w:right w:val="single" w:color="auto" w:sz="4" w:space="0"/>
            </w:tcBorders>
            <w:noWrap/>
            <w:vAlign w:val="center"/>
          </w:tcPr>
          <w:p w14:paraId="7259CB3C">
            <w:pPr>
              <w:widowControl/>
              <w:jc w:val="center"/>
              <w:rPr>
                <w:kern w:val="0"/>
                <w:sz w:val="28"/>
                <w:szCs w:val="28"/>
              </w:rPr>
            </w:pPr>
            <w:r>
              <w:rPr>
                <w:kern w:val="0"/>
                <w:sz w:val="28"/>
                <w:szCs w:val="28"/>
              </w:rPr>
              <w:t>≥</w:t>
            </w:r>
            <w:r>
              <w:rPr>
                <w:rFonts w:hint="eastAsia"/>
                <w:kern w:val="0"/>
                <w:sz w:val="28"/>
                <w:szCs w:val="28"/>
              </w:rPr>
              <w:t>753.2</w:t>
            </w:r>
          </w:p>
        </w:tc>
      </w:tr>
      <w:tr w14:paraId="57A0F21D">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000000" w:sz="4" w:space="0"/>
              <w:right w:val="single" w:color="auto" w:sz="4" w:space="0"/>
            </w:tcBorders>
            <w:vAlign w:val="center"/>
          </w:tcPr>
          <w:p w14:paraId="3B2F3C94">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1E33BC3B">
            <w:pPr>
              <w:widowControl/>
              <w:jc w:val="center"/>
              <w:rPr>
                <w:kern w:val="0"/>
                <w:sz w:val="28"/>
                <w:szCs w:val="28"/>
              </w:rPr>
            </w:pPr>
            <w:r>
              <w:rPr>
                <w:kern w:val="0"/>
                <w:sz w:val="28"/>
                <w:szCs w:val="28"/>
              </w:rPr>
              <w:t>湿地面积保有量(hm</w:t>
            </w:r>
            <w:r>
              <w:rPr>
                <w:kern w:val="0"/>
                <w:sz w:val="28"/>
                <w:szCs w:val="28"/>
                <w:vertAlign w:val="superscript"/>
              </w:rPr>
              <w:t>2</w:t>
            </w:r>
            <w:r>
              <w:rPr>
                <w:kern w:val="0"/>
                <w:sz w:val="28"/>
                <w:szCs w:val="28"/>
              </w:rPr>
              <w:t xml:space="preserve">)  </w:t>
            </w:r>
          </w:p>
        </w:tc>
        <w:tc>
          <w:tcPr>
            <w:tcW w:w="1276" w:type="dxa"/>
            <w:tcBorders>
              <w:top w:val="nil"/>
              <w:left w:val="nil"/>
              <w:bottom w:val="single" w:color="auto" w:sz="4" w:space="0"/>
              <w:right w:val="single" w:color="auto" w:sz="4" w:space="0"/>
            </w:tcBorders>
            <w:noWrap/>
            <w:vAlign w:val="center"/>
          </w:tcPr>
          <w:p w14:paraId="41C8DB55">
            <w:pPr>
              <w:widowControl/>
              <w:jc w:val="center"/>
              <w:rPr>
                <w:kern w:val="0"/>
                <w:sz w:val="28"/>
                <w:szCs w:val="28"/>
              </w:rPr>
            </w:pPr>
            <w:r>
              <w:rPr>
                <w:kern w:val="0"/>
                <w:sz w:val="28"/>
                <w:szCs w:val="28"/>
              </w:rPr>
              <w:t>8930.1</w:t>
            </w:r>
          </w:p>
        </w:tc>
        <w:tc>
          <w:tcPr>
            <w:tcW w:w="1418" w:type="dxa"/>
            <w:tcBorders>
              <w:top w:val="nil"/>
              <w:left w:val="nil"/>
              <w:bottom w:val="single" w:color="auto" w:sz="4" w:space="0"/>
              <w:right w:val="single" w:color="auto" w:sz="4" w:space="0"/>
            </w:tcBorders>
            <w:noWrap/>
            <w:vAlign w:val="center"/>
          </w:tcPr>
          <w:p w14:paraId="519312AF">
            <w:pPr>
              <w:widowControl/>
              <w:jc w:val="center"/>
              <w:rPr>
                <w:kern w:val="0"/>
                <w:sz w:val="28"/>
                <w:szCs w:val="28"/>
              </w:rPr>
            </w:pPr>
            <w:r>
              <w:rPr>
                <w:kern w:val="0"/>
                <w:sz w:val="28"/>
                <w:szCs w:val="28"/>
              </w:rPr>
              <w:t>≥8930.1</w:t>
            </w:r>
          </w:p>
        </w:tc>
        <w:tc>
          <w:tcPr>
            <w:tcW w:w="1212" w:type="dxa"/>
            <w:tcBorders>
              <w:top w:val="nil"/>
              <w:left w:val="nil"/>
              <w:bottom w:val="single" w:color="auto" w:sz="4" w:space="0"/>
              <w:right w:val="single" w:color="auto" w:sz="4" w:space="0"/>
            </w:tcBorders>
            <w:noWrap/>
            <w:vAlign w:val="center"/>
          </w:tcPr>
          <w:p w14:paraId="1240B65E">
            <w:pPr>
              <w:widowControl/>
              <w:jc w:val="center"/>
              <w:rPr>
                <w:kern w:val="0"/>
                <w:sz w:val="28"/>
                <w:szCs w:val="28"/>
              </w:rPr>
            </w:pPr>
            <w:r>
              <w:rPr>
                <w:kern w:val="0"/>
                <w:sz w:val="28"/>
                <w:szCs w:val="28"/>
              </w:rPr>
              <w:t>≥9000</w:t>
            </w:r>
          </w:p>
        </w:tc>
      </w:tr>
      <w:tr w14:paraId="1C379C5E">
        <w:tblPrEx>
          <w:tblCellMar>
            <w:top w:w="0" w:type="dxa"/>
            <w:left w:w="108" w:type="dxa"/>
            <w:bottom w:w="0" w:type="dxa"/>
            <w:right w:w="108" w:type="dxa"/>
          </w:tblCellMar>
        </w:tblPrEx>
        <w:trPr>
          <w:trHeight w:val="375" w:hRule="atLeast"/>
        </w:trPr>
        <w:tc>
          <w:tcPr>
            <w:tcW w:w="866" w:type="dxa"/>
            <w:vMerge w:val="restart"/>
            <w:tcBorders>
              <w:top w:val="nil"/>
              <w:left w:val="single" w:color="auto" w:sz="4" w:space="0"/>
              <w:bottom w:val="single" w:color="auto" w:sz="4" w:space="0"/>
              <w:right w:val="single" w:color="auto" w:sz="4" w:space="0"/>
            </w:tcBorders>
            <w:noWrap/>
            <w:vAlign w:val="center"/>
          </w:tcPr>
          <w:p w14:paraId="547524B1">
            <w:pPr>
              <w:widowControl/>
              <w:jc w:val="center"/>
              <w:rPr>
                <w:kern w:val="0"/>
                <w:sz w:val="28"/>
                <w:szCs w:val="28"/>
              </w:rPr>
            </w:pPr>
            <w:r>
              <w:rPr>
                <w:kern w:val="0"/>
                <w:sz w:val="28"/>
                <w:szCs w:val="28"/>
              </w:rPr>
              <w:t>产业素质</w:t>
            </w:r>
          </w:p>
        </w:tc>
        <w:tc>
          <w:tcPr>
            <w:tcW w:w="3827" w:type="dxa"/>
            <w:tcBorders>
              <w:top w:val="nil"/>
              <w:left w:val="nil"/>
              <w:bottom w:val="single" w:color="auto" w:sz="4" w:space="0"/>
              <w:right w:val="single" w:color="auto" w:sz="4" w:space="0"/>
            </w:tcBorders>
            <w:noWrap/>
            <w:vAlign w:val="center"/>
          </w:tcPr>
          <w:p w14:paraId="2D0D7231">
            <w:pPr>
              <w:widowControl/>
              <w:jc w:val="center"/>
              <w:rPr>
                <w:kern w:val="0"/>
                <w:sz w:val="28"/>
                <w:szCs w:val="28"/>
              </w:rPr>
            </w:pPr>
            <w:r>
              <w:rPr>
                <w:kern w:val="0"/>
                <w:sz w:val="28"/>
                <w:szCs w:val="28"/>
              </w:rPr>
              <w:t>森林公园数量（个）</w:t>
            </w:r>
          </w:p>
        </w:tc>
        <w:tc>
          <w:tcPr>
            <w:tcW w:w="1276" w:type="dxa"/>
            <w:tcBorders>
              <w:top w:val="nil"/>
              <w:left w:val="nil"/>
              <w:bottom w:val="single" w:color="auto" w:sz="4" w:space="0"/>
              <w:right w:val="single" w:color="auto" w:sz="4" w:space="0"/>
            </w:tcBorders>
            <w:noWrap/>
            <w:vAlign w:val="center"/>
          </w:tcPr>
          <w:p w14:paraId="77E29E1C">
            <w:pPr>
              <w:widowControl/>
              <w:jc w:val="center"/>
              <w:rPr>
                <w:kern w:val="0"/>
                <w:sz w:val="28"/>
                <w:szCs w:val="28"/>
              </w:rPr>
            </w:pPr>
            <w:r>
              <w:rPr>
                <w:rFonts w:hint="eastAsia"/>
                <w:kern w:val="0"/>
                <w:sz w:val="28"/>
                <w:szCs w:val="28"/>
              </w:rPr>
              <w:t>6</w:t>
            </w:r>
          </w:p>
        </w:tc>
        <w:tc>
          <w:tcPr>
            <w:tcW w:w="1418" w:type="dxa"/>
            <w:tcBorders>
              <w:top w:val="nil"/>
              <w:left w:val="nil"/>
              <w:bottom w:val="single" w:color="auto" w:sz="4" w:space="0"/>
              <w:right w:val="single" w:color="auto" w:sz="4" w:space="0"/>
            </w:tcBorders>
            <w:noWrap/>
            <w:vAlign w:val="center"/>
          </w:tcPr>
          <w:p w14:paraId="4BD88FFB">
            <w:pPr>
              <w:widowControl/>
              <w:jc w:val="center"/>
              <w:rPr>
                <w:kern w:val="0"/>
                <w:sz w:val="28"/>
                <w:szCs w:val="28"/>
              </w:rPr>
            </w:pPr>
            <w:r>
              <w:rPr>
                <w:rFonts w:hint="eastAsia"/>
                <w:kern w:val="0"/>
                <w:sz w:val="28"/>
                <w:szCs w:val="28"/>
              </w:rPr>
              <w:t>10</w:t>
            </w:r>
          </w:p>
        </w:tc>
        <w:tc>
          <w:tcPr>
            <w:tcW w:w="1212" w:type="dxa"/>
            <w:tcBorders>
              <w:top w:val="nil"/>
              <w:left w:val="nil"/>
              <w:bottom w:val="single" w:color="auto" w:sz="4" w:space="0"/>
              <w:right w:val="single" w:color="auto" w:sz="4" w:space="0"/>
            </w:tcBorders>
            <w:noWrap/>
            <w:vAlign w:val="center"/>
          </w:tcPr>
          <w:p w14:paraId="4E187B1B">
            <w:pPr>
              <w:widowControl/>
              <w:jc w:val="center"/>
              <w:rPr>
                <w:kern w:val="0"/>
                <w:sz w:val="28"/>
                <w:szCs w:val="28"/>
              </w:rPr>
            </w:pPr>
            <w:r>
              <w:rPr>
                <w:kern w:val="0"/>
                <w:sz w:val="28"/>
                <w:szCs w:val="28"/>
              </w:rPr>
              <w:t>13</w:t>
            </w:r>
          </w:p>
        </w:tc>
      </w:tr>
      <w:tr w14:paraId="1DA47C1C">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1C7688A9">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0A656BF4">
            <w:pPr>
              <w:widowControl/>
              <w:jc w:val="center"/>
              <w:rPr>
                <w:kern w:val="0"/>
                <w:sz w:val="28"/>
                <w:szCs w:val="28"/>
              </w:rPr>
            </w:pPr>
            <w:r>
              <w:rPr>
                <w:kern w:val="0"/>
                <w:sz w:val="28"/>
                <w:szCs w:val="28"/>
              </w:rPr>
              <w:t>湿地公园数量（个）</w:t>
            </w:r>
          </w:p>
        </w:tc>
        <w:tc>
          <w:tcPr>
            <w:tcW w:w="1276" w:type="dxa"/>
            <w:tcBorders>
              <w:top w:val="nil"/>
              <w:left w:val="nil"/>
              <w:bottom w:val="single" w:color="auto" w:sz="4" w:space="0"/>
              <w:right w:val="single" w:color="auto" w:sz="4" w:space="0"/>
            </w:tcBorders>
            <w:noWrap/>
            <w:vAlign w:val="center"/>
          </w:tcPr>
          <w:p w14:paraId="6FEB17BA">
            <w:pPr>
              <w:widowControl/>
              <w:jc w:val="center"/>
              <w:rPr>
                <w:kern w:val="0"/>
                <w:sz w:val="28"/>
                <w:szCs w:val="28"/>
              </w:rPr>
            </w:pPr>
            <w:r>
              <w:rPr>
                <w:rFonts w:hint="eastAsia"/>
                <w:kern w:val="0"/>
                <w:sz w:val="28"/>
                <w:szCs w:val="28"/>
              </w:rPr>
              <w:t>1</w:t>
            </w:r>
          </w:p>
        </w:tc>
        <w:tc>
          <w:tcPr>
            <w:tcW w:w="1418" w:type="dxa"/>
            <w:tcBorders>
              <w:top w:val="nil"/>
              <w:left w:val="nil"/>
              <w:bottom w:val="single" w:color="auto" w:sz="4" w:space="0"/>
              <w:right w:val="single" w:color="auto" w:sz="4" w:space="0"/>
            </w:tcBorders>
            <w:noWrap/>
            <w:vAlign w:val="center"/>
          </w:tcPr>
          <w:p w14:paraId="28FA1B3B">
            <w:pPr>
              <w:widowControl/>
              <w:jc w:val="center"/>
              <w:rPr>
                <w:kern w:val="0"/>
                <w:sz w:val="28"/>
                <w:szCs w:val="28"/>
              </w:rPr>
            </w:pPr>
            <w:r>
              <w:rPr>
                <w:kern w:val="0"/>
                <w:sz w:val="28"/>
                <w:szCs w:val="28"/>
              </w:rPr>
              <w:t>2</w:t>
            </w:r>
          </w:p>
        </w:tc>
        <w:tc>
          <w:tcPr>
            <w:tcW w:w="1212" w:type="dxa"/>
            <w:tcBorders>
              <w:top w:val="nil"/>
              <w:left w:val="nil"/>
              <w:bottom w:val="single" w:color="auto" w:sz="4" w:space="0"/>
              <w:right w:val="single" w:color="auto" w:sz="4" w:space="0"/>
            </w:tcBorders>
            <w:noWrap/>
            <w:vAlign w:val="center"/>
          </w:tcPr>
          <w:p w14:paraId="1DF36633">
            <w:pPr>
              <w:widowControl/>
              <w:jc w:val="center"/>
              <w:rPr>
                <w:kern w:val="0"/>
                <w:sz w:val="28"/>
                <w:szCs w:val="28"/>
              </w:rPr>
            </w:pPr>
            <w:r>
              <w:rPr>
                <w:kern w:val="0"/>
                <w:sz w:val="28"/>
                <w:szCs w:val="28"/>
              </w:rPr>
              <w:t>3</w:t>
            </w:r>
          </w:p>
        </w:tc>
      </w:tr>
      <w:tr w14:paraId="43303BFC">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4A39FFE2">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2E1A6668">
            <w:pPr>
              <w:widowControl/>
              <w:jc w:val="center"/>
              <w:rPr>
                <w:kern w:val="0"/>
                <w:sz w:val="28"/>
                <w:szCs w:val="28"/>
              </w:rPr>
            </w:pPr>
            <w:r>
              <w:rPr>
                <w:kern w:val="0"/>
                <w:sz w:val="28"/>
                <w:szCs w:val="28"/>
              </w:rPr>
              <w:t>森林康养基地</w:t>
            </w:r>
          </w:p>
        </w:tc>
        <w:tc>
          <w:tcPr>
            <w:tcW w:w="1276" w:type="dxa"/>
            <w:tcBorders>
              <w:top w:val="nil"/>
              <w:left w:val="nil"/>
              <w:bottom w:val="single" w:color="auto" w:sz="4" w:space="0"/>
              <w:right w:val="single" w:color="auto" w:sz="4" w:space="0"/>
            </w:tcBorders>
            <w:noWrap/>
            <w:vAlign w:val="center"/>
          </w:tcPr>
          <w:p w14:paraId="45D76D70">
            <w:pPr>
              <w:widowControl/>
              <w:jc w:val="center"/>
              <w:rPr>
                <w:kern w:val="0"/>
                <w:sz w:val="28"/>
                <w:szCs w:val="28"/>
              </w:rPr>
            </w:pPr>
            <w:r>
              <w:rPr>
                <w:rFonts w:hint="eastAsia"/>
                <w:kern w:val="0"/>
                <w:sz w:val="28"/>
                <w:szCs w:val="28"/>
              </w:rPr>
              <w:t>2</w:t>
            </w:r>
          </w:p>
        </w:tc>
        <w:tc>
          <w:tcPr>
            <w:tcW w:w="1418" w:type="dxa"/>
            <w:tcBorders>
              <w:top w:val="nil"/>
              <w:left w:val="nil"/>
              <w:bottom w:val="single" w:color="auto" w:sz="4" w:space="0"/>
              <w:right w:val="single" w:color="auto" w:sz="4" w:space="0"/>
            </w:tcBorders>
            <w:noWrap/>
            <w:vAlign w:val="center"/>
          </w:tcPr>
          <w:p w14:paraId="748E2A5D">
            <w:pPr>
              <w:widowControl/>
              <w:jc w:val="center"/>
              <w:rPr>
                <w:kern w:val="0"/>
                <w:sz w:val="28"/>
                <w:szCs w:val="28"/>
              </w:rPr>
            </w:pPr>
            <w:r>
              <w:rPr>
                <w:rFonts w:hint="eastAsia"/>
                <w:kern w:val="0"/>
                <w:sz w:val="28"/>
                <w:szCs w:val="28"/>
              </w:rPr>
              <w:t>4</w:t>
            </w:r>
          </w:p>
        </w:tc>
        <w:tc>
          <w:tcPr>
            <w:tcW w:w="1212" w:type="dxa"/>
            <w:tcBorders>
              <w:top w:val="nil"/>
              <w:left w:val="nil"/>
              <w:bottom w:val="single" w:color="auto" w:sz="4" w:space="0"/>
              <w:right w:val="single" w:color="auto" w:sz="4" w:space="0"/>
            </w:tcBorders>
            <w:noWrap/>
            <w:vAlign w:val="center"/>
          </w:tcPr>
          <w:p w14:paraId="0CFC3955">
            <w:pPr>
              <w:widowControl/>
              <w:jc w:val="center"/>
              <w:rPr>
                <w:kern w:val="0"/>
                <w:sz w:val="28"/>
                <w:szCs w:val="28"/>
              </w:rPr>
            </w:pPr>
            <w:r>
              <w:rPr>
                <w:kern w:val="0"/>
                <w:sz w:val="28"/>
                <w:szCs w:val="28"/>
              </w:rPr>
              <w:t>≥</w:t>
            </w:r>
            <w:r>
              <w:rPr>
                <w:rFonts w:hint="eastAsia"/>
                <w:kern w:val="0"/>
                <w:sz w:val="28"/>
                <w:szCs w:val="28"/>
              </w:rPr>
              <w:t>4</w:t>
            </w:r>
          </w:p>
        </w:tc>
      </w:tr>
      <w:tr w14:paraId="056851A7">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2C79FEAD">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5F2BFB4D">
            <w:pPr>
              <w:widowControl/>
              <w:jc w:val="center"/>
              <w:rPr>
                <w:rFonts w:hint="eastAsia"/>
                <w:kern w:val="0"/>
                <w:sz w:val="28"/>
                <w:szCs w:val="28"/>
              </w:rPr>
            </w:pPr>
            <w:r>
              <w:rPr>
                <w:kern w:val="0"/>
                <w:sz w:val="28"/>
                <w:szCs w:val="28"/>
              </w:rPr>
              <w:t>国家农村产业融合发展</w:t>
            </w:r>
          </w:p>
          <w:p w14:paraId="3554AB9D">
            <w:pPr>
              <w:widowControl/>
              <w:jc w:val="center"/>
              <w:rPr>
                <w:kern w:val="0"/>
                <w:sz w:val="28"/>
                <w:szCs w:val="28"/>
              </w:rPr>
            </w:pPr>
            <w:r>
              <w:rPr>
                <w:kern w:val="0"/>
                <w:sz w:val="28"/>
                <w:szCs w:val="28"/>
              </w:rPr>
              <w:t>示范园（个）</w:t>
            </w:r>
          </w:p>
        </w:tc>
        <w:tc>
          <w:tcPr>
            <w:tcW w:w="1276" w:type="dxa"/>
            <w:tcBorders>
              <w:top w:val="nil"/>
              <w:left w:val="nil"/>
              <w:bottom w:val="single" w:color="auto" w:sz="4" w:space="0"/>
              <w:right w:val="single" w:color="auto" w:sz="4" w:space="0"/>
            </w:tcBorders>
            <w:noWrap/>
            <w:vAlign w:val="center"/>
          </w:tcPr>
          <w:p w14:paraId="0C487C6E">
            <w:pPr>
              <w:widowControl/>
              <w:jc w:val="center"/>
              <w:rPr>
                <w:kern w:val="0"/>
                <w:sz w:val="28"/>
                <w:szCs w:val="28"/>
              </w:rPr>
            </w:pPr>
            <w:r>
              <w:rPr>
                <w:kern w:val="0"/>
                <w:sz w:val="28"/>
                <w:szCs w:val="28"/>
              </w:rPr>
              <w:t>0</w:t>
            </w:r>
          </w:p>
        </w:tc>
        <w:tc>
          <w:tcPr>
            <w:tcW w:w="1418" w:type="dxa"/>
            <w:tcBorders>
              <w:top w:val="nil"/>
              <w:left w:val="nil"/>
              <w:bottom w:val="single" w:color="auto" w:sz="4" w:space="0"/>
              <w:right w:val="single" w:color="auto" w:sz="4" w:space="0"/>
            </w:tcBorders>
            <w:noWrap/>
            <w:vAlign w:val="center"/>
          </w:tcPr>
          <w:p w14:paraId="53DA4BFF">
            <w:pPr>
              <w:widowControl/>
              <w:jc w:val="center"/>
              <w:rPr>
                <w:kern w:val="0"/>
                <w:sz w:val="28"/>
                <w:szCs w:val="28"/>
              </w:rPr>
            </w:pPr>
            <w:r>
              <w:rPr>
                <w:kern w:val="0"/>
                <w:sz w:val="28"/>
                <w:szCs w:val="28"/>
              </w:rPr>
              <w:t>0</w:t>
            </w:r>
          </w:p>
        </w:tc>
        <w:tc>
          <w:tcPr>
            <w:tcW w:w="1212" w:type="dxa"/>
            <w:tcBorders>
              <w:top w:val="nil"/>
              <w:left w:val="nil"/>
              <w:bottom w:val="single" w:color="auto" w:sz="4" w:space="0"/>
              <w:right w:val="single" w:color="auto" w:sz="4" w:space="0"/>
            </w:tcBorders>
            <w:noWrap/>
            <w:vAlign w:val="center"/>
          </w:tcPr>
          <w:p w14:paraId="78A24CC6">
            <w:pPr>
              <w:widowControl/>
              <w:jc w:val="center"/>
              <w:rPr>
                <w:kern w:val="0"/>
                <w:sz w:val="28"/>
                <w:szCs w:val="28"/>
              </w:rPr>
            </w:pPr>
            <w:r>
              <w:rPr>
                <w:kern w:val="0"/>
                <w:sz w:val="28"/>
                <w:szCs w:val="28"/>
              </w:rPr>
              <w:t>1</w:t>
            </w:r>
          </w:p>
        </w:tc>
      </w:tr>
      <w:tr w14:paraId="1F5F8CFF">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0E1121C1">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4248916D">
            <w:pPr>
              <w:widowControl/>
              <w:jc w:val="center"/>
              <w:rPr>
                <w:kern w:val="0"/>
                <w:sz w:val="28"/>
                <w:szCs w:val="28"/>
              </w:rPr>
            </w:pPr>
            <w:r>
              <w:rPr>
                <w:kern w:val="0"/>
                <w:sz w:val="28"/>
                <w:szCs w:val="28"/>
              </w:rPr>
              <w:t>林下经济合作社（家）</w:t>
            </w:r>
          </w:p>
        </w:tc>
        <w:tc>
          <w:tcPr>
            <w:tcW w:w="1276" w:type="dxa"/>
            <w:tcBorders>
              <w:top w:val="nil"/>
              <w:left w:val="nil"/>
              <w:bottom w:val="single" w:color="auto" w:sz="4" w:space="0"/>
              <w:right w:val="single" w:color="auto" w:sz="4" w:space="0"/>
            </w:tcBorders>
            <w:noWrap/>
            <w:vAlign w:val="center"/>
          </w:tcPr>
          <w:p w14:paraId="74FFD1CB">
            <w:pPr>
              <w:widowControl/>
              <w:jc w:val="center"/>
              <w:rPr>
                <w:kern w:val="0"/>
                <w:sz w:val="28"/>
                <w:szCs w:val="28"/>
              </w:rPr>
            </w:pPr>
            <w:r>
              <w:rPr>
                <w:kern w:val="0"/>
                <w:sz w:val="28"/>
                <w:szCs w:val="28"/>
              </w:rPr>
              <w:t>15</w:t>
            </w:r>
          </w:p>
        </w:tc>
        <w:tc>
          <w:tcPr>
            <w:tcW w:w="1418" w:type="dxa"/>
            <w:tcBorders>
              <w:top w:val="nil"/>
              <w:left w:val="nil"/>
              <w:bottom w:val="single" w:color="auto" w:sz="4" w:space="0"/>
              <w:right w:val="single" w:color="auto" w:sz="4" w:space="0"/>
            </w:tcBorders>
            <w:noWrap/>
            <w:vAlign w:val="center"/>
          </w:tcPr>
          <w:p w14:paraId="152058BA">
            <w:pPr>
              <w:widowControl/>
              <w:jc w:val="center"/>
              <w:rPr>
                <w:kern w:val="0"/>
                <w:sz w:val="28"/>
                <w:szCs w:val="28"/>
              </w:rPr>
            </w:pPr>
            <w:r>
              <w:rPr>
                <w:kern w:val="0"/>
                <w:sz w:val="28"/>
                <w:szCs w:val="28"/>
              </w:rPr>
              <w:t>≥</w:t>
            </w:r>
            <w:r>
              <w:rPr>
                <w:rFonts w:hint="eastAsia"/>
                <w:kern w:val="0"/>
                <w:sz w:val="28"/>
                <w:szCs w:val="28"/>
              </w:rPr>
              <w:t>5</w:t>
            </w:r>
            <w:r>
              <w:rPr>
                <w:kern w:val="0"/>
                <w:sz w:val="28"/>
                <w:szCs w:val="28"/>
              </w:rPr>
              <w:t>0</w:t>
            </w:r>
          </w:p>
        </w:tc>
        <w:tc>
          <w:tcPr>
            <w:tcW w:w="1212" w:type="dxa"/>
            <w:tcBorders>
              <w:top w:val="nil"/>
              <w:left w:val="nil"/>
              <w:bottom w:val="single" w:color="auto" w:sz="4" w:space="0"/>
              <w:right w:val="single" w:color="auto" w:sz="4" w:space="0"/>
            </w:tcBorders>
            <w:noWrap/>
            <w:vAlign w:val="center"/>
          </w:tcPr>
          <w:p w14:paraId="14F89457">
            <w:pPr>
              <w:widowControl/>
              <w:jc w:val="center"/>
              <w:rPr>
                <w:kern w:val="0"/>
                <w:sz w:val="28"/>
                <w:szCs w:val="28"/>
              </w:rPr>
            </w:pPr>
            <w:r>
              <w:rPr>
                <w:kern w:val="0"/>
                <w:sz w:val="28"/>
                <w:szCs w:val="28"/>
              </w:rPr>
              <w:t>≥</w:t>
            </w:r>
            <w:r>
              <w:rPr>
                <w:rFonts w:hint="eastAsia"/>
                <w:kern w:val="0"/>
                <w:sz w:val="28"/>
                <w:szCs w:val="28"/>
              </w:rPr>
              <w:t>8</w:t>
            </w:r>
            <w:r>
              <w:rPr>
                <w:kern w:val="0"/>
                <w:sz w:val="28"/>
                <w:szCs w:val="28"/>
              </w:rPr>
              <w:t>0</w:t>
            </w:r>
          </w:p>
        </w:tc>
      </w:tr>
      <w:tr w14:paraId="12D9CBAD">
        <w:tblPrEx>
          <w:tblCellMar>
            <w:top w:w="0" w:type="dxa"/>
            <w:left w:w="108" w:type="dxa"/>
            <w:bottom w:w="0" w:type="dxa"/>
            <w:right w:w="108" w:type="dxa"/>
          </w:tblCellMar>
        </w:tblPrEx>
        <w:trPr>
          <w:trHeight w:val="750" w:hRule="atLeast"/>
        </w:trPr>
        <w:tc>
          <w:tcPr>
            <w:tcW w:w="866" w:type="dxa"/>
            <w:vMerge w:val="restart"/>
            <w:tcBorders>
              <w:top w:val="nil"/>
              <w:left w:val="single" w:color="auto" w:sz="4" w:space="0"/>
              <w:bottom w:val="single" w:color="auto" w:sz="4" w:space="0"/>
              <w:right w:val="single" w:color="auto" w:sz="4" w:space="0"/>
            </w:tcBorders>
            <w:noWrap/>
            <w:vAlign w:val="center"/>
          </w:tcPr>
          <w:p w14:paraId="2FB0DFBD">
            <w:pPr>
              <w:widowControl/>
              <w:jc w:val="center"/>
              <w:rPr>
                <w:kern w:val="0"/>
                <w:sz w:val="28"/>
                <w:szCs w:val="28"/>
              </w:rPr>
            </w:pPr>
            <w:r>
              <w:rPr>
                <w:kern w:val="0"/>
                <w:sz w:val="28"/>
                <w:szCs w:val="28"/>
              </w:rPr>
              <w:t>产业效益</w:t>
            </w:r>
          </w:p>
        </w:tc>
        <w:tc>
          <w:tcPr>
            <w:tcW w:w="3827" w:type="dxa"/>
            <w:tcBorders>
              <w:top w:val="nil"/>
              <w:left w:val="nil"/>
              <w:bottom w:val="single" w:color="auto" w:sz="4" w:space="0"/>
              <w:right w:val="single" w:color="auto" w:sz="4" w:space="0"/>
            </w:tcBorders>
            <w:vAlign w:val="center"/>
          </w:tcPr>
          <w:p w14:paraId="2F842BFB">
            <w:pPr>
              <w:widowControl/>
              <w:jc w:val="center"/>
              <w:rPr>
                <w:kern w:val="0"/>
                <w:sz w:val="28"/>
                <w:szCs w:val="28"/>
              </w:rPr>
            </w:pPr>
            <w:r>
              <w:rPr>
                <w:kern w:val="0"/>
                <w:sz w:val="28"/>
                <w:szCs w:val="28"/>
              </w:rPr>
              <w:t>三亚林业产业总产值（亿元）（含森林旅游）</w:t>
            </w:r>
          </w:p>
        </w:tc>
        <w:tc>
          <w:tcPr>
            <w:tcW w:w="1276" w:type="dxa"/>
            <w:tcBorders>
              <w:top w:val="nil"/>
              <w:left w:val="nil"/>
              <w:bottom w:val="single" w:color="auto" w:sz="4" w:space="0"/>
              <w:right w:val="single" w:color="auto" w:sz="4" w:space="0"/>
            </w:tcBorders>
            <w:noWrap/>
            <w:vAlign w:val="center"/>
          </w:tcPr>
          <w:p w14:paraId="7C97F93F">
            <w:pPr>
              <w:widowControl/>
              <w:jc w:val="center"/>
              <w:rPr>
                <w:kern w:val="0"/>
                <w:sz w:val="28"/>
                <w:szCs w:val="28"/>
              </w:rPr>
            </w:pPr>
            <w:r>
              <w:rPr>
                <w:rFonts w:hint="eastAsia"/>
                <w:kern w:val="0"/>
                <w:sz w:val="28"/>
                <w:szCs w:val="28"/>
              </w:rPr>
              <w:t>48.1</w:t>
            </w:r>
          </w:p>
        </w:tc>
        <w:tc>
          <w:tcPr>
            <w:tcW w:w="1418" w:type="dxa"/>
            <w:tcBorders>
              <w:top w:val="nil"/>
              <w:left w:val="nil"/>
              <w:bottom w:val="single" w:color="auto" w:sz="4" w:space="0"/>
              <w:right w:val="single" w:color="auto" w:sz="4" w:space="0"/>
            </w:tcBorders>
            <w:noWrap/>
            <w:vAlign w:val="center"/>
          </w:tcPr>
          <w:p w14:paraId="6D41E783">
            <w:pPr>
              <w:widowControl/>
              <w:jc w:val="center"/>
              <w:rPr>
                <w:kern w:val="0"/>
                <w:sz w:val="28"/>
                <w:szCs w:val="28"/>
              </w:rPr>
            </w:pPr>
            <w:r>
              <w:rPr>
                <w:kern w:val="0"/>
                <w:sz w:val="28"/>
                <w:szCs w:val="28"/>
              </w:rPr>
              <w:t>≥57.5</w:t>
            </w:r>
          </w:p>
        </w:tc>
        <w:tc>
          <w:tcPr>
            <w:tcW w:w="1212" w:type="dxa"/>
            <w:tcBorders>
              <w:top w:val="nil"/>
              <w:left w:val="nil"/>
              <w:bottom w:val="single" w:color="auto" w:sz="4" w:space="0"/>
              <w:right w:val="single" w:color="auto" w:sz="4" w:space="0"/>
            </w:tcBorders>
            <w:noWrap/>
            <w:vAlign w:val="center"/>
          </w:tcPr>
          <w:p w14:paraId="145B6FB9">
            <w:pPr>
              <w:widowControl/>
              <w:jc w:val="center"/>
              <w:rPr>
                <w:kern w:val="0"/>
                <w:sz w:val="28"/>
                <w:szCs w:val="28"/>
              </w:rPr>
            </w:pPr>
            <w:r>
              <w:rPr>
                <w:kern w:val="0"/>
                <w:sz w:val="28"/>
                <w:szCs w:val="28"/>
              </w:rPr>
              <w:t>≥85.2</w:t>
            </w:r>
          </w:p>
        </w:tc>
      </w:tr>
      <w:tr w14:paraId="65B80932">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4867598E">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3FE36EC8">
            <w:pPr>
              <w:widowControl/>
              <w:jc w:val="center"/>
              <w:rPr>
                <w:kern w:val="0"/>
                <w:sz w:val="28"/>
                <w:szCs w:val="28"/>
              </w:rPr>
            </w:pPr>
            <w:r>
              <w:rPr>
                <w:kern w:val="0"/>
                <w:sz w:val="28"/>
                <w:szCs w:val="28"/>
              </w:rPr>
              <w:t>林业一、二、三产业结构比例</w:t>
            </w:r>
          </w:p>
        </w:tc>
        <w:tc>
          <w:tcPr>
            <w:tcW w:w="1276" w:type="dxa"/>
            <w:tcBorders>
              <w:top w:val="nil"/>
              <w:left w:val="nil"/>
              <w:bottom w:val="single" w:color="auto" w:sz="4" w:space="0"/>
              <w:right w:val="single" w:color="auto" w:sz="4" w:space="0"/>
            </w:tcBorders>
            <w:noWrap/>
            <w:vAlign w:val="center"/>
          </w:tcPr>
          <w:p w14:paraId="131DD277">
            <w:pPr>
              <w:widowControl/>
              <w:jc w:val="center"/>
              <w:rPr>
                <w:kern w:val="0"/>
                <w:sz w:val="28"/>
                <w:szCs w:val="28"/>
              </w:rPr>
            </w:pPr>
            <w:r>
              <w:rPr>
                <w:kern w:val="0"/>
                <w:sz w:val="28"/>
                <w:szCs w:val="28"/>
              </w:rPr>
              <w:t>8</w:t>
            </w:r>
            <w:r>
              <w:rPr>
                <w:rFonts w:hint="eastAsia"/>
                <w:kern w:val="0"/>
                <w:sz w:val="28"/>
                <w:szCs w:val="28"/>
              </w:rPr>
              <w:t>8</w:t>
            </w:r>
            <w:r>
              <w:rPr>
                <w:kern w:val="0"/>
                <w:sz w:val="28"/>
                <w:szCs w:val="28"/>
              </w:rPr>
              <w:t>:3:</w:t>
            </w:r>
            <w:r>
              <w:rPr>
                <w:rFonts w:hint="eastAsia"/>
                <w:kern w:val="0"/>
                <w:sz w:val="28"/>
                <w:szCs w:val="28"/>
              </w:rPr>
              <w:t>9</w:t>
            </w:r>
          </w:p>
        </w:tc>
        <w:tc>
          <w:tcPr>
            <w:tcW w:w="1418" w:type="dxa"/>
            <w:tcBorders>
              <w:top w:val="nil"/>
              <w:left w:val="nil"/>
              <w:bottom w:val="single" w:color="auto" w:sz="4" w:space="0"/>
              <w:right w:val="single" w:color="auto" w:sz="4" w:space="0"/>
            </w:tcBorders>
            <w:noWrap/>
            <w:vAlign w:val="center"/>
          </w:tcPr>
          <w:p w14:paraId="7A1FD09B">
            <w:pPr>
              <w:widowControl/>
              <w:jc w:val="center"/>
              <w:rPr>
                <w:kern w:val="0"/>
                <w:sz w:val="28"/>
                <w:szCs w:val="28"/>
              </w:rPr>
            </w:pPr>
            <w:r>
              <w:rPr>
                <w:kern w:val="0"/>
                <w:sz w:val="28"/>
                <w:szCs w:val="28"/>
              </w:rPr>
              <w:t>72:3:25</w:t>
            </w:r>
          </w:p>
        </w:tc>
        <w:tc>
          <w:tcPr>
            <w:tcW w:w="1212" w:type="dxa"/>
            <w:tcBorders>
              <w:top w:val="nil"/>
              <w:left w:val="nil"/>
              <w:bottom w:val="single" w:color="auto" w:sz="4" w:space="0"/>
              <w:right w:val="single" w:color="auto" w:sz="4" w:space="0"/>
            </w:tcBorders>
            <w:noWrap/>
            <w:vAlign w:val="center"/>
          </w:tcPr>
          <w:p w14:paraId="3192BF0C">
            <w:pPr>
              <w:widowControl/>
              <w:jc w:val="center"/>
              <w:rPr>
                <w:kern w:val="0"/>
                <w:sz w:val="28"/>
                <w:szCs w:val="28"/>
              </w:rPr>
            </w:pPr>
            <w:r>
              <w:rPr>
                <w:kern w:val="0"/>
                <w:sz w:val="28"/>
                <w:szCs w:val="28"/>
              </w:rPr>
              <w:t>55:5:40</w:t>
            </w:r>
          </w:p>
        </w:tc>
      </w:tr>
      <w:tr w14:paraId="0DC45E3B">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6045BB33">
            <w:pPr>
              <w:widowControl/>
              <w:jc w:val="left"/>
              <w:rPr>
                <w:kern w:val="0"/>
                <w:sz w:val="28"/>
                <w:szCs w:val="28"/>
              </w:rPr>
            </w:pPr>
          </w:p>
        </w:tc>
        <w:tc>
          <w:tcPr>
            <w:tcW w:w="3827" w:type="dxa"/>
            <w:tcBorders>
              <w:top w:val="nil"/>
              <w:left w:val="nil"/>
              <w:bottom w:val="single" w:color="auto" w:sz="4" w:space="0"/>
              <w:right w:val="single" w:color="auto" w:sz="4" w:space="0"/>
            </w:tcBorders>
            <w:noWrap/>
            <w:vAlign w:val="center"/>
          </w:tcPr>
          <w:p w14:paraId="6E2B6CEA">
            <w:pPr>
              <w:widowControl/>
              <w:jc w:val="center"/>
              <w:rPr>
                <w:kern w:val="0"/>
                <w:sz w:val="28"/>
                <w:szCs w:val="28"/>
              </w:rPr>
            </w:pPr>
            <w:r>
              <w:rPr>
                <w:kern w:val="0"/>
                <w:sz w:val="28"/>
                <w:szCs w:val="28"/>
              </w:rPr>
              <w:t>野生动植物园（个）</w:t>
            </w:r>
          </w:p>
        </w:tc>
        <w:tc>
          <w:tcPr>
            <w:tcW w:w="1276" w:type="dxa"/>
            <w:tcBorders>
              <w:top w:val="nil"/>
              <w:left w:val="nil"/>
              <w:bottom w:val="single" w:color="auto" w:sz="4" w:space="0"/>
              <w:right w:val="single" w:color="auto" w:sz="4" w:space="0"/>
            </w:tcBorders>
            <w:noWrap/>
            <w:vAlign w:val="center"/>
          </w:tcPr>
          <w:p w14:paraId="12FE4199">
            <w:pPr>
              <w:widowControl/>
              <w:jc w:val="center"/>
              <w:rPr>
                <w:kern w:val="0"/>
                <w:sz w:val="28"/>
                <w:szCs w:val="28"/>
              </w:rPr>
            </w:pPr>
            <w:r>
              <w:rPr>
                <w:kern w:val="0"/>
                <w:sz w:val="28"/>
                <w:szCs w:val="28"/>
              </w:rPr>
              <w:t>0</w:t>
            </w:r>
          </w:p>
        </w:tc>
        <w:tc>
          <w:tcPr>
            <w:tcW w:w="1418" w:type="dxa"/>
            <w:tcBorders>
              <w:top w:val="nil"/>
              <w:left w:val="nil"/>
              <w:bottom w:val="single" w:color="auto" w:sz="4" w:space="0"/>
              <w:right w:val="single" w:color="auto" w:sz="4" w:space="0"/>
            </w:tcBorders>
            <w:noWrap/>
            <w:vAlign w:val="center"/>
          </w:tcPr>
          <w:p w14:paraId="3F275656">
            <w:pPr>
              <w:widowControl/>
              <w:jc w:val="center"/>
              <w:rPr>
                <w:kern w:val="0"/>
                <w:sz w:val="28"/>
                <w:szCs w:val="28"/>
              </w:rPr>
            </w:pPr>
            <w:r>
              <w:rPr>
                <w:kern w:val="0"/>
                <w:sz w:val="28"/>
                <w:szCs w:val="28"/>
              </w:rPr>
              <w:t>2</w:t>
            </w:r>
          </w:p>
        </w:tc>
        <w:tc>
          <w:tcPr>
            <w:tcW w:w="1212" w:type="dxa"/>
            <w:tcBorders>
              <w:top w:val="nil"/>
              <w:left w:val="nil"/>
              <w:bottom w:val="single" w:color="auto" w:sz="4" w:space="0"/>
              <w:right w:val="single" w:color="auto" w:sz="4" w:space="0"/>
            </w:tcBorders>
            <w:noWrap/>
            <w:vAlign w:val="center"/>
          </w:tcPr>
          <w:p w14:paraId="6327ED38">
            <w:pPr>
              <w:widowControl/>
              <w:jc w:val="center"/>
              <w:rPr>
                <w:kern w:val="0"/>
                <w:sz w:val="28"/>
                <w:szCs w:val="28"/>
              </w:rPr>
            </w:pPr>
            <w:r>
              <w:rPr>
                <w:kern w:val="0"/>
                <w:sz w:val="28"/>
                <w:szCs w:val="28"/>
              </w:rPr>
              <w:t>≥2</w:t>
            </w:r>
          </w:p>
        </w:tc>
      </w:tr>
    </w:tbl>
    <w:p w14:paraId="415FAB97">
      <w:pPr>
        <w:spacing w:line="360" w:lineRule="auto"/>
        <w:rPr>
          <w:rFonts w:eastAsia="仿宋_GB2312"/>
          <w:sz w:val="32"/>
          <w:szCs w:val="32"/>
        </w:rPr>
      </w:pPr>
    </w:p>
    <w:p w14:paraId="0E469580">
      <w:pPr>
        <w:pStyle w:val="3"/>
        <w:spacing w:before="0" w:after="0" w:line="240" w:lineRule="auto"/>
        <w:rPr>
          <w:rFonts w:ascii="Times New Roman" w:hAnsi="Times New Roman" w:eastAsia="黑体"/>
        </w:rPr>
      </w:pPr>
      <w:bookmarkStart w:id="49" w:name="_Toc82546072"/>
      <w:r>
        <w:rPr>
          <w:rFonts w:ascii="Times New Roman" w:hAnsi="Times New Roman" w:eastAsia="黑体"/>
        </w:rPr>
        <w:t>4.</w:t>
      </w:r>
      <w:r>
        <w:rPr>
          <w:rFonts w:hint="eastAsia" w:ascii="Times New Roman" w:hAnsi="Times New Roman" w:eastAsia="黑体"/>
        </w:rPr>
        <w:t>3</w:t>
      </w:r>
      <w:r>
        <w:rPr>
          <w:rFonts w:ascii="Times New Roman" w:hAnsi="Times New Roman" w:eastAsia="黑体"/>
        </w:rPr>
        <w:t xml:space="preserve"> 总体布局与主要内容</w:t>
      </w:r>
      <w:bookmarkEnd w:id="49"/>
    </w:p>
    <w:p w14:paraId="44E21A94">
      <w:pPr>
        <w:rPr>
          <w:rFonts w:eastAsia="仿宋_GB2312"/>
          <w:b/>
          <w:bCs/>
          <w:sz w:val="32"/>
          <w:szCs w:val="32"/>
        </w:rPr>
      </w:pPr>
      <w:r>
        <w:rPr>
          <w:rFonts w:eastAsia="仿宋_GB2312"/>
          <w:b/>
          <w:bCs/>
          <w:sz w:val="32"/>
          <w:szCs w:val="32"/>
        </w:rPr>
        <w:t>4.</w:t>
      </w:r>
      <w:r>
        <w:rPr>
          <w:rFonts w:hint="eastAsia" w:eastAsia="仿宋_GB2312"/>
          <w:b/>
          <w:bCs/>
          <w:sz w:val="32"/>
          <w:szCs w:val="32"/>
        </w:rPr>
        <w:t>3</w:t>
      </w:r>
      <w:r>
        <w:rPr>
          <w:rFonts w:eastAsia="仿宋_GB2312"/>
          <w:b/>
          <w:bCs/>
          <w:sz w:val="32"/>
          <w:szCs w:val="32"/>
        </w:rPr>
        <w:t>.1 总体布局</w:t>
      </w:r>
    </w:p>
    <w:p w14:paraId="312279C1">
      <w:pPr>
        <w:ind w:firstLine="960" w:firstLineChars="300"/>
        <w:rPr>
          <w:rFonts w:eastAsia="仿宋_GB2312"/>
          <w:sz w:val="32"/>
          <w:szCs w:val="32"/>
        </w:rPr>
      </w:pPr>
      <w:r>
        <w:rPr>
          <w:rFonts w:hint="eastAsia" w:eastAsia="仿宋_GB2312"/>
          <w:sz w:val="32"/>
          <w:szCs w:val="32"/>
        </w:rPr>
        <w:t>在充分考虑资源与生态环境的承载能力、尊重产业发展内在规律，在市场选择和市场竞争的基础上发展林业支柱产业，确定重点发展区域，着力发展优势产业和特色产业，加快形成产业集群、调整和优化产业布局。加大重点产业扶持力度，积极推进三亚林业产业与区域经济协调发展。</w:t>
      </w:r>
      <w:r>
        <w:rPr>
          <w:rFonts w:hint="eastAsia" w:eastAsia="仿宋_GB2312"/>
          <w:b/>
          <w:sz w:val="32"/>
          <w:szCs w:val="32"/>
        </w:rPr>
        <w:t>规划总体思路是：做优第一产、做精第二产、做强第三产、创新促发展。</w:t>
      </w:r>
      <w:r>
        <w:rPr>
          <w:rFonts w:eastAsia="仿宋_GB2312"/>
          <w:sz w:val="32"/>
          <w:szCs w:val="32"/>
        </w:rPr>
        <w:t>实施林业创新驱动发展战略，推动林业新兴产业发展。强化市场在林业资源配置中的作用，激发林业产业创新活力和创造潜能，提升劳动、信息、知识、技术、管理、资本的效率和效益，强化科技、创新成果、创新项目与林业产业对接，发挥新兴产业在林业产业转型升级过程的推动作用。</w:t>
      </w:r>
      <w:r>
        <w:rPr>
          <w:rFonts w:hint="eastAsia" w:eastAsia="仿宋_GB2312"/>
          <w:sz w:val="32"/>
          <w:szCs w:val="32"/>
        </w:rPr>
        <w:t>抚育强优产业，补足基础能力短板，建设基地保障，形成集约产业体系。</w:t>
      </w:r>
      <w:r>
        <w:rPr>
          <w:rFonts w:eastAsia="仿宋_GB2312"/>
          <w:sz w:val="32"/>
          <w:szCs w:val="32"/>
        </w:rPr>
        <w:t>支持企业科技创新，加快成果转化。树立环保意识，建立绿色产业联盟。逐渐形成适应创新驱动发展要求的林业制度环境、市场环境和政策法律体系，为林业产业的创新提供有力保障。</w:t>
      </w:r>
    </w:p>
    <w:p w14:paraId="12A5C0BA">
      <w:pPr>
        <w:rPr>
          <w:rFonts w:eastAsia="黑体"/>
          <w:b/>
          <w:kern w:val="44"/>
          <w:sz w:val="32"/>
          <w:szCs w:val="48"/>
        </w:rPr>
      </w:pPr>
      <w:r>
        <w:rPr>
          <w:rFonts w:eastAsia="仿宋_GB2312"/>
          <w:b/>
          <w:bCs/>
          <w:sz w:val="32"/>
          <w:szCs w:val="32"/>
        </w:rPr>
        <w:t>4.</w:t>
      </w:r>
      <w:r>
        <w:rPr>
          <w:rFonts w:hint="eastAsia" w:eastAsia="仿宋_GB2312"/>
          <w:b/>
          <w:bCs/>
          <w:sz w:val="32"/>
          <w:szCs w:val="32"/>
        </w:rPr>
        <w:t>3</w:t>
      </w:r>
      <w:r>
        <w:rPr>
          <w:rFonts w:eastAsia="仿宋_GB2312"/>
          <w:b/>
          <w:bCs/>
          <w:sz w:val="32"/>
          <w:szCs w:val="32"/>
        </w:rPr>
        <w:t>.2 主要内容</w:t>
      </w:r>
    </w:p>
    <w:p w14:paraId="7BDF4A5A">
      <w:pPr>
        <w:spacing w:line="360" w:lineRule="auto"/>
        <w:ind w:firstLine="640" w:firstLineChars="200"/>
        <w:rPr>
          <w:rFonts w:eastAsia="仿宋_GB2312"/>
          <w:sz w:val="32"/>
          <w:szCs w:val="32"/>
        </w:rPr>
      </w:pPr>
      <w:r>
        <w:rPr>
          <w:rFonts w:eastAsia="仿宋_GB2312"/>
          <w:sz w:val="32"/>
          <w:szCs w:val="32"/>
        </w:rPr>
        <w:t>以调整</w:t>
      </w:r>
      <w:r>
        <w:rPr>
          <w:rFonts w:hint="eastAsia" w:eastAsia="仿宋_GB2312"/>
          <w:sz w:val="32"/>
          <w:szCs w:val="32"/>
        </w:rPr>
        <w:t>三亚市</w:t>
      </w:r>
      <w:r>
        <w:rPr>
          <w:rFonts w:eastAsia="仿宋_GB2312"/>
          <w:sz w:val="32"/>
          <w:szCs w:val="32"/>
        </w:rPr>
        <w:t>林业支柱产业结构为切入点，强化驱动创新，发展新兴业态，实施品牌战略，以兴林富民为宗旨，以重点项目建设为抓手，大力发展特色富民林业产业。加快林业产业转型升级，推动绿色产业增长。切合实际，着力打造</w:t>
      </w:r>
      <w:r>
        <w:rPr>
          <w:rFonts w:hint="eastAsia" w:eastAsia="仿宋_GB2312"/>
          <w:sz w:val="32"/>
          <w:szCs w:val="32"/>
        </w:rPr>
        <w:t>三亚市</w:t>
      </w:r>
      <w:r>
        <w:rPr>
          <w:rFonts w:eastAsia="仿宋_GB2312"/>
          <w:sz w:val="32"/>
          <w:szCs w:val="32"/>
        </w:rPr>
        <w:t>林业支柱产业的重点工程项目。规划期间，</w:t>
      </w:r>
      <w:r>
        <w:rPr>
          <w:rFonts w:hint="eastAsia" w:eastAsia="仿宋_GB2312"/>
          <w:sz w:val="32"/>
          <w:szCs w:val="32"/>
        </w:rPr>
        <w:t>三亚市林业产业规划包括</w:t>
      </w:r>
      <w:r>
        <w:rPr>
          <w:rFonts w:eastAsia="仿宋_GB2312"/>
          <w:sz w:val="32"/>
          <w:szCs w:val="32"/>
        </w:rPr>
        <w:t>森林旅游与森林康养、林木种苗与花卉、用材林、经济林、林下经济和生态保护与修复</w:t>
      </w:r>
      <w:r>
        <w:rPr>
          <w:rFonts w:hint="eastAsia" w:eastAsia="仿宋_GB2312"/>
          <w:sz w:val="32"/>
          <w:szCs w:val="32"/>
        </w:rPr>
        <w:t>6</w:t>
      </w:r>
      <w:r>
        <w:rPr>
          <w:rFonts w:eastAsia="仿宋_GB2312"/>
          <w:sz w:val="32"/>
          <w:szCs w:val="32"/>
        </w:rPr>
        <w:t>个产业，共有</w:t>
      </w:r>
      <w:r>
        <w:rPr>
          <w:rFonts w:hint="eastAsia" w:eastAsia="仿宋_GB2312"/>
          <w:sz w:val="32"/>
          <w:szCs w:val="32"/>
        </w:rPr>
        <w:t>33个重点工程69个规划储备项目，</w:t>
      </w:r>
      <w:r>
        <w:rPr>
          <w:rFonts w:eastAsia="仿宋_GB2312"/>
          <w:sz w:val="32"/>
          <w:szCs w:val="32"/>
        </w:rPr>
        <w:t>总投</w:t>
      </w:r>
      <w:r>
        <w:rPr>
          <w:rFonts w:hint="eastAsia" w:eastAsia="仿宋_GB2312"/>
          <w:sz w:val="32"/>
          <w:szCs w:val="32"/>
        </w:rPr>
        <w:t>1784300万</w:t>
      </w:r>
      <w:r>
        <w:rPr>
          <w:rFonts w:eastAsia="仿宋_GB2312"/>
          <w:sz w:val="32"/>
          <w:szCs w:val="32"/>
        </w:rPr>
        <w:t>元</w:t>
      </w:r>
      <w:r>
        <w:rPr>
          <w:rFonts w:hint="eastAsia" w:eastAsia="仿宋_GB2312"/>
          <w:sz w:val="32"/>
          <w:szCs w:val="32"/>
        </w:rPr>
        <w:t>。</w:t>
      </w:r>
    </w:p>
    <w:p w14:paraId="40345409">
      <w:pPr>
        <w:pStyle w:val="3"/>
        <w:spacing w:before="156" w:beforeLines="50" w:after="0" w:line="240" w:lineRule="auto"/>
        <w:rPr>
          <w:rFonts w:ascii="Times New Roman" w:hAnsi="Times New Roman" w:eastAsia="黑体"/>
        </w:rPr>
      </w:pPr>
      <w:bookmarkStart w:id="50" w:name="_Toc82546073"/>
      <w:r>
        <w:rPr>
          <w:rFonts w:ascii="Times New Roman" w:hAnsi="Times New Roman" w:eastAsia="黑体"/>
        </w:rPr>
        <w:t>4.</w:t>
      </w:r>
      <w:r>
        <w:rPr>
          <w:rFonts w:hint="eastAsia" w:ascii="Times New Roman" w:hAnsi="Times New Roman" w:eastAsia="黑体"/>
        </w:rPr>
        <w:t>4</w:t>
      </w:r>
      <w:r>
        <w:rPr>
          <w:rFonts w:ascii="Times New Roman" w:hAnsi="Times New Roman" w:eastAsia="黑体"/>
        </w:rPr>
        <w:t xml:space="preserve"> 规划原则与依据</w:t>
      </w:r>
      <w:bookmarkEnd w:id="50"/>
    </w:p>
    <w:p w14:paraId="3288A221">
      <w:pPr>
        <w:spacing w:line="360" w:lineRule="auto"/>
        <w:rPr>
          <w:rFonts w:eastAsia="仿宋_GB2312"/>
          <w:sz w:val="32"/>
          <w:szCs w:val="32"/>
        </w:rPr>
      </w:pPr>
      <w:r>
        <w:rPr>
          <w:rFonts w:eastAsia="仿宋_GB2312"/>
          <w:b/>
          <w:bCs/>
          <w:sz w:val="32"/>
          <w:szCs w:val="32"/>
        </w:rPr>
        <w:t>4.</w:t>
      </w:r>
      <w:r>
        <w:rPr>
          <w:rFonts w:hint="eastAsia" w:eastAsia="仿宋_GB2312"/>
          <w:b/>
          <w:bCs/>
          <w:sz w:val="32"/>
          <w:szCs w:val="32"/>
        </w:rPr>
        <w:t>4</w:t>
      </w:r>
      <w:r>
        <w:rPr>
          <w:rFonts w:eastAsia="仿宋_GB2312"/>
          <w:b/>
          <w:bCs/>
          <w:sz w:val="32"/>
          <w:szCs w:val="32"/>
        </w:rPr>
        <w:t>.1 基本原则</w:t>
      </w:r>
    </w:p>
    <w:p w14:paraId="3EC0A30E">
      <w:pPr>
        <w:spacing w:line="360" w:lineRule="auto"/>
        <w:ind w:firstLine="643" w:firstLineChars="200"/>
        <w:rPr>
          <w:rFonts w:eastAsia="仿宋_GB2312"/>
          <w:b/>
          <w:sz w:val="32"/>
          <w:szCs w:val="32"/>
        </w:rPr>
      </w:pPr>
      <w:r>
        <w:rPr>
          <w:rFonts w:eastAsia="仿宋_GB2312"/>
          <w:b/>
          <w:sz w:val="32"/>
          <w:szCs w:val="32"/>
        </w:rPr>
        <w:t>（1）坚持生态优先和可持续发展原则</w:t>
      </w:r>
    </w:p>
    <w:p w14:paraId="7F3C2C78">
      <w:pPr>
        <w:spacing w:line="360" w:lineRule="auto"/>
        <w:ind w:firstLine="640" w:firstLineChars="200"/>
        <w:rPr>
          <w:rFonts w:hint="eastAsia" w:eastAsia="仿宋_GB2312"/>
          <w:sz w:val="32"/>
          <w:szCs w:val="32"/>
        </w:rPr>
      </w:pPr>
      <w:r>
        <w:rPr>
          <w:rFonts w:hint="eastAsia" w:eastAsia="仿宋_GB2312"/>
          <w:sz w:val="32"/>
          <w:szCs w:val="32"/>
        </w:rPr>
        <w:t>坚持生态优先原则，大力发展以生态产业和创意林业为</w:t>
      </w:r>
    </w:p>
    <w:p w14:paraId="4282F65F">
      <w:pPr>
        <w:spacing w:line="360" w:lineRule="auto"/>
        <w:rPr>
          <w:rFonts w:hint="eastAsia" w:eastAsia="仿宋_GB2312"/>
          <w:sz w:val="32"/>
          <w:szCs w:val="32"/>
        </w:rPr>
      </w:pPr>
      <w:r>
        <w:rPr>
          <w:rFonts w:hint="eastAsia" w:eastAsia="仿宋_GB2312"/>
          <w:sz w:val="32"/>
          <w:szCs w:val="32"/>
        </w:rPr>
        <w:t>特色的低碳经济，使之成为全省生态林业、低碳产业、绿色经济的示范典型。坚持</w:t>
      </w:r>
      <w:r>
        <w:rPr>
          <w:rFonts w:eastAsia="仿宋_GB2312"/>
          <w:sz w:val="32"/>
          <w:szCs w:val="32"/>
        </w:rPr>
        <w:t>可持续发展原则</w:t>
      </w:r>
      <w:r>
        <w:rPr>
          <w:rFonts w:hint="eastAsia" w:eastAsia="仿宋_GB2312"/>
          <w:sz w:val="32"/>
          <w:szCs w:val="32"/>
        </w:rPr>
        <w:t>，应致力于森林资源优化配置、把森林的保护、管理和可持续开发，与林业的生产、消费、再循环和森林生活进行协调的可持续发展。</w:t>
      </w:r>
    </w:p>
    <w:p w14:paraId="3532813D">
      <w:pPr>
        <w:spacing w:line="360" w:lineRule="auto"/>
        <w:ind w:firstLine="643" w:firstLineChars="200"/>
        <w:rPr>
          <w:rFonts w:eastAsia="仿宋_GB2312"/>
          <w:b/>
          <w:sz w:val="32"/>
          <w:szCs w:val="32"/>
        </w:rPr>
      </w:pPr>
      <w:r>
        <w:rPr>
          <w:rFonts w:eastAsia="仿宋_GB2312"/>
          <w:b/>
          <w:sz w:val="32"/>
          <w:szCs w:val="32"/>
        </w:rPr>
        <w:t>（2）坚持乡村振兴</w:t>
      </w:r>
      <w:r>
        <w:rPr>
          <w:rFonts w:hint="eastAsia" w:eastAsia="仿宋_GB2312"/>
          <w:b/>
          <w:sz w:val="32"/>
          <w:szCs w:val="32"/>
        </w:rPr>
        <w:t>和以人为本</w:t>
      </w:r>
      <w:r>
        <w:rPr>
          <w:rFonts w:eastAsia="仿宋_GB2312"/>
          <w:b/>
          <w:sz w:val="32"/>
          <w:szCs w:val="32"/>
        </w:rPr>
        <w:t>原则</w:t>
      </w:r>
    </w:p>
    <w:p w14:paraId="6D94DC1F">
      <w:pPr>
        <w:spacing w:line="360" w:lineRule="auto"/>
        <w:ind w:firstLine="640" w:firstLineChars="200"/>
        <w:rPr>
          <w:rFonts w:hint="eastAsia" w:eastAsia="仿宋_GB2312"/>
          <w:sz w:val="32"/>
          <w:szCs w:val="32"/>
        </w:rPr>
      </w:pPr>
      <w:r>
        <w:rPr>
          <w:rFonts w:eastAsia="仿宋_GB2312"/>
          <w:sz w:val="32"/>
          <w:szCs w:val="32"/>
        </w:rPr>
        <w:t>坚持生态惠民、生态利民、生态为民，践行以人民为中心的发展思想，不断满足人民日益增长的优美生态环境需要。积极引进新产品，培育新品种、推广新技术，提高产品环保性能和科技含量。强化科技支撑在产业发展中</w:t>
      </w:r>
      <w:r>
        <w:rPr>
          <w:rFonts w:hint="eastAsia" w:eastAsia="仿宋_GB2312"/>
          <w:sz w:val="32"/>
          <w:szCs w:val="32"/>
        </w:rPr>
        <w:t>，</w:t>
      </w:r>
      <w:r>
        <w:rPr>
          <w:rFonts w:eastAsia="仿宋_GB2312"/>
          <w:sz w:val="32"/>
          <w:szCs w:val="32"/>
        </w:rPr>
        <w:t>促进产业科技创新，延长产业链，实现资源的有效转化和产品的多次增值，提高产品市场竞争力。加快现代林业产业发展</w:t>
      </w:r>
      <w:r>
        <w:rPr>
          <w:rFonts w:hint="eastAsia" w:eastAsia="仿宋_GB2312"/>
          <w:sz w:val="32"/>
          <w:szCs w:val="32"/>
        </w:rPr>
        <w:t>，</w:t>
      </w:r>
      <w:r>
        <w:rPr>
          <w:rFonts w:eastAsia="仿宋_GB2312"/>
          <w:sz w:val="32"/>
          <w:szCs w:val="32"/>
        </w:rPr>
        <w:t>积极发展林下经济、循环经济等促生态惠民生新兴产业，</w:t>
      </w:r>
      <w:r>
        <w:rPr>
          <w:rFonts w:hint="eastAsia" w:eastAsia="仿宋_GB2312"/>
          <w:sz w:val="32"/>
          <w:szCs w:val="32"/>
        </w:rPr>
        <w:t>助力乡村振兴。</w:t>
      </w:r>
    </w:p>
    <w:p w14:paraId="02CD7EBC">
      <w:pPr>
        <w:spacing w:line="360" w:lineRule="auto"/>
        <w:ind w:firstLine="643" w:firstLineChars="200"/>
        <w:rPr>
          <w:rFonts w:eastAsia="仿宋_GB2312"/>
          <w:b/>
          <w:sz w:val="32"/>
          <w:szCs w:val="32"/>
        </w:rPr>
      </w:pPr>
      <w:r>
        <w:rPr>
          <w:rFonts w:eastAsia="仿宋_GB2312"/>
          <w:b/>
          <w:sz w:val="32"/>
          <w:szCs w:val="32"/>
        </w:rPr>
        <w:t>（3）坚持市场调节和政府引导原则</w:t>
      </w:r>
    </w:p>
    <w:p w14:paraId="2083B450">
      <w:pPr>
        <w:spacing w:line="360" w:lineRule="auto"/>
        <w:ind w:firstLine="640" w:firstLineChars="200"/>
        <w:rPr>
          <w:rFonts w:eastAsia="仿宋_GB2312"/>
          <w:sz w:val="32"/>
          <w:szCs w:val="32"/>
        </w:rPr>
      </w:pPr>
      <w:r>
        <w:rPr>
          <w:rFonts w:eastAsia="仿宋_GB2312"/>
          <w:sz w:val="32"/>
          <w:szCs w:val="32"/>
        </w:rPr>
        <w:t>林业产业发展要充分发挥市场配置资源基础性作用，充分尊重林农的意愿，更好发挥政府对林业产业的引导调控，坚持市场</w:t>
      </w:r>
      <w:r>
        <w:rPr>
          <w:rFonts w:hint="eastAsia" w:eastAsia="仿宋_GB2312"/>
          <w:sz w:val="32"/>
          <w:szCs w:val="32"/>
        </w:rPr>
        <w:t>调节为</w:t>
      </w:r>
      <w:r>
        <w:rPr>
          <w:rFonts w:eastAsia="仿宋_GB2312"/>
          <w:sz w:val="32"/>
          <w:szCs w:val="32"/>
        </w:rPr>
        <w:t>主导</w:t>
      </w:r>
      <w:r>
        <w:rPr>
          <w:rFonts w:hint="eastAsia" w:eastAsia="仿宋_GB2312"/>
          <w:sz w:val="32"/>
          <w:szCs w:val="32"/>
        </w:rPr>
        <w:t>、政府引导</w:t>
      </w:r>
      <w:r>
        <w:rPr>
          <w:rFonts w:eastAsia="仿宋_GB2312"/>
          <w:sz w:val="32"/>
          <w:szCs w:val="32"/>
        </w:rPr>
        <w:t>为辅原则，通过开放市场、鼓励竞争，引导和促进企业投资建设为目标，促进产业经济快速、健康发展。</w:t>
      </w:r>
    </w:p>
    <w:p w14:paraId="77A91583">
      <w:pPr>
        <w:spacing w:line="360" w:lineRule="auto"/>
        <w:ind w:firstLine="643" w:firstLineChars="200"/>
        <w:rPr>
          <w:rFonts w:eastAsia="仿宋_GB2312"/>
          <w:b/>
          <w:sz w:val="32"/>
          <w:szCs w:val="32"/>
        </w:rPr>
      </w:pPr>
      <w:r>
        <w:rPr>
          <w:rFonts w:eastAsia="仿宋_GB2312"/>
          <w:b/>
          <w:sz w:val="32"/>
          <w:szCs w:val="32"/>
        </w:rPr>
        <w:t>（4）坚持产业转型和企业带动原则</w:t>
      </w:r>
    </w:p>
    <w:p w14:paraId="2CAB3921">
      <w:pPr>
        <w:spacing w:line="360" w:lineRule="auto"/>
        <w:ind w:firstLine="640" w:firstLineChars="200"/>
        <w:rPr>
          <w:rFonts w:eastAsia="仿宋_GB2312"/>
          <w:sz w:val="32"/>
          <w:szCs w:val="32"/>
        </w:rPr>
      </w:pPr>
      <w:r>
        <w:rPr>
          <w:rFonts w:eastAsia="仿宋_GB2312"/>
          <w:sz w:val="32"/>
          <w:szCs w:val="32"/>
        </w:rPr>
        <w:t>坚持在发展中促转变，在转变中谋发展。以培育龙头企业为</w:t>
      </w:r>
      <w:r>
        <w:rPr>
          <w:rFonts w:hint="eastAsia" w:eastAsia="仿宋_GB2312"/>
          <w:sz w:val="32"/>
          <w:szCs w:val="32"/>
        </w:rPr>
        <w:t>手段</w:t>
      </w:r>
      <w:r>
        <w:rPr>
          <w:rFonts w:eastAsia="仿宋_GB2312"/>
          <w:sz w:val="32"/>
          <w:szCs w:val="32"/>
        </w:rPr>
        <w:t>，集成</w:t>
      </w:r>
      <w:r>
        <w:rPr>
          <w:rFonts w:hint="eastAsia" w:eastAsia="仿宋_GB2312"/>
          <w:sz w:val="32"/>
          <w:szCs w:val="32"/>
        </w:rPr>
        <w:t>资源</w:t>
      </w:r>
      <w:r>
        <w:rPr>
          <w:rFonts w:eastAsia="仿宋_GB2312"/>
          <w:sz w:val="32"/>
          <w:szCs w:val="32"/>
        </w:rPr>
        <w:t>利用、</w:t>
      </w:r>
      <w:r>
        <w:rPr>
          <w:rFonts w:hint="eastAsia" w:eastAsia="仿宋_GB2312"/>
          <w:sz w:val="32"/>
          <w:szCs w:val="32"/>
        </w:rPr>
        <w:t>科技水平提升，产业规范化</w:t>
      </w:r>
      <w:r>
        <w:rPr>
          <w:rFonts w:eastAsia="仿宋_GB2312"/>
          <w:sz w:val="32"/>
          <w:szCs w:val="32"/>
        </w:rPr>
        <w:t>等生产要素，通过平台、企业、</w:t>
      </w:r>
      <w:r>
        <w:rPr>
          <w:rFonts w:hint="eastAsia" w:eastAsia="仿宋_GB2312"/>
          <w:sz w:val="32"/>
          <w:szCs w:val="32"/>
        </w:rPr>
        <w:t>个体</w:t>
      </w:r>
      <w:r>
        <w:rPr>
          <w:rFonts w:eastAsia="仿宋_GB2312"/>
          <w:sz w:val="32"/>
          <w:szCs w:val="32"/>
        </w:rPr>
        <w:t>三者</w:t>
      </w:r>
      <w:r>
        <w:rPr>
          <w:rFonts w:hint="eastAsia" w:eastAsia="仿宋_GB2312"/>
          <w:sz w:val="32"/>
          <w:szCs w:val="32"/>
        </w:rPr>
        <w:t>结合</w:t>
      </w:r>
      <w:r>
        <w:rPr>
          <w:rFonts w:eastAsia="仿宋_GB2312"/>
          <w:sz w:val="32"/>
          <w:szCs w:val="32"/>
        </w:rPr>
        <w:t>的品牌营销，优化林业产业结构和布局，带动农户向专业化、标准化、规模化、集约化生产，加快转变林业发展模式转型升级、促进现代林业建设和农民就业增收。</w:t>
      </w:r>
    </w:p>
    <w:p w14:paraId="3FBB6840">
      <w:pPr>
        <w:spacing w:line="360" w:lineRule="auto"/>
        <w:ind w:firstLine="643" w:firstLineChars="200"/>
        <w:rPr>
          <w:rFonts w:eastAsia="仿宋_GB2312"/>
          <w:b/>
          <w:sz w:val="32"/>
          <w:szCs w:val="32"/>
        </w:rPr>
      </w:pPr>
      <w:r>
        <w:rPr>
          <w:rFonts w:eastAsia="仿宋_GB2312"/>
          <w:b/>
          <w:sz w:val="32"/>
          <w:szCs w:val="32"/>
        </w:rPr>
        <w:t>（5）坚持科技支撑和</w:t>
      </w:r>
      <w:r>
        <w:rPr>
          <w:rFonts w:hint="eastAsia" w:eastAsia="仿宋_GB2312"/>
          <w:b/>
          <w:sz w:val="32"/>
          <w:szCs w:val="32"/>
        </w:rPr>
        <w:t>推广应用</w:t>
      </w:r>
      <w:r>
        <w:rPr>
          <w:rFonts w:eastAsia="仿宋_GB2312"/>
          <w:b/>
          <w:sz w:val="32"/>
          <w:szCs w:val="32"/>
        </w:rPr>
        <w:t>原则</w:t>
      </w:r>
    </w:p>
    <w:p w14:paraId="139B411C">
      <w:pPr>
        <w:spacing w:line="360" w:lineRule="auto"/>
        <w:ind w:firstLine="640" w:firstLineChars="200"/>
        <w:rPr>
          <w:rFonts w:eastAsia="仿宋_GB2312"/>
          <w:sz w:val="32"/>
          <w:szCs w:val="32"/>
        </w:rPr>
      </w:pPr>
      <w:r>
        <w:rPr>
          <w:rFonts w:eastAsia="仿宋_GB2312"/>
          <w:sz w:val="32"/>
          <w:szCs w:val="32"/>
        </w:rPr>
        <w:t>把增强自主创新能力作为调整林业产业结构的中心环节，建立以企业为主体、市场为导向、产学研相结合的技术创新体系，</w:t>
      </w:r>
      <w:r>
        <w:rPr>
          <w:rFonts w:hint="eastAsia" w:eastAsia="仿宋_GB2312"/>
          <w:sz w:val="32"/>
          <w:szCs w:val="32"/>
        </w:rPr>
        <w:t>大力发展林业高新技术产业，</w:t>
      </w:r>
      <w:r>
        <w:rPr>
          <w:rFonts w:eastAsia="仿宋_GB2312"/>
          <w:sz w:val="32"/>
          <w:szCs w:val="32"/>
        </w:rPr>
        <w:t>提升林业产业整体技术水平。</w:t>
      </w:r>
    </w:p>
    <w:p w14:paraId="461D8B30">
      <w:pPr>
        <w:spacing w:line="360" w:lineRule="auto"/>
        <w:rPr>
          <w:rFonts w:hint="eastAsia" w:eastAsia="仿宋_GB2312"/>
          <w:b/>
          <w:bCs/>
          <w:sz w:val="32"/>
          <w:szCs w:val="32"/>
        </w:rPr>
      </w:pPr>
      <w:r>
        <w:rPr>
          <w:rFonts w:eastAsia="仿宋_GB2312"/>
          <w:b/>
          <w:bCs/>
          <w:sz w:val="32"/>
          <w:szCs w:val="32"/>
        </w:rPr>
        <w:t>4.</w:t>
      </w:r>
      <w:r>
        <w:rPr>
          <w:rFonts w:hint="eastAsia" w:eastAsia="仿宋_GB2312"/>
          <w:b/>
          <w:bCs/>
          <w:sz w:val="32"/>
          <w:szCs w:val="32"/>
        </w:rPr>
        <w:t>4</w:t>
      </w:r>
      <w:r>
        <w:rPr>
          <w:rFonts w:eastAsia="仿宋_GB2312"/>
          <w:b/>
          <w:bCs/>
          <w:sz w:val="32"/>
          <w:szCs w:val="32"/>
        </w:rPr>
        <w:t>.2 规划依据</w:t>
      </w:r>
    </w:p>
    <w:p w14:paraId="76719D3B">
      <w:pPr>
        <w:spacing w:line="360" w:lineRule="auto"/>
        <w:rPr>
          <w:rFonts w:eastAsia="仿宋_GB2312"/>
          <w:b/>
          <w:bCs/>
          <w:sz w:val="32"/>
          <w:szCs w:val="32"/>
        </w:rPr>
      </w:pPr>
      <w:r>
        <w:rPr>
          <w:rFonts w:hint="eastAsia" w:eastAsia="仿宋_GB2312"/>
          <w:b/>
          <w:bCs/>
          <w:sz w:val="32"/>
          <w:szCs w:val="32"/>
        </w:rPr>
        <w:t>4.4.2.1法律法规</w:t>
      </w:r>
    </w:p>
    <w:p w14:paraId="7FA9D6BE">
      <w:pPr>
        <w:ind w:firstLine="640" w:firstLineChars="200"/>
        <w:rPr>
          <w:rFonts w:eastAsia="仿宋_GB2312"/>
          <w:sz w:val="32"/>
          <w:szCs w:val="32"/>
        </w:rPr>
      </w:pPr>
      <w:r>
        <w:rPr>
          <w:rFonts w:hint="eastAsia" w:eastAsia="仿宋_GB2312"/>
          <w:sz w:val="32"/>
          <w:szCs w:val="32"/>
        </w:rPr>
        <w:t>（1）</w:t>
      </w:r>
      <w:r>
        <w:rPr>
          <w:rFonts w:eastAsia="仿宋_GB2312"/>
          <w:sz w:val="32"/>
          <w:szCs w:val="32"/>
        </w:rPr>
        <w:t>《中华人民共和国森林法》（2020年7月1日施行）</w:t>
      </w:r>
      <w:r>
        <w:rPr>
          <w:rFonts w:hint="eastAsia" w:eastAsia="仿宋_GB2312"/>
          <w:sz w:val="32"/>
          <w:szCs w:val="32"/>
        </w:rPr>
        <w:t>；</w:t>
      </w:r>
      <w:r>
        <w:rPr>
          <w:rFonts w:eastAsia="仿宋_GB2312"/>
          <w:sz w:val="32"/>
          <w:szCs w:val="32"/>
        </w:rPr>
        <w:t xml:space="preserve"> </w:t>
      </w:r>
    </w:p>
    <w:p w14:paraId="31A03009">
      <w:pPr>
        <w:ind w:firstLine="640" w:firstLineChars="200"/>
        <w:rPr>
          <w:rFonts w:eastAsia="仿宋_GB2312"/>
          <w:sz w:val="32"/>
          <w:szCs w:val="32"/>
        </w:rPr>
      </w:pPr>
      <w:r>
        <w:rPr>
          <w:rFonts w:hint="eastAsia" w:eastAsia="仿宋_GB2312"/>
          <w:sz w:val="32"/>
          <w:szCs w:val="32"/>
        </w:rPr>
        <w:t>（2）</w:t>
      </w:r>
      <w:r>
        <w:rPr>
          <w:rFonts w:eastAsia="仿宋_GB2312"/>
          <w:sz w:val="32"/>
          <w:szCs w:val="32"/>
        </w:rPr>
        <w:t>《中华人民共和国自然保护区条例》</w:t>
      </w:r>
      <w:r>
        <w:rPr>
          <w:rFonts w:hint="eastAsia" w:eastAsia="仿宋_GB2312"/>
          <w:sz w:val="32"/>
          <w:szCs w:val="32"/>
        </w:rPr>
        <w:t>（</w:t>
      </w:r>
      <w:r>
        <w:rPr>
          <w:rFonts w:eastAsia="仿宋_GB2312"/>
          <w:sz w:val="32"/>
          <w:szCs w:val="32"/>
        </w:rPr>
        <w:t>2017年修订</w:t>
      </w:r>
      <w:r>
        <w:rPr>
          <w:rFonts w:hint="eastAsia" w:eastAsia="仿宋_GB2312"/>
          <w:sz w:val="32"/>
          <w:szCs w:val="32"/>
        </w:rPr>
        <w:t>）；</w:t>
      </w:r>
    </w:p>
    <w:p w14:paraId="695F8A3B">
      <w:pPr>
        <w:ind w:firstLine="640" w:firstLineChars="200"/>
        <w:rPr>
          <w:rFonts w:hint="eastAsia" w:eastAsia="仿宋_GB2312"/>
          <w:sz w:val="32"/>
          <w:szCs w:val="32"/>
        </w:rPr>
      </w:pPr>
      <w:r>
        <w:rPr>
          <w:rFonts w:hint="eastAsia" w:eastAsia="仿宋_GB2312"/>
          <w:sz w:val="32"/>
          <w:szCs w:val="32"/>
        </w:rPr>
        <w:t>（3）《中华人民共和国野生动物保护法》（2018 年10 月26 日修改）；</w:t>
      </w:r>
    </w:p>
    <w:p w14:paraId="1146E5C8">
      <w:pPr>
        <w:ind w:firstLine="640" w:firstLineChars="200"/>
        <w:rPr>
          <w:rFonts w:hint="eastAsia" w:eastAsia="仿宋_GB2312"/>
          <w:sz w:val="32"/>
          <w:szCs w:val="32"/>
        </w:rPr>
      </w:pPr>
      <w:r>
        <w:rPr>
          <w:rFonts w:hint="eastAsia" w:eastAsia="仿宋_GB2312"/>
          <w:sz w:val="32"/>
          <w:szCs w:val="32"/>
        </w:rPr>
        <w:t>（4）《中华人民共和国野生植物保护条例》（2017年10月7日修改）；</w:t>
      </w:r>
    </w:p>
    <w:p w14:paraId="67E9F628">
      <w:pPr>
        <w:ind w:firstLine="640" w:firstLineChars="200"/>
        <w:rPr>
          <w:rFonts w:hint="eastAsia" w:eastAsia="仿宋_GB2312"/>
          <w:sz w:val="32"/>
          <w:szCs w:val="32"/>
        </w:rPr>
      </w:pPr>
      <w:r>
        <w:rPr>
          <w:rFonts w:hint="eastAsia" w:eastAsia="仿宋_GB2312"/>
          <w:sz w:val="32"/>
          <w:szCs w:val="32"/>
        </w:rPr>
        <w:t>（5）《中华人民共和国环境保护法》（2014年4月24 日修订）；</w:t>
      </w:r>
    </w:p>
    <w:p w14:paraId="159547D5">
      <w:pPr>
        <w:ind w:firstLine="640" w:firstLineChars="200"/>
        <w:rPr>
          <w:rFonts w:hint="eastAsia" w:eastAsia="仿宋_GB2312"/>
          <w:sz w:val="32"/>
          <w:szCs w:val="32"/>
        </w:rPr>
      </w:pPr>
      <w:r>
        <w:rPr>
          <w:rFonts w:hint="eastAsia" w:eastAsia="仿宋_GB2312"/>
          <w:sz w:val="32"/>
          <w:szCs w:val="32"/>
        </w:rPr>
        <w:t>（6）《海南省自然保护区条例》（2018年12月1日修正）；</w:t>
      </w:r>
    </w:p>
    <w:p w14:paraId="1AF16E0E">
      <w:pPr>
        <w:ind w:firstLine="640" w:firstLineChars="200"/>
        <w:rPr>
          <w:rFonts w:hint="eastAsia" w:eastAsia="仿宋_GB2312"/>
          <w:sz w:val="32"/>
          <w:szCs w:val="32"/>
        </w:rPr>
      </w:pPr>
      <w:r>
        <w:rPr>
          <w:rFonts w:hint="eastAsia" w:eastAsia="仿宋_GB2312"/>
          <w:sz w:val="32"/>
          <w:szCs w:val="32"/>
        </w:rPr>
        <w:t>（7）《海南经济特区林地管理条例》（2014年5月30 日修正）；</w:t>
      </w:r>
    </w:p>
    <w:p w14:paraId="3B17C0FD">
      <w:pPr>
        <w:ind w:firstLine="640" w:firstLineChars="200"/>
        <w:rPr>
          <w:rFonts w:hint="eastAsia" w:eastAsia="仿宋_GB2312"/>
          <w:sz w:val="32"/>
          <w:szCs w:val="32"/>
        </w:rPr>
      </w:pPr>
      <w:r>
        <w:rPr>
          <w:rFonts w:hint="eastAsia" w:eastAsia="仿宋_GB2312"/>
          <w:sz w:val="32"/>
          <w:szCs w:val="32"/>
        </w:rPr>
        <w:t>（8）《海南经济特区森林旅游资源保护和开发规定》（2</w:t>
      </w:r>
      <w:r>
        <w:rPr>
          <w:rFonts w:eastAsia="仿宋_GB2312"/>
          <w:sz w:val="32"/>
          <w:szCs w:val="32"/>
        </w:rPr>
        <w:t>013</w:t>
      </w:r>
      <w:r>
        <w:rPr>
          <w:rFonts w:hint="eastAsia" w:eastAsia="仿宋_GB2312"/>
          <w:sz w:val="32"/>
          <w:szCs w:val="32"/>
        </w:rPr>
        <w:t>年2月1日起施行）；</w:t>
      </w:r>
    </w:p>
    <w:p w14:paraId="195382B4">
      <w:pPr>
        <w:ind w:firstLine="640" w:firstLineChars="200"/>
        <w:rPr>
          <w:rFonts w:hint="eastAsia" w:eastAsia="仿宋_GB2312"/>
          <w:sz w:val="32"/>
          <w:szCs w:val="32"/>
        </w:rPr>
      </w:pPr>
      <w:r>
        <w:rPr>
          <w:rFonts w:hint="eastAsia" w:eastAsia="仿宋_GB2312"/>
          <w:sz w:val="32"/>
          <w:szCs w:val="32"/>
        </w:rPr>
        <w:t>（9）《海南经济特区海岸带保护与利用管理规定》（2019 年12月31 日修改）；</w:t>
      </w:r>
    </w:p>
    <w:p w14:paraId="33C9F03C">
      <w:pPr>
        <w:ind w:firstLine="640" w:firstLineChars="200"/>
        <w:rPr>
          <w:rFonts w:hint="eastAsia" w:eastAsia="仿宋_GB2312"/>
          <w:sz w:val="32"/>
          <w:szCs w:val="32"/>
        </w:rPr>
      </w:pPr>
      <w:r>
        <w:rPr>
          <w:rFonts w:hint="eastAsia" w:eastAsia="仿宋_GB2312"/>
          <w:sz w:val="32"/>
          <w:szCs w:val="32"/>
        </w:rPr>
        <w:t>（10）《海南省湿地保护条例》（2018 年7月1日起施行)；</w:t>
      </w:r>
    </w:p>
    <w:p w14:paraId="6511F427">
      <w:pPr>
        <w:ind w:firstLine="640" w:firstLineChars="200"/>
        <w:rPr>
          <w:rFonts w:hint="eastAsia" w:eastAsia="仿宋_GB2312"/>
          <w:sz w:val="32"/>
          <w:szCs w:val="32"/>
        </w:rPr>
      </w:pPr>
      <w:r>
        <w:rPr>
          <w:rFonts w:hint="eastAsia" w:eastAsia="仿宋_GB2312"/>
          <w:sz w:val="32"/>
          <w:szCs w:val="32"/>
        </w:rPr>
        <w:t>（11）</w:t>
      </w:r>
      <w:r>
        <w:rPr>
          <w:rFonts w:eastAsia="仿宋_GB2312"/>
          <w:sz w:val="32"/>
          <w:szCs w:val="32"/>
        </w:rPr>
        <w:t>《三亚市山体保护条例》（2016年11月1日施行）；</w:t>
      </w:r>
    </w:p>
    <w:p w14:paraId="7CD06B82">
      <w:pPr>
        <w:ind w:firstLine="640" w:firstLineChars="200"/>
        <w:rPr>
          <w:rFonts w:hint="eastAsia" w:eastAsia="仿宋_GB2312"/>
          <w:sz w:val="32"/>
          <w:szCs w:val="32"/>
        </w:rPr>
      </w:pPr>
      <w:r>
        <w:rPr>
          <w:rFonts w:hint="eastAsia" w:eastAsia="仿宋_GB2312"/>
          <w:sz w:val="32"/>
          <w:szCs w:val="32"/>
        </w:rPr>
        <w:t>（12）《海南省古树名木保护管理规定》（201311月1日实施）；</w:t>
      </w:r>
    </w:p>
    <w:p w14:paraId="62B95748">
      <w:pPr>
        <w:ind w:firstLine="640" w:firstLineChars="200"/>
        <w:rPr>
          <w:rFonts w:hint="eastAsia" w:eastAsia="仿宋_GB2312"/>
          <w:sz w:val="32"/>
          <w:szCs w:val="32"/>
        </w:rPr>
      </w:pPr>
      <w:r>
        <w:rPr>
          <w:rFonts w:hint="eastAsia" w:eastAsia="仿宋_GB2312"/>
          <w:sz w:val="32"/>
          <w:szCs w:val="32"/>
        </w:rPr>
        <w:t>（13）</w:t>
      </w:r>
      <w:r>
        <w:rPr>
          <w:rFonts w:eastAsia="仿宋_GB2312"/>
          <w:sz w:val="32"/>
          <w:szCs w:val="32"/>
        </w:rPr>
        <w:t>《三亚市古树名木保护管理</w:t>
      </w:r>
      <w:r>
        <w:rPr>
          <w:rFonts w:hint="eastAsia" w:eastAsia="仿宋_GB2312"/>
          <w:sz w:val="32"/>
          <w:szCs w:val="32"/>
        </w:rPr>
        <w:t>若干规定</w:t>
      </w:r>
      <w:r>
        <w:rPr>
          <w:rFonts w:eastAsia="仿宋_GB2312"/>
          <w:sz w:val="32"/>
          <w:szCs w:val="32"/>
        </w:rPr>
        <w:t>》（三亚市人民政府令 第8号）</w:t>
      </w:r>
      <w:r>
        <w:rPr>
          <w:rFonts w:hint="eastAsia" w:eastAsia="仿宋_GB2312"/>
          <w:sz w:val="32"/>
          <w:szCs w:val="32"/>
        </w:rPr>
        <w:t>。</w:t>
      </w:r>
    </w:p>
    <w:p w14:paraId="7B564523">
      <w:pPr>
        <w:ind w:firstLine="643" w:firstLineChars="200"/>
        <w:rPr>
          <w:rFonts w:eastAsia="仿宋_GB2312"/>
          <w:b/>
          <w:bCs/>
          <w:sz w:val="32"/>
          <w:szCs w:val="32"/>
        </w:rPr>
      </w:pPr>
      <w:r>
        <w:rPr>
          <w:rFonts w:hint="eastAsia" w:eastAsia="仿宋_GB2312"/>
          <w:b/>
          <w:bCs/>
          <w:sz w:val="32"/>
          <w:szCs w:val="32"/>
        </w:rPr>
        <w:t>4.4.2.2政策文件</w:t>
      </w:r>
    </w:p>
    <w:p w14:paraId="37A743B4">
      <w:pPr>
        <w:ind w:firstLine="640" w:firstLineChars="200"/>
        <w:rPr>
          <w:rFonts w:hint="eastAsia" w:eastAsia="仿宋_GB2312"/>
          <w:sz w:val="32"/>
          <w:szCs w:val="32"/>
        </w:rPr>
      </w:pPr>
      <w:r>
        <w:rPr>
          <w:rFonts w:hint="eastAsia" w:eastAsia="仿宋_GB2312"/>
          <w:sz w:val="32"/>
          <w:szCs w:val="32"/>
        </w:rPr>
        <w:t>（1）</w:t>
      </w:r>
      <w:r>
        <w:rPr>
          <w:rFonts w:eastAsia="仿宋_GB2312"/>
          <w:sz w:val="32"/>
          <w:szCs w:val="32"/>
        </w:rPr>
        <w:t>《中共中央关于制定国民经济和社会发展第十四个五年规划和二</w:t>
      </w:r>
      <w:r>
        <w:rPr>
          <w:sz w:val="32"/>
          <w:szCs w:val="32"/>
        </w:rPr>
        <w:t>〇</w:t>
      </w:r>
      <w:r>
        <w:rPr>
          <w:rFonts w:eastAsia="仿宋_GB2312"/>
          <w:sz w:val="32"/>
          <w:szCs w:val="32"/>
        </w:rPr>
        <w:t>三五年远景目标目标纲要》（2020年10月29日）</w:t>
      </w:r>
      <w:r>
        <w:rPr>
          <w:rFonts w:hint="eastAsia" w:eastAsia="仿宋_GB2312"/>
          <w:sz w:val="32"/>
          <w:szCs w:val="32"/>
        </w:rPr>
        <w:t>；</w:t>
      </w:r>
    </w:p>
    <w:p w14:paraId="26DD3120">
      <w:pPr>
        <w:ind w:firstLine="640" w:firstLineChars="200"/>
        <w:rPr>
          <w:rFonts w:hint="eastAsia" w:eastAsia="仿宋_GB2312"/>
          <w:sz w:val="32"/>
          <w:szCs w:val="32"/>
        </w:rPr>
      </w:pPr>
      <w:r>
        <w:rPr>
          <w:rFonts w:hint="eastAsia" w:eastAsia="仿宋_GB2312"/>
          <w:sz w:val="32"/>
          <w:szCs w:val="32"/>
        </w:rPr>
        <w:t>（2）</w:t>
      </w:r>
      <w:r>
        <w:rPr>
          <w:rFonts w:eastAsia="仿宋_GB2312"/>
          <w:sz w:val="32"/>
          <w:szCs w:val="32"/>
        </w:rPr>
        <w:t>《中共中央、国务院关于加快林业发展的决定》</w:t>
      </w:r>
      <w:r>
        <w:rPr>
          <w:rFonts w:hint="eastAsia" w:eastAsia="仿宋_GB2312"/>
          <w:sz w:val="32"/>
          <w:szCs w:val="32"/>
        </w:rPr>
        <w:t>（</w:t>
      </w:r>
      <w:r>
        <w:rPr>
          <w:rFonts w:eastAsia="仿宋_GB2312"/>
          <w:sz w:val="32"/>
          <w:szCs w:val="32"/>
        </w:rPr>
        <w:t>2003年6月25日</w:t>
      </w:r>
      <w:r>
        <w:rPr>
          <w:rFonts w:hint="eastAsia" w:eastAsia="仿宋_GB2312"/>
          <w:sz w:val="32"/>
          <w:szCs w:val="32"/>
        </w:rPr>
        <w:t>）；</w:t>
      </w:r>
    </w:p>
    <w:p w14:paraId="0EB25F36">
      <w:pPr>
        <w:ind w:firstLine="640" w:firstLineChars="200"/>
        <w:rPr>
          <w:rFonts w:hint="eastAsia" w:eastAsia="仿宋_GB2312"/>
          <w:sz w:val="32"/>
          <w:szCs w:val="32"/>
        </w:rPr>
      </w:pPr>
      <w:r>
        <w:rPr>
          <w:rFonts w:hint="eastAsia" w:eastAsia="仿宋_GB2312"/>
          <w:sz w:val="32"/>
          <w:szCs w:val="32"/>
        </w:rPr>
        <w:t>（3）</w:t>
      </w:r>
      <w:r>
        <w:rPr>
          <w:rFonts w:eastAsia="仿宋_GB2312"/>
          <w:sz w:val="32"/>
          <w:szCs w:val="32"/>
        </w:rPr>
        <w:t>《重点公益林区划界定办法》（林策发〔2004〕94号）</w:t>
      </w:r>
      <w:r>
        <w:rPr>
          <w:rFonts w:hint="eastAsia" w:eastAsia="仿宋_GB2312"/>
          <w:sz w:val="32"/>
          <w:szCs w:val="32"/>
        </w:rPr>
        <w:t>；</w:t>
      </w:r>
    </w:p>
    <w:p w14:paraId="6BFB5223">
      <w:pPr>
        <w:ind w:firstLine="640" w:firstLineChars="200"/>
        <w:rPr>
          <w:rFonts w:eastAsia="仿宋_GB2312"/>
          <w:sz w:val="32"/>
          <w:szCs w:val="32"/>
        </w:rPr>
      </w:pPr>
      <w:r>
        <w:rPr>
          <w:rFonts w:hint="eastAsia" w:eastAsia="仿宋_GB2312"/>
          <w:sz w:val="32"/>
          <w:szCs w:val="32"/>
        </w:rPr>
        <w:t>（4）《中共中央国务院关于加快推进生态文明建设的意见》（中发〔2015〕第12 号）；</w:t>
      </w:r>
    </w:p>
    <w:p w14:paraId="238AF969">
      <w:pPr>
        <w:ind w:firstLine="640" w:firstLineChars="200"/>
        <w:rPr>
          <w:rFonts w:eastAsia="仿宋_GB2312"/>
          <w:sz w:val="32"/>
          <w:szCs w:val="32"/>
        </w:rPr>
      </w:pPr>
      <w:r>
        <w:rPr>
          <w:rFonts w:hint="eastAsia" w:eastAsia="仿宋_GB2312"/>
          <w:sz w:val="32"/>
          <w:szCs w:val="32"/>
        </w:rPr>
        <w:t>（5）</w:t>
      </w:r>
      <w:r>
        <w:rPr>
          <w:rFonts w:eastAsia="仿宋_GB2312"/>
          <w:sz w:val="32"/>
          <w:szCs w:val="32"/>
        </w:rPr>
        <w:t>《习近平总书记在庆祝海南建省办经济特区30周年大会上的重要讲话》（2018年4月13日）</w:t>
      </w:r>
      <w:r>
        <w:rPr>
          <w:rFonts w:hint="eastAsia" w:eastAsia="仿宋_GB2312"/>
          <w:sz w:val="32"/>
          <w:szCs w:val="32"/>
        </w:rPr>
        <w:t>；</w:t>
      </w:r>
    </w:p>
    <w:p w14:paraId="258EEBD1">
      <w:pPr>
        <w:ind w:firstLine="640" w:firstLineChars="200"/>
        <w:rPr>
          <w:rFonts w:hint="eastAsia" w:eastAsia="仿宋_GB2312"/>
          <w:sz w:val="32"/>
          <w:szCs w:val="32"/>
        </w:rPr>
      </w:pPr>
      <w:r>
        <w:rPr>
          <w:rFonts w:hint="eastAsia" w:eastAsia="仿宋_GB2312"/>
          <w:sz w:val="32"/>
          <w:szCs w:val="32"/>
        </w:rPr>
        <w:t>（6）</w:t>
      </w:r>
      <w:r>
        <w:rPr>
          <w:rFonts w:eastAsia="仿宋_GB2312"/>
          <w:sz w:val="32"/>
          <w:szCs w:val="32"/>
        </w:rPr>
        <w:t>《国家生态文明试验区</w:t>
      </w:r>
      <w:r>
        <w:rPr>
          <w:rFonts w:hint="eastAsia" w:eastAsia="仿宋_GB2312"/>
          <w:sz w:val="32"/>
          <w:szCs w:val="32"/>
        </w:rPr>
        <w:t>（</w:t>
      </w:r>
      <w:r>
        <w:rPr>
          <w:rFonts w:eastAsia="仿宋_GB2312"/>
          <w:sz w:val="32"/>
          <w:szCs w:val="32"/>
        </w:rPr>
        <w:t>海南</w:t>
      </w:r>
      <w:r>
        <w:rPr>
          <w:rFonts w:hint="eastAsia" w:eastAsia="仿宋_GB2312"/>
          <w:sz w:val="32"/>
          <w:szCs w:val="32"/>
        </w:rPr>
        <w:t>）</w:t>
      </w:r>
      <w:r>
        <w:rPr>
          <w:rFonts w:eastAsia="仿宋_GB2312"/>
          <w:sz w:val="32"/>
          <w:szCs w:val="32"/>
        </w:rPr>
        <w:t>实施方案》（中共中央办公厅 国务院办公厅印发</w:t>
      </w:r>
      <w:r>
        <w:fldChar w:fldCharType="begin"/>
      </w:r>
      <w:r>
        <w:instrText xml:space="preserve"> HYPERLINK "https://www.waizi.org.cn/file/63361.html" \t "_blank" \o "厅字〔2019〕29号《国家生态文明试验区（海南）实施方案》（全文）" </w:instrText>
      </w:r>
      <w:r>
        <w:fldChar w:fldCharType="separate"/>
      </w:r>
      <w:r>
        <w:rPr>
          <w:rFonts w:eastAsia="仿宋_GB2312"/>
          <w:sz w:val="32"/>
          <w:szCs w:val="32"/>
        </w:rPr>
        <w:t>〔2019〕29号</w:t>
      </w:r>
      <w:r>
        <w:rPr>
          <w:rFonts w:eastAsia="仿宋_GB2312"/>
          <w:sz w:val="32"/>
          <w:szCs w:val="32"/>
        </w:rPr>
        <w:fldChar w:fldCharType="end"/>
      </w:r>
      <w:r>
        <w:rPr>
          <w:rFonts w:eastAsia="仿宋_GB2312"/>
          <w:sz w:val="32"/>
          <w:szCs w:val="32"/>
        </w:rPr>
        <w:t>）</w:t>
      </w:r>
      <w:r>
        <w:rPr>
          <w:rFonts w:hint="eastAsia" w:eastAsia="仿宋_GB2312"/>
          <w:sz w:val="32"/>
          <w:szCs w:val="32"/>
        </w:rPr>
        <w:t>；</w:t>
      </w:r>
    </w:p>
    <w:p w14:paraId="76F96D04">
      <w:pPr>
        <w:ind w:firstLine="640" w:firstLineChars="200"/>
        <w:rPr>
          <w:rFonts w:hint="eastAsia" w:eastAsia="仿宋_GB2312"/>
          <w:sz w:val="32"/>
          <w:szCs w:val="32"/>
        </w:rPr>
      </w:pPr>
      <w:r>
        <w:rPr>
          <w:rFonts w:hint="eastAsia" w:eastAsia="仿宋_GB2312"/>
          <w:sz w:val="32"/>
          <w:szCs w:val="32"/>
        </w:rPr>
        <w:t>（7）《全球动植物种质资源引进中转基地海关监管方案(试行)》（海关总署 2019年12月）；</w:t>
      </w:r>
    </w:p>
    <w:p w14:paraId="59D82637">
      <w:pPr>
        <w:ind w:firstLine="640" w:firstLineChars="200"/>
        <w:rPr>
          <w:rFonts w:hint="eastAsia" w:eastAsia="仿宋_GB2312"/>
          <w:sz w:val="32"/>
          <w:szCs w:val="32"/>
        </w:rPr>
      </w:pPr>
      <w:r>
        <w:rPr>
          <w:rFonts w:hint="eastAsia" w:eastAsia="仿宋_GB2312"/>
          <w:sz w:val="32"/>
          <w:szCs w:val="32"/>
        </w:rPr>
        <w:t>（8）《天然林保护修复制度方案》(中共中央办公厅、国务院办公厅 厅字〔2019〕39 号)；</w:t>
      </w:r>
    </w:p>
    <w:p w14:paraId="543EFE3F">
      <w:pPr>
        <w:ind w:firstLine="600"/>
        <w:rPr>
          <w:rFonts w:hint="eastAsia" w:eastAsia="仿宋_GB2312"/>
          <w:sz w:val="32"/>
          <w:szCs w:val="32"/>
        </w:rPr>
      </w:pPr>
      <w:r>
        <w:rPr>
          <w:rFonts w:hint="eastAsia" w:eastAsia="仿宋_GB2312"/>
          <w:sz w:val="32"/>
          <w:szCs w:val="32"/>
        </w:rPr>
        <w:t>（9）《自然资源部 国家林业和草原局关于印发&lt;红树林保护修复专项行动计划（2020-2025 年）&gt;的通知》（自然资发〔2020〕135号）；</w:t>
      </w:r>
    </w:p>
    <w:p w14:paraId="0FAC90CE">
      <w:pPr>
        <w:ind w:firstLine="600"/>
        <w:rPr>
          <w:rFonts w:hint="eastAsia" w:eastAsia="仿宋_GB2312"/>
          <w:sz w:val="32"/>
          <w:szCs w:val="32"/>
        </w:rPr>
      </w:pPr>
      <w:r>
        <w:rPr>
          <w:rFonts w:hint="eastAsia" w:eastAsia="仿宋_GB2312"/>
          <w:sz w:val="32"/>
          <w:szCs w:val="32"/>
        </w:rPr>
        <w:t>（10）</w:t>
      </w:r>
      <w:r>
        <w:rPr>
          <w:rFonts w:eastAsia="仿宋_GB2312"/>
          <w:sz w:val="32"/>
          <w:szCs w:val="32"/>
        </w:rPr>
        <w:t>《国家林草局等十部委联合发文支持木本油料、林下经济、森林康养及自然教育等产业发展》</w:t>
      </w:r>
      <w:r>
        <w:rPr>
          <w:rFonts w:hint="eastAsia" w:eastAsia="仿宋_GB2312"/>
          <w:sz w:val="32"/>
          <w:szCs w:val="32"/>
        </w:rPr>
        <w:t>（</w:t>
      </w:r>
      <w:r>
        <w:rPr>
          <w:rFonts w:eastAsia="仿宋_GB2312"/>
          <w:sz w:val="32"/>
          <w:szCs w:val="32"/>
        </w:rPr>
        <w:t>2020年11月</w:t>
      </w:r>
      <w:r>
        <w:rPr>
          <w:rFonts w:hint="eastAsia" w:eastAsia="仿宋_GB2312"/>
          <w:sz w:val="32"/>
          <w:szCs w:val="32"/>
        </w:rPr>
        <w:t xml:space="preserve">18日）； </w:t>
      </w:r>
    </w:p>
    <w:p w14:paraId="6A3BE11C">
      <w:pPr>
        <w:ind w:firstLine="640" w:firstLineChars="200"/>
        <w:rPr>
          <w:rFonts w:hint="eastAsia" w:eastAsia="仿宋_GB2312"/>
          <w:sz w:val="32"/>
          <w:szCs w:val="32"/>
        </w:rPr>
      </w:pPr>
      <w:r>
        <w:rPr>
          <w:rFonts w:hint="eastAsia" w:eastAsia="仿宋_GB2312"/>
          <w:sz w:val="32"/>
          <w:szCs w:val="32"/>
        </w:rPr>
        <w:t>（11）《海南省国民经济和社会发展第十四个五年规划和二</w:t>
      </w:r>
      <w:r>
        <w:rPr>
          <w:rFonts w:hint="eastAsia" w:ascii="宋体" w:hAnsi="宋体" w:cs="宋体"/>
          <w:sz w:val="32"/>
          <w:szCs w:val="32"/>
        </w:rPr>
        <w:t>〇</w:t>
      </w:r>
      <w:r>
        <w:rPr>
          <w:rFonts w:hint="eastAsia" w:ascii="仿宋_GB2312" w:hAnsi="仿宋_GB2312" w:eastAsia="仿宋_GB2312" w:cs="仿宋_GB2312"/>
          <w:sz w:val="32"/>
          <w:szCs w:val="32"/>
        </w:rPr>
        <w:t>三五年远景目标纲要</w:t>
      </w:r>
      <w:r>
        <w:rPr>
          <w:rFonts w:hint="eastAsia" w:eastAsia="仿宋_GB2312"/>
          <w:sz w:val="32"/>
          <w:szCs w:val="32"/>
        </w:rPr>
        <w:t>》；</w:t>
      </w:r>
    </w:p>
    <w:p w14:paraId="1637EACE">
      <w:pPr>
        <w:ind w:firstLine="640" w:firstLineChars="200"/>
        <w:rPr>
          <w:rFonts w:eastAsia="仿宋_GB2312"/>
          <w:sz w:val="32"/>
          <w:szCs w:val="32"/>
        </w:rPr>
      </w:pPr>
      <w:r>
        <w:rPr>
          <w:rFonts w:hint="eastAsia" w:eastAsia="仿宋_GB2312"/>
          <w:sz w:val="32"/>
          <w:szCs w:val="32"/>
        </w:rPr>
        <w:t>（12）</w:t>
      </w:r>
      <w:r>
        <w:rPr>
          <w:rFonts w:eastAsia="仿宋_GB2312"/>
          <w:sz w:val="32"/>
          <w:szCs w:val="32"/>
        </w:rPr>
        <w:t>《三亚市国民经济和社会发展第十四个五年规划和二</w:t>
      </w:r>
      <w:r>
        <w:rPr>
          <w:sz w:val="32"/>
          <w:szCs w:val="32"/>
        </w:rPr>
        <w:t>〇</w:t>
      </w:r>
      <w:r>
        <w:rPr>
          <w:rFonts w:eastAsia="仿宋_GB2312"/>
          <w:sz w:val="32"/>
          <w:szCs w:val="32"/>
        </w:rPr>
        <w:t>三五年远景目标</w:t>
      </w:r>
      <w:r>
        <w:rPr>
          <w:rFonts w:hint="eastAsia" w:eastAsia="仿宋_GB2312"/>
          <w:sz w:val="32"/>
          <w:szCs w:val="32"/>
        </w:rPr>
        <w:t>纲要</w:t>
      </w:r>
      <w:r>
        <w:rPr>
          <w:rFonts w:eastAsia="仿宋_GB2312"/>
          <w:sz w:val="32"/>
          <w:szCs w:val="32"/>
        </w:rPr>
        <w:t>》</w:t>
      </w:r>
      <w:r>
        <w:rPr>
          <w:rFonts w:hint="eastAsia" w:eastAsia="仿宋_GB2312"/>
          <w:sz w:val="32"/>
          <w:szCs w:val="32"/>
        </w:rPr>
        <w:t>；</w:t>
      </w:r>
    </w:p>
    <w:p w14:paraId="7A37AF6F">
      <w:pPr>
        <w:ind w:firstLine="640" w:firstLineChars="200"/>
        <w:rPr>
          <w:rFonts w:hint="eastAsia" w:eastAsia="仿宋_GB2312"/>
          <w:sz w:val="32"/>
          <w:szCs w:val="32"/>
        </w:rPr>
      </w:pPr>
      <w:r>
        <w:rPr>
          <w:rFonts w:hint="eastAsia" w:eastAsia="仿宋_GB2312"/>
          <w:sz w:val="32"/>
          <w:szCs w:val="32"/>
        </w:rPr>
        <w:t>（13）《中共三亚市委办公室 三亚市人民政府办公室印发&lt;三亚市关于全面推行林长制的实施方案&gt;的通知》(三办发〔2020〕74号)；</w:t>
      </w:r>
    </w:p>
    <w:p w14:paraId="455223EB">
      <w:pPr>
        <w:ind w:firstLine="640" w:firstLineChars="200"/>
        <w:rPr>
          <w:rFonts w:hint="eastAsia" w:eastAsia="仿宋_GB2312"/>
          <w:sz w:val="32"/>
          <w:szCs w:val="32"/>
        </w:rPr>
      </w:pPr>
      <w:r>
        <w:rPr>
          <w:rFonts w:hint="eastAsia" w:eastAsia="仿宋_GB2312"/>
          <w:sz w:val="32"/>
          <w:szCs w:val="32"/>
        </w:rPr>
        <w:t>（14）《国家重点保护野生动物名录》（国家林业和草原局、农业农村部公告2021 年第3 号，2021 年2 月1 日起施行）；</w:t>
      </w:r>
    </w:p>
    <w:p w14:paraId="7B38CC1A">
      <w:pPr>
        <w:ind w:firstLine="600"/>
        <w:rPr>
          <w:rFonts w:hint="eastAsia" w:eastAsia="仿宋_GB2312"/>
          <w:sz w:val="32"/>
          <w:szCs w:val="32"/>
        </w:rPr>
      </w:pPr>
      <w:r>
        <w:rPr>
          <w:rFonts w:hint="eastAsia" w:eastAsia="仿宋_GB2312"/>
          <w:sz w:val="32"/>
          <w:szCs w:val="32"/>
        </w:rPr>
        <w:t>（15）《全面推进乡村振兴 加快农业农村现代化的实施方案》的通知（三发</w:t>
      </w:r>
      <w:r>
        <w:rPr>
          <w:rFonts w:eastAsia="仿宋_GB2312"/>
          <w:sz w:val="32"/>
          <w:szCs w:val="32"/>
        </w:rPr>
        <w:t>〔2021〕</w:t>
      </w:r>
      <w:r>
        <w:rPr>
          <w:rFonts w:hint="eastAsia" w:eastAsia="仿宋_GB2312"/>
          <w:sz w:val="32"/>
          <w:szCs w:val="32"/>
        </w:rPr>
        <w:t>5</w:t>
      </w:r>
      <w:r>
        <w:rPr>
          <w:rFonts w:eastAsia="仿宋_GB2312"/>
          <w:sz w:val="32"/>
          <w:szCs w:val="32"/>
        </w:rPr>
        <w:t>号</w:t>
      </w:r>
      <w:r>
        <w:rPr>
          <w:rFonts w:hint="eastAsia" w:eastAsia="仿宋_GB2312"/>
          <w:sz w:val="32"/>
          <w:szCs w:val="32"/>
        </w:rPr>
        <w:t>）。</w:t>
      </w:r>
    </w:p>
    <w:p w14:paraId="4CFB0A90">
      <w:pPr>
        <w:ind w:firstLine="643"/>
        <w:rPr>
          <w:rFonts w:eastAsia="仿宋_GB2312"/>
          <w:b/>
          <w:bCs/>
          <w:sz w:val="32"/>
          <w:szCs w:val="32"/>
        </w:rPr>
      </w:pPr>
      <w:r>
        <w:rPr>
          <w:rFonts w:hint="eastAsia" w:eastAsia="仿宋_GB2312"/>
          <w:b/>
          <w:bCs/>
          <w:sz w:val="32"/>
          <w:szCs w:val="32"/>
        </w:rPr>
        <w:t>4.4.2.3 相关规划</w:t>
      </w:r>
    </w:p>
    <w:p w14:paraId="55D11FBC">
      <w:pPr>
        <w:ind w:firstLine="640" w:firstLineChars="200"/>
        <w:rPr>
          <w:rFonts w:eastAsia="仿宋_GB2312"/>
          <w:sz w:val="32"/>
          <w:szCs w:val="32"/>
        </w:rPr>
      </w:pPr>
      <w:r>
        <w:rPr>
          <w:rFonts w:hint="eastAsia" w:eastAsia="仿宋_GB2312"/>
          <w:sz w:val="32"/>
          <w:szCs w:val="32"/>
        </w:rPr>
        <w:t>（1）</w:t>
      </w:r>
      <w:r>
        <w:rPr>
          <w:rFonts w:eastAsia="仿宋_GB2312"/>
          <w:sz w:val="32"/>
          <w:szCs w:val="32"/>
        </w:rPr>
        <w:t>《全国重要生态系统保护和修复重大工程总体规划</w:t>
      </w:r>
      <w:r>
        <w:rPr>
          <w:rFonts w:hint="eastAsia" w:eastAsia="仿宋_GB2312"/>
          <w:sz w:val="32"/>
          <w:szCs w:val="32"/>
        </w:rPr>
        <w:t>（</w:t>
      </w:r>
      <w:r>
        <w:rPr>
          <w:rFonts w:eastAsia="仿宋_GB2312"/>
          <w:sz w:val="32"/>
          <w:szCs w:val="32"/>
        </w:rPr>
        <w:t>2021-2035年</w:t>
      </w:r>
      <w:r>
        <w:rPr>
          <w:rFonts w:hint="eastAsia" w:eastAsia="仿宋_GB2312"/>
          <w:sz w:val="32"/>
          <w:szCs w:val="32"/>
        </w:rPr>
        <w:t>）</w:t>
      </w:r>
      <w:r>
        <w:rPr>
          <w:rFonts w:eastAsia="仿宋_GB2312"/>
          <w:sz w:val="32"/>
          <w:szCs w:val="32"/>
        </w:rPr>
        <w:t>》</w:t>
      </w:r>
      <w:r>
        <w:rPr>
          <w:rFonts w:hint="eastAsia" w:eastAsia="仿宋_GB2312"/>
          <w:sz w:val="32"/>
          <w:szCs w:val="32"/>
        </w:rPr>
        <w:t>；</w:t>
      </w:r>
    </w:p>
    <w:p w14:paraId="52BB5EF0">
      <w:pPr>
        <w:ind w:firstLine="640" w:firstLineChars="200"/>
        <w:rPr>
          <w:rFonts w:eastAsia="仿宋_GB2312"/>
          <w:sz w:val="32"/>
          <w:szCs w:val="32"/>
        </w:rPr>
      </w:pPr>
      <w:r>
        <w:rPr>
          <w:rFonts w:hint="eastAsia" w:eastAsia="仿宋_GB2312"/>
          <w:sz w:val="32"/>
          <w:szCs w:val="32"/>
        </w:rPr>
        <w:t>（2）</w:t>
      </w:r>
      <w:r>
        <w:rPr>
          <w:rFonts w:eastAsia="仿宋_GB2312"/>
          <w:sz w:val="32"/>
          <w:szCs w:val="32"/>
        </w:rPr>
        <w:t>《全国沿海防护林体系建设工程规划</w:t>
      </w:r>
      <w:r>
        <w:rPr>
          <w:rFonts w:hint="eastAsia" w:eastAsia="仿宋_GB2312"/>
          <w:sz w:val="32"/>
          <w:szCs w:val="32"/>
        </w:rPr>
        <w:t>（</w:t>
      </w:r>
      <w:r>
        <w:rPr>
          <w:rFonts w:eastAsia="仿宋_GB2312"/>
          <w:sz w:val="32"/>
          <w:szCs w:val="32"/>
        </w:rPr>
        <w:t>2016-2025年</w:t>
      </w:r>
      <w:r>
        <w:rPr>
          <w:rFonts w:hint="eastAsia" w:eastAsia="仿宋_GB2312"/>
          <w:sz w:val="32"/>
          <w:szCs w:val="32"/>
        </w:rPr>
        <w:t>）</w:t>
      </w:r>
      <w:r>
        <w:rPr>
          <w:rFonts w:eastAsia="仿宋_GB2312"/>
          <w:sz w:val="32"/>
          <w:szCs w:val="32"/>
        </w:rPr>
        <w:t>》（林规发〔2017〕38号）</w:t>
      </w:r>
      <w:r>
        <w:rPr>
          <w:rFonts w:hint="eastAsia" w:eastAsia="仿宋_GB2312"/>
          <w:sz w:val="32"/>
          <w:szCs w:val="32"/>
        </w:rPr>
        <w:t>；</w:t>
      </w:r>
    </w:p>
    <w:p w14:paraId="79360FC0">
      <w:pPr>
        <w:ind w:firstLine="640" w:firstLineChars="200"/>
        <w:rPr>
          <w:rFonts w:hint="eastAsia" w:eastAsia="仿宋_GB2312"/>
          <w:sz w:val="32"/>
          <w:szCs w:val="32"/>
        </w:rPr>
      </w:pPr>
      <w:r>
        <w:rPr>
          <w:rFonts w:hint="eastAsia" w:eastAsia="仿宋_GB2312"/>
          <w:sz w:val="32"/>
          <w:szCs w:val="32"/>
        </w:rPr>
        <w:t>（3）</w:t>
      </w:r>
      <w:r>
        <w:rPr>
          <w:rFonts w:eastAsia="仿宋_GB2312"/>
          <w:sz w:val="32"/>
          <w:szCs w:val="32"/>
        </w:rPr>
        <w:t>国家林业和草原局印发《</w:t>
      </w:r>
      <w:r>
        <w:rPr>
          <w:rFonts w:hint="eastAsia" w:eastAsia="仿宋_GB2312"/>
          <w:sz w:val="32"/>
          <w:szCs w:val="32"/>
        </w:rPr>
        <w:t>“十四五”林业草原保护发展规划纲要</w:t>
      </w:r>
      <w:r>
        <w:rPr>
          <w:rFonts w:eastAsia="仿宋_GB2312"/>
          <w:sz w:val="32"/>
          <w:szCs w:val="32"/>
        </w:rPr>
        <w:t>》（</w:t>
      </w:r>
      <w:r>
        <w:rPr>
          <w:rFonts w:hint="eastAsia" w:eastAsia="仿宋_GB2312"/>
          <w:sz w:val="32"/>
          <w:szCs w:val="32"/>
        </w:rPr>
        <w:t>2021年8月19日</w:t>
      </w:r>
      <w:r>
        <w:rPr>
          <w:rFonts w:eastAsia="仿宋_GB2312"/>
          <w:sz w:val="32"/>
          <w:szCs w:val="32"/>
        </w:rPr>
        <w:t>）</w:t>
      </w:r>
      <w:r>
        <w:rPr>
          <w:rFonts w:hint="eastAsia" w:eastAsia="仿宋_GB2312"/>
          <w:sz w:val="32"/>
          <w:szCs w:val="32"/>
        </w:rPr>
        <w:t>；</w:t>
      </w:r>
    </w:p>
    <w:p w14:paraId="2A072E8A">
      <w:pPr>
        <w:ind w:firstLine="600"/>
        <w:rPr>
          <w:rFonts w:hint="eastAsia" w:eastAsia="仿宋_GB2312"/>
          <w:sz w:val="32"/>
          <w:szCs w:val="32"/>
        </w:rPr>
      </w:pPr>
      <w:r>
        <w:rPr>
          <w:rFonts w:hint="eastAsia" w:eastAsia="仿宋_GB2312"/>
          <w:sz w:val="32"/>
          <w:szCs w:val="32"/>
        </w:rPr>
        <w:t>（4）《关于印发&lt;海南省康养产业发展规划(2019-2025 年)&gt;的通知》(海南省卫生健康委员会、海南省发展和改革委员会2019 年5月)；</w:t>
      </w:r>
    </w:p>
    <w:p w14:paraId="70912C49">
      <w:pPr>
        <w:ind w:firstLine="600"/>
        <w:rPr>
          <w:rFonts w:hint="eastAsia" w:eastAsia="仿宋_GB2312"/>
          <w:sz w:val="32"/>
          <w:szCs w:val="32"/>
        </w:rPr>
      </w:pPr>
      <w:r>
        <w:rPr>
          <w:rFonts w:hint="eastAsia" w:eastAsia="仿宋_GB2312"/>
          <w:sz w:val="32"/>
          <w:szCs w:val="32"/>
        </w:rPr>
        <w:t>（5）《海南省人民政府办公厅关于印发&lt;海南省花卉苗木产业发展规划(2019-2035) &gt;的通知》（琼府办〔2019〕34 号）；</w:t>
      </w:r>
    </w:p>
    <w:p w14:paraId="0C5CE9A7">
      <w:pPr>
        <w:ind w:firstLine="600"/>
        <w:rPr>
          <w:rFonts w:hint="eastAsia" w:eastAsia="仿宋_GB2312"/>
          <w:sz w:val="32"/>
          <w:szCs w:val="32"/>
        </w:rPr>
      </w:pPr>
      <w:r>
        <w:rPr>
          <w:rFonts w:hint="eastAsia" w:eastAsia="仿宋_GB2312"/>
          <w:sz w:val="32"/>
          <w:szCs w:val="32"/>
        </w:rPr>
        <w:t>（6）《三亚市总体规划（空间类</w:t>
      </w:r>
      <w:r>
        <w:rPr>
          <w:rFonts w:eastAsia="仿宋_GB2312"/>
          <w:sz w:val="32"/>
          <w:szCs w:val="32"/>
        </w:rPr>
        <w:t xml:space="preserve">2015-2030 </w:t>
      </w:r>
      <w:r>
        <w:rPr>
          <w:rFonts w:hint="eastAsia" w:eastAsia="仿宋_GB2312"/>
          <w:sz w:val="32"/>
          <w:szCs w:val="32"/>
        </w:rPr>
        <w:t>年）》（三亚市人民政府</w:t>
      </w:r>
      <w:r>
        <w:rPr>
          <w:rFonts w:eastAsia="仿宋_GB2312"/>
          <w:sz w:val="32"/>
          <w:szCs w:val="32"/>
        </w:rPr>
        <w:t xml:space="preserve"> 2016 </w:t>
      </w:r>
      <w:r>
        <w:rPr>
          <w:rFonts w:hint="eastAsia" w:eastAsia="仿宋_GB2312"/>
          <w:sz w:val="32"/>
          <w:szCs w:val="32"/>
        </w:rPr>
        <w:t>年</w:t>
      </w:r>
      <w:r>
        <w:rPr>
          <w:rFonts w:eastAsia="仿宋_GB2312"/>
          <w:sz w:val="32"/>
          <w:szCs w:val="32"/>
        </w:rPr>
        <w:t xml:space="preserve">12 </w:t>
      </w:r>
      <w:r>
        <w:rPr>
          <w:rFonts w:hint="eastAsia" w:eastAsia="仿宋_GB2312"/>
          <w:sz w:val="32"/>
          <w:szCs w:val="32"/>
        </w:rPr>
        <w:t>月）；</w:t>
      </w:r>
    </w:p>
    <w:p w14:paraId="637C6C54">
      <w:pPr>
        <w:ind w:firstLine="640" w:firstLineChars="200"/>
        <w:rPr>
          <w:rFonts w:hint="eastAsia" w:eastAsia="仿宋_GB2312"/>
          <w:sz w:val="32"/>
          <w:szCs w:val="32"/>
        </w:rPr>
      </w:pPr>
      <w:r>
        <w:rPr>
          <w:rFonts w:hint="eastAsia" w:eastAsia="仿宋_GB2312"/>
          <w:sz w:val="32"/>
          <w:szCs w:val="32"/>
        </w:rPr>
        <w:t>（7）</w:t>
      </w:r>
      <w:r>
        <w:rPr>
          <w:rFonts w:eastAsia="仿宋_GB2312"/>
          <w:sz w:val="32"/>
          <w:szCs w:val="32"/>
        </w:rPr>
        <w:t>《海南省康养产业发展规划(2019-2025年)》（琼府〔2019〕1号）</w:t>
      </w:r>
    </w:p>
    <w:p w14:paraId="3754C95A">
      <w:pPr>
        <w:ind w:firstLine="640" w:firstLineChars="200"/>
        <w:rPr>
          <w:rFonts w:hint="eastAsia" w:eastAsia="仿宋_GB2312"/>
          <w:sz w:val="32"/>
          <w:szCs w:val="32"/>
        </w:rPr>
      </w:pPr>
      <w:r>
        <w:rPr>
          <w:rFonts w:eastAsia="仿宋_GB2312"/>
          <w:sz w:val="32"/>
          <w:szCs w:val="32"/>
        </w:rPr>
        <w:t xml:space="preserve"> </w:t>
      </w:r>
      <w:r>
        <w:rPr>
          <w:rFonts w:hint="eastAsia" w:eastAsia="仿宋_GB2312"/>
          <w:sz w:val="32"/>
          <w:szCs w:val="32"/>
        </w:rPr>
        <w:t>（8）</w:t>
      </w:r>
      <w:r>
        <w:rPr>
          <w:rFonts w:eastAsia="仿宋_GB2312"/>
          <w:sz w:val="32"/>
          <w:szCs w:val="32"/>
        </w:rPr>
        <w:t>《海南省花卉苗木产业发展规划》（2019-2035）（琼府办〔2019〕34号）</w:t>
      </w:r>
      <w:r>
        <w:rPr>
          <w:rFonts w:hint="eastAsia" w:eastAsia="仿宋_GB2312"/>
          <w:sz w:val="32"/>
          <w:szCs w:val="32"/>
        </w:rPr>
        <w:t>；</w:t>
      </w:r>
    </w:p>
    <w:p w14:paraId="4ABD5EAE">
      <w:pPr>
        <w:ind w:firstLine="640" w:firstLineChars="200"/>
        <w:rPr>
          <w:rFonts w:hint="eastAsia" w:eastAsia="仿宋_GB2312"/>
          <w:sz w:val="32"/>
          <w:szCs w:val="32"/>
        </w:rPr>
      </w:pPr>
      <w:r>
        <w:rPr>
          <w:rFonts w:hint="eastAsia" w:eastAsia="仿宋_GB2312"/>
          <w:sz w:val="32"/>
          <w:szCs w:val="32"/>
        </w:rPr>
        <w:t>（9）</w:t>
      </w:r>
      <w:r>
        <w:rPr>
          <w:rFonts w:eastAsia="仿宋_GB2312"/>
          <w:sz w:val="32"/>
          <w:szCs w:val="32"/>
        </w:rPr>
        <w:t>《三亚市山体保护与修复专项规划</w:t>
      </w:r>
      <w:r>
        <w:rPr>
          <w:rFonts w:hint="eastAsia" w:eastAsia="仿宋_GB2312"/>
          <w:sz w:val="32"/>
          <w:szCs w:val="32"/>
        </w:rPr>
        <w:t>（</w:t>
      </w:r>
      <w:r>
        <w:rPr>
          <w:rFonts w:eastAsia="仿宋_GB2312"/>
          <w:sz w:val="32"/>
          <w:szCs w:val="32"/>
        </w:rPr>
        <w:t>2018-2025</w:t>
      </w:r>
      <w:r>
        <w:rPr>
          <w:rFonts w:hint="eastAsia" w:eastAsia="仿宋_GB2312"/>
          <w:sz w:val="32"/>
          <w:szCs w:val="32"/>
        </w:rPr>
        <w:t>）</w:t>
      </w:r>
      <w:r>
        <w:rPr>
          <w:rFonts w:eastAsia="仿宋_GB2312"/>
          <w:sz w:val="32"/>
          <w:szCs w:val="32"/>
        </w:rPr>
        <w:t>》</w:t>
      </w:r>
      <w:r>
        <w:rPr>
          <w:rFonts w:hint="eastAsia" w:eastAsia="仿宋_GB2312"/>
          <w:sz w:val="32"/>
          <w:szCs w:val="32"/>
        </w:rPr>
        <w:t>》（国家林业和草原局中南调查规划设计院 2020 年12 月）；</w:t>
      </w:r>
    </w:p>
    <w:p w14:paraId="5DE62302">
      <w:pPr>
        <w:ind w:firstLine="640" w:firstLineChars="200"/>
        <w:rPr>
          <w:rFonts w:hint="eastAsia" w:eastAsia="仿宋_GB2312"/>
          <w:sz w:val="32"/>
          <w:szCs w:val="32"/>
        </w:rPr>
      </w:pPr>
      <w:r>
        <w:rPr>
          <w:rFonts w:hint="eastAsia" w:eastAsia="仿宋_GB2312"/>
          <w:sz w:val="32"/>
          <w:szCs w:val="32"/>
        </w:rPr>
        <w:t>（10）</w:t>
      </w:r>
      <w:r>
        <w:rPr>
          <w:rFonts w:eastAsia="仿宋_GB2312"/>
          <w:sz w:val="32"/>
          <w:szCs w:val="32"/>
        </w:rPr>
        <w:t>《海南省三亚市国家森林城市建设总体规划（2019-2030年）》（三府〔2021〕34号）；</w:t>
      </w:r>
    </w:p>
    <w:p w14:paraId="60D9EFD9">
      <w:pPr>
        <w:ind w:firstLine="640" w:firstLineChars="200"/>
        <w:rPr>
          <w:rFonts w:hint="eastAsia" w:eastAsia="仿宋_GB2312"/>
          <w:sz w:val="32"/>
          <w:szCs w:val="32"/>
        </w:rPr>
      </w:pPr>
      <w:r>
        <w:rPr>
          <w:rFonts w:hint="eastAsia" w:eastAsia="仿宋_GB2312"/>
          <w:sz w:val="32"/>
          <w:szCs w:val="32"/>
        </w:rPr>
        <w:t>（11）</w:t>
      </w:r>
      <w:r>
        <w:rPr>
          <w:rFonts w:eastAsia="仿宋_GB2312"/>
          <w:sz w:val="32"/>
          <w:szCs w:val="32"/>
        </w:rPr>
        <w:t>《海南省森林经营规划</w:t>
      </w:r>
      <w:r>
        <w:rPr>
          <w:rFonts w:hint="eastAsia" w:eastAsia="仿宋_GB2312"/>
          <w:sz w:val="32"/>
          <w:szCs w:val="32"/>
        </w:rPr>
        <w:t>（</w:t>
      </w:r>
      <w:r>
        <w:rPr>
          <w:rFonts w:eastAsia="仿宋_GB2312"/>
          <w:sz w:val="32"/>
          <w:szCs w:val="32"/>
        </w:rPr>
        <w:t>201</w:t>
      </w:r>
      <w:r>
        <w:rPr>
          <w:rFonts w:hint="eastAsia" w:eastAsia="仿宋_GB2312"/>
          <w:sz w:val="32"/>
          <w:szCs w:val="32"/>
        </w:rPr>
        <w:t>6</w:t>
      </w:r>
      <w:r>
        <w:rPr>
          <w:rFonts w:eastAsia="仿宋_GB2312"/>
          <w:sz w:val="32"/>
          <w:szCs w:val="32"/>
        </w:rPr>
        <w:t>-2050年</w:t>
      </w:r>
      <w:r>
        <w:rPr>
          <w:rFonts w:hint="eastAsia" w:eastAsia="仿宋_GB2312"/>
          <w:sz w:val="32"/>
          <w:szCs w:val="32"/>
        </w:rPr>
        <w:t>）</w:t>
      </w:r>
      <w:r>
        <w:rPr>
          <w:rFonts w:eastAsia="仿宋_GB2312"/>
          <w:sz w:val="32"/>
          <w:szCs w:val="32"/>
        </w:rPr>
        <w:t>》</w:t>
      </w:r>
      <w:r>
        <w:rPr>
          <w:rFonts w:hint="eastAsia" w:eastAsia="仿宋_GB2312"/>
          <w:sz w:val="32"/>
          <w:szCs w:val="32"/>
        </w:rPr>
        <w:t>；</w:t>
      </w:r>
    </w:p>
    <w:p w14:paraId="23D335CB">
      <w:pPr>
        <w:ind w:firstLine="640" w:firstLineChars="200"/>
        <w:rPr>
          <w:rFonts w:hint="eastAsia" w:eastAsia="仿宋_GB2312"/>
          <w:sz w:val="32"/>
          <w:szCs w:val="32"/>
        </w:rPr>
      </w:pPr>
      <w:r>
        <w:rPr>
          <w:rFonts w:hint="eastAsia" w:eastAsia="仿宋_GB2312"/>
          <w:sz w:val="32"/>
          <w:szCs w:val="32"/>
        </w:rPr>
        <w:t>（12）</w:t>
      </w:r>
      <w:r>
        <w:rPr>
          <w:rFonts w:eastAsia="仿宋_GB2312"/>
          <w:sz w:val="32"/>
          <w:szCs w:val="32"/>
        </w:rPr>
        <w:t>《海南省“三棵树”产业规划》</w:t>
      </w:r>
      <w:r>
        <w:rPr>
          <w:rFonts w:hint="eastAsia" w:eastAsia="仿宋_GB2312"/>
          <w:sz w:val="32"/>
          <w:szCs w:val="32"/>
        </w:rPr>
        <w:t>；</w:t>
      </w:r>
    </w:p>
    <w:p w14:paraId="78C37E0A">
      <w:pPr>
        <w:ind w:firstLine="640" w:firstLineChars="200"/>
        <w:rPr>
          <w:rFonts w:hint="eastAsia" w:eastAsia="仿宋_GB2312"/>
          <w:sz w:val="32"/>
          <w:szCs w:val="32"/>
        </w:rPr>
      </w:pPr>
      <w:r>
        <w:rPr>
          <w:rFonts w:hint="eastAsia" w:eastAsia="仿宋_GB2312"/>
          <w:sz w:val="32"/>
          <w:szCs w:val="32"/>
        </w:rPr>
        <w:t>（13）《海南省国家储备林建设规划（2018-2035年）》；</w:t>
      </w:r>
    </w:p>
    <w:p w14:paraId="7EC748E7">
      <w:pPr>
        <w:ind w:firstLine="640" w:firstLineChars="200"/>
        <w:rPr>
          <w:rFonts w:hint="eastAsia" w:eastAsia="仿宋_GB2312"/>
          <w:sz w:val="32"/>
          <w:szCs w:val="32"/>
        </w:rPr>
      </w:pPr>
      <w:r>
        <w:rPr>
          <w:rFonts w:eastAsia="仿宋_GB2312"/>
          <w:sz w:val="32"/>
          <w:szCs w:val="32"/>
        </w:rPr>
        <w:t>（</w:t>
      </w:r>
      <w:r>
        <w:rPr>
          <w:rFonts w:hint="eastAsia" w:eastAsia="仿宋_GB2312"/>
          <w:sz w:val="32"/>
          <w:szCs w:val="32"/>
        </w:rPr>
        <w:t>14</w:t>
      </w:r>
      <w:r>
        <w:rPr>
          <w:rFonts w:eastAsia="仿宋_GB2312"/>
          <w:sz w:val="32"/>
          <w:szCs w:val="32"/>
        </w:rPr>
        <w:t>）《</w:t>
      </w:r>
      <w:r>
        <w:rPr>
          <w:rFonts w:hint="eastAsia" w:eastAsia="仿宋_GB2312"/>
          <w:sz w:val="32"/>
          <w:szCs w:val="32"/>
        </w:rPr>
        <w:t>海南省椰子产业高质量发展“十四五”规划》（琼林〔2021〕291号）；</w:t>
      </w:r>
    </w:p>
    <w:p w14:paraId="3E44CF1D">
      <w:pPr>
        <w:ind w:firstLine="640" w:firstLineChars="200"/>
        <w:rPr>
          <w:rFonts w:hint="eastAsia" w:eastAsia="仿宋_GB2312"/>
          <w:sz w:val="32"/>
          <w:szCs w:val="32"/>
        </w:rPr>
      </w:pPr>
      <w:r>
        <w:rPr>
          <w:rFonts w:eastAsia="仿宋_GB2312"/>
          <w:sz w:val="32"/>
          <w:szCs w:val="32"/>
        </w:rPr>
        <w:t>（</w:t>
      </w:r>
      <w:r>
        <w:rPr>
          <w:rFonts w:hint="eastAsia" w:eastAsia="仿宋_GB2312"/>
          <w:sz w:val="32"/>
          <w:szCs w:val="32"/>
        </w:rPr>
        <w:t>15</w:t>
      </w:r>
      <w:r>
        <w:rPr>
          <w:rFonts w:eastAsia="仿宋_GB2312"/>
          <w:sz w:val="32"/>
          <w:szCs w:val="32"/>
        </w:rPr>
        <w:t>）《海南省林业高质量发展“十四五”规划》（</w:t>
      </w:r>
      <w:r>
        <w:rPr>
          <w:rFonts w:hint="eastAsia" w:eastAsia="仿宋_GB2312"/>
          <w:sz w:val="32"/>
          <w:szCs w:val="32"/>
        </w:rPr>
        <w:t>琼林〔2021〕323号</w:t>
      </w:r>
      <w:r>
        <w:rPr>
          <w:rFonts w:eastAsia="仿宋_GB2312"/>
          <w:sz w:val="32"/>
          <w:szCs w:val="32"/>
        </w:rPr>
        <w:t>）</w:t>
      </w:r>
      <w:r>
        <w:rPr>
          <w:rFonts w:hint="eastAsia" w:eastAsia="仿宋_GB2312"/>
          <w:sz w:val="32"/>
          <w:szCs w:val="32"/>
        </w:rPr>
        <w:t>；</w:t>
      </w:r>
    </w:p>
    <w:p w14:paraId="70CA557D">
      <w:pPr>
        <w:ind w:firstLine="640" w:firstLineChars="200"/>
        <w:rPr>
          <w:rFonts w:hint="eastAsia" w:eastAsia="仿宋_GB2312"/>
          <w:sz w:val="32"/>
          <w:szCs w:val="32"/>
        </w:rPr>
      </w:pPr>
      <w:r>
        <w:rPr>
          <w:rFonts w:hint="eastAsia" w:eastAsia="仿宋_GB2312"/>
          <w:sz w:val="32"/>
          <w:szCs w:val="32"/>
        </w:rPr>
        <w:t>（16）</w:t>
      </w:r>
      <w:r>
        <w:rPr>
          <w:rFonts w:eastAsia="仿宋_GB2312"/>
          <w:sz w:val="32"/>
          <w:szCs w:val="32"/>
        </w:rPr>
        <w:t>《三亚市林业发展“十四五”规划》（</w:t>
      </w:r>
      <w:r>
        <w:rPr>
          <w:rFonts w:hint="eastAsia" w:eastAsia="仿宋_GB2312"/>
          <w:sz w:val="32"/>
          <w:szCs w:val="32"/>
        </w:rPr>
        <w:t>三亚市林业局、湖南省农林工业勘察设计研究总院 2021年7月</w:t>
      </w:r>
      <w:r>
        <w:rPr>
          <w:rFonts w:eastAsia="仿宋_GB2312"/>
          <w:sz w:val="32"/>
          <w:szCs w:val="32"/>
        </w:rPr>
        <w:t>）</w:t>
      </w:r>
      <w:r>
        <w:rPr>
          <w:rFonts w:hint="eastAsia" w:eastAsia="仿宋_GB2312"/>
          <w:sz w:val="32"/>
          <w:szCs w:val="32"/>
        </w:rPr>
        <w:t>；</w:t>
      </w:r>
    </w:p>
    <w:p w14:paraId="1D3E80F7">
      <w:pPr>
        <w:ind w:firstLine="640" w:firstLineChars="200"/>
        <w:rPr>
          <w:rFonts w:hint="eastAsia" w:eastAsia="仿宋_GB2312"/>
          <w:sz w:val="32"/>
          <w:szCs w:val="32"/>
        </w:rPr>
      </w:pPr>
      <w:r>
        <w:rPr>
          <w:rFonts w:hint="eastAsia" w:eastAsia="仿宋_GB2312"/>
          <w:sz w:val="32"/>
          <w:szCs w:val="32"/>
        </w:rPr>
        <w:t>（17）《三亚市乡村振兴战略规划（2018-2022年）》；</w:t>
      </w:r>
    </w:p>
    <w:p w14:paraId="01E65495">
      <w:pPr>
        <w:ind w:firstLine="640" w:firstLineChars="200"/>
        <w:rPr>
          <w:rFonts w:hint="eastAsia" w:eastAsia="仿宋_GB2312"/>
          <w:sz w:val="32"/>
          <w:szCs w:val="32"/>
        </w:rPr>
      </w:pPr>
      <w:r>
        <w:rPr>
          <w:rFonts w:hint="eastAsia" w:eastAsia="仿宋_GB2312"/>
          <w:sz w:val="32"/>
          <w:szCs w:val="32"/>
        </w:rPr>
        <w:t>（18）《三亚市美丽乡村建设管理三年（2021-2023年）提升行动实施方案》；</w:t>
      </w:r>
    </w:p>
    <w:p w14:paraId="7C478B3A">
      <w:pPr>
        <w:ind w:firstLine="640" w:firstLineChars="200"/>
        <w:rPr>
          <w:rFonts w:eastAsia="仿宋_GB2312"/>
          <w:sz w:val="32"/>
          <w:szCs w:val="32"/>
        </w:rPr>
      </w:pPr>
      <w:r>
        <w:rPr>
          <w:rFonts w:hint="eastAsia" w:eastAsia="仿宋_GB2312"/>
          <w:sz w:val="32"/>
          <w:szCs w:val="32"/>
        </w:rPr>
        <w:t>（19）古树名木专项调查和湿地资源调查等数据成果资料，</w:t>
      </w:r>
      <w:r>
        <w:rPr>
          <w:rFonts w:eastAsia="仿宋_GB2312"/>
          <w:sz w:val="32"/>
          <w:szCs w:val="32"/>
        </w:rPr>
        <w:t>其他相关法律法规、规划、文件等资料。</w:t>
      </w:r>
    </w:p>
    <w:p w14:paraId="5FB52BA1">
      <w:pPr>
        <w:spacing w:line="360" w:lineRule="auto"/>
        <w:ind w:firstLine="640" w:firstLineChars="200"/>
        <w:outlineLvl w:val="1"/>
        <w:rPr>
          <w:rFonts w:eastAsia="仿宋_GB2312"/>
          <w:sz w:val="32"/>
          <w:szCs w:val="32"/>
        </w:rPr>
        <w:sectPr>
          <w:pgSz w:w="11906" w:h="16838"/>
          <w:pgMar w:top="1440" w:right="1800" w:bottom="1440" w:left="1800" w:header="851" w:footer="992" w:gutter="0"/>
          <w:cols w:space="720" w:num="1"/>
          <w:docGrid w:type="lines" w:linePitch="312" w:charSpace="0"/>
        </w:sectPr>
      </w:pPr>
    </w:p>
    <w:bookmarkEnd w:id="22"/>
    <w:bookmarkEnd w:id="23"/>
    <w:bookmarkEnd w:id="24"/>
    <w:bookmarkEnd w:id="25"/>
    <w:bookmarkEnd w:id="26"/>
    <w:bookmarkEnd w:id="27"/>
    <w:bookmarkEnd w:id="28"/>
    <w:bookmarkEnd w:id="29"/>
    <w:bookmarkEnd w:id="30"/>
    <w:p w14:paraId="44579E1F">
      <w:pPr>
        <w:pStyle w:val="15"/>
        <w:spacing w:before="0"/>
        <w:rPr>
          <w:rFonts w:hint="eastAsia" w:ascii="黑体" w:hAnsi="黑体" w:eastAsia="黑体"/>
          <w:sz w:val="36"/>
        </w:rPr>
      </w:pPr>
      <w:bookmarkStart w:id="51" w:name="_Toc82546074"/>
      <w:bookmarkStart w:id="52" w:name="_Toc14762"/>
      <w:bookmarkStart w:id="53" w:name="_Toc14856"/>
      <w:bookmarkStart w:id="54" w:name="_Toc23814"/>
      <w:bookmarkStart w:id="55" w:name="_Toc17793"/>
      <w:bookmarkStart w:id="56" w:name="_Toc9631"/>
      <w:bookmarkStart w:id="57" w:name="_Toc17272"/>
      <w:bookmarkStart w:id="58" w:name="_Toc26568"/>
      <w:bookmarkStart w:id="59" w:name="_Toc16405"/>
      <w:bookmarkStart w:id="60" w:name="_Toc25635"/>
      <w:r>
        <w:rPr>
          <w:rFonts w:ascii="黑体" w:hAnsi="黑体" w:eastAsia="黑体"/>
          <w:sz w:val="36"/>
        </w:rPr>
        <w:t>第</w:t>
      </w:r>
      <w:r>
        <w:rPr>
          <w:rFonts w:hint="eastAsia" w:ascii="黑体" w:hAnsi="黑体" w:eastAsia="黑体"/>
          <w:sz w:val="36"/>
        </w:rPr>
        <w:t>五</w:t>
      </w:r>
      <w:r>
        <w:rPr>
          <w:rFonts w:ascii="黑体" w:hAnsi="黑体" w:eastAsia="黑体"/>
          <w:sz w:val="36"/>
        </w:rPr>
        <w:t xml:space="preserve">章 </w:t>
      </w:r>
      <w:r>
        <w:rPr>
          <w:rFonts w:hint="eastAsia" w:ascii="黑体" w:hAnsi="黑体" w:eastAsia="黑体"/>
          <w:sz w:val="36"/>
        </w:rPr>
        <w:t>重点</w:t>
      </w:r>
      <w:r>
        <w:rPr>
          <w:rFonts w:ascii="黑体" w:hAnsi="黑体" w:eastAsia="黑体"/>
          <w:sz w:val="36"/>
        </w:rPr>
        <w:t>工程</w:t>
      </w:r>
      <w:bookmarkEnd w:id="51"/>
      <w:r>
        <w:rPr>
          <w:rFonts w:ascii="黑体" w:hAnsi="黑体" w:eastAsia="黑体"/>
          <w:sz w:val="36"/>
        </w:rPr>
        <w:t>规划</w:t>
      </w:r>
    </w:p>
    <w:p w14:paraId="7059F4E8"/>
    <w:p w14:paraId="46156CD4">
      <w:pPr>
        <w:spacing w:line="360" w:lineRule="auto"/>
        <w:ind w:firstLine="640" w:firstLineChars="200"/>
        <w:rPr>
          <w:rFonts w:hint="eastAsia" w:eastAsia="仿宋_GB2312"/>
          <w:sz w:val="32"/>
          <w:szCs w:val="32"/>
        </w:rPr>
      </w:pPr>
      <w:r>
        <w:rPr>
          <w:rFonts w:hint="eastAsia" w:eastAsia="仿宋_GB2312"/>
          <w:sz w:val="32"/>
          <w:szCs w:val="32"/>
        </w:rPr>
        <w:t>以调整三亚市林业支柱产业结构为切入点，强化驱动创新，发展新兴业态，实施品牌战略，以兴林富民为宗旨，以森林旅游与森林康养产业为重点，大力发展林木种苗与花卉产业，提升用材林和经济林产业，带动林下经济产业发展，健全生态保护与修复产业，实现增景、增色、增收、增效。加快林业产业转型升级，推动绿色产业增长。切合实际，着力打造三亚市林业产业的重点工程项目，以带动三亚市林业支柱产业规范有序发展。规划期间，三亚市6大林业产业共布局33个重点工程，共有69个规划储备项目，总投资</w:t>
      </w:r>
      <w:r>
        <w:rPr>
          <w:rFonts w:eastAsia="仿宋_GB2312"/>
          <w:sz w:val="32"/>
          <w:szCs w:val="32"/>
        </w:rPr>
        <w:t>1</w:t>
      </w:r>
      <w:r>
        <w:rPr>
          <w:rFonts w:hint="eastAsia" w:eastAsia="仿宋_GB2312"/>
          <w:sz w:val="32"/>
          <w:szCs w:val="32"/>
        </w:rPr>
        <w:t>7</w:t>
      </w:r>
      <w:r>
        <w:rPr>
          <w:rFonts w:eastAsia="仿宋_GB2312"/>
          <w:sz w:val="32"/>
          <w:szCs w:val="32"/>
        </w:rPr>
        <w:t>8</w:t>
      </w:r>
      <w:r>
        <w:rPr>
          <w:rFonts w:hint="eastAsia" w:eastAsia="仿宋_GB2312"/>
          <w:sz w:val="32"/>
          <w:szCs w:val="32"/>
        </w:rPr>
        <w:t>4</w:t>
      </w:r>
      <w:r>
        <w:rPr>
          <w:rFonts w:eastAsia="仿宋_GB2312"/>
          <w:sz w:val="32"/>
          <w:szCs w:val="32"/>
        </w:rPr>
        <w:t>300</w:t>
      </w:r>
      <w:r>
        <w:rPr>
          <w:rFonts w:hint="eastAsia" w:eastAsia="仿宋_GB2312"/>
          <w:sz w:val="32"/>
          <w:szCs w:val="32"/>
        </w:rPr>
        <w:t>万元。其中政府投资根据地方财力和批复资金为建设投资依据，社会投资根据市场和企业实际投入为建设投资依据。</w:t>
      </w:r>
    </w:p>
    <w:p w14:paraId="3EFCE74B">
      <w:pPr>
        <w:spacing w:line="360" w:lineRule="auto"/>
        <w:jc w:val="center"/>
        <w:rPr>
          <w:rFonts w:hint="eastAsia" w:eastAsia="仿宋_GB2312"/>
          <w:sz w:val="32"/>
          <w:szCs w:val="32"/>
        </w:rPr>
      </w:pPr>
      <w:r>
        <w:rPr>
          <w:rFonts w:hint="eastAsia" w:eastAsia="仿宋_GB2312"/>
          <w:sz w:val="32"/>
          <w:szCs w:val="32"/>
        </w:rPr>
        <w:t>表1   林业产业重点工程和规划储备项目一览表</w:t>
      </w:r>
    </w:p>
    <w:tbl>
      <w:tblPr>
        <w:tblStyle w:val="18"/>
        <w:tblW w:w="9356" w:type="dxa"/>
        <w:tblInd w:w="-318" w:type="dxa"/>
        <w:tblLayout w:type="autofit"/>
        <w:tblCellMar>
          <w:top w:w="0" w:type="dxa"/>
          <w:left w:w="108" w:type="dxa"/>
          <w:bottom w:w="0" w:type="dxa"/>
          <w:right w:w="108" w:type="dxa"/>
        </w:tblCellMar>
      </w:tblPr>
      <w:tblGrid>
        <w:gridCol w:w="640"/>
        <w:gridCol w:w="1200"/>
        <w:gridCol w:w="2130"/>
        <w:gridCol w:w="2126"/>
        <w:gridCol w:w="1985"/>
        <w:gridCol w:w="1275"/>
      </w:tblGrid>
      <w:tr w14:paraId="4B193298">
        <w:tblPrEx>
          <w:tblCellMar>
            <w:top w:w="0" w:type="dxa"/>
            <w:left w:w="108" w:type="dxa"/>
            <w:bottom w:w="0" w:type="dxa"/>
            <w:right w:w="108" w:type="dxa"/>
          </w:tblCellMar>
        </w:tblPrEx>
        <w:trPr>
          <w:trHeight w:val="315" w:hRule="atLeast"/>
          <w:tblHeader/>
        </w:trPr>
        <w:tc>
          <w:tcPr>
            <w:tcW w:w="640" w:type="dxa"/>
            <w:tcBorders>
              <w:top w:val="single" w:color="auto" w:sz="4" w:space="0"/>
              <w:left w:val="single" w:color="auto" w:sz="4" w:space="0"/>
              <w:bottom w:val="single" w:color="auto" w:sz="4" w:space="0"/>
              <w:right w:val="single" w:color="auto" w:sz="4" w:space="0"/>
            </w:tcBorders>
            <w:vAlign w:val="center"/>
          </w:tcPr>
          <w:p w14:paraId="0741FFC4">
            <w:pPr>
              <w:widowControl/>
              <w:jc w:val="center"/>
              <w:rPr>
                <w:b/>
                <w:bCs/>
                <w:kern w:val="0"/>
                <w:sz w:val="18"/>
                <w:szCs w:val="18"/>
              </w:rPr>
            </w:pPr>
            <w:r>
              <w:rPr>
                <w:rFonts w:hint="eastAsia" w:ascii="宋体" w:hAnsi="宋体"/>
                <w:b/>
                <w:bCs/>
                <w:kern w:val="0"/>
                <w:sz w:val="18"/>
                <w:szCs w:val="18"/>
              </w:rPr>
              <w:t>序号</w:t>
            </w:r>
          </w:p>
        </w:tc>
        <w:tc>
          <w:tcPr>
            <w:tcW w:w="1200" w:type="dxa"/>
            <w:tcBorders>
              <w:top w:val="single" w:color="auto" w:sz="4" w:space="0"/>
              <w:left w:val="nil"/>
              <w:bottom w:val="single" w:color="auto" w:sz="4" w:space="0"/>
              <w:right w:val="single" w:color="auto" w:sz="4" w:space="0"/>
            </w:tcBorders>
            <w:vAlign w:val="center"/>
          </w:tcPr>
          <w:p w14:paraId="09FDBBAD">
            <w:pPr>
              <w:widowControl/>
              <w:jc w:val="center"/>
              <w:rPr>
                <w:b/>
                <w:bCs/>
                <w:kern w:val="0"/>
                <w:sz w:val="18"/>
                <w:szCs w:val="18"/>
              </w:rPr>
            </w:pPr>
            <w:r>
              <w:rPr>
                <w:rFonts w:hint="eastAsia" w:ascii="宋体" w:hAnsi="宋体"/>
                <w:b/>
                <w:bCs/>
                <w:kern w:val="0"/>
                <w:sz w:val="18"/>
                <w:szCs w:val="18"/>
              </w:rPr>
              <w:t>产业类型</w:t>
            </w:r>
          </w:p>
        </w:tc>
        <w:tc>
          <w:tcPr>
            <w:tcW w:w="2130" w:type="dxa"/>
            <w:tcBorders>
              <w:top w:val="single" w:color="auto" w:sz="4" w:space="0"/>
              <w:left w:val="nil"/>
              <w:bottom w:val="single" w:color="auto" w:sz="4" w:space="0"/>
              <w:right w:val="single" w:color="auto" w:sz="4" w:space="0"/>
            </w:tcBorders>
            <w:vAlign w:val="center"/>
          </w:tcPr>
          <w:p w14:paraId="66159B89">
            <w:pPr>
              <w:widowControl/>
              <w:jc w:val="center"/>
              <w:rPr>
                <w:b/>
                <w:bCs/>
                <w:kern w:val="0"/>
                <w:sz w:val="18"/>
                <w:szCs w:val="18"/>
              </w:rPr>
            </w:pPr>
            <w:r>
              <w:rPr>
                <w:rFonts w:hint="eastAsia" w:ascii="宋体" w:hAnsi="宋体"/>
                <w:b/>
                <w:bCs/>
                <w:kern w:val="0"/>
                <w:sz w:val="18"/>
                <w:szCs w:val="18"/>
              </w:rPr>
              <w:t>重点工程</w:t>
            </w:r>
          </w:p>
        </w:tc>
        <w:tc>
          <w:tcPr>
            <w:tcW w:w="2126" w:type="dxa"/>
            <w:tcBorders>
              <w:top w:val="single" w:color="auto" w:sz="4" w:space="0"/>
              <w:left w:val="nil"/>
              <w:bottom w:val="single" w:color="auto" w:sz="4" w:space="0"/>
              <w:right w:val="single" w:color="auto" w:sz="4" w:space="0"/>
            </w:tcBorders>
            <w:vAlign w:val="center"/>
          </w:tcPr>
          <w:p w14:paraId="65FCBFBE">
            <w:pPr>
              <w:widowControl/>
              <w:jc w:val="center"/>
              <w:rPr>
                <w:b/>
                <w:bCs/>
                <w:kern w:val="0"/>
                <w:sz w:val="18"/>
                <w:szCs w:val="18"/>
              </w:rPr>
            </w:pPr>
            <w:r>
              <w:rPr>
                <w:rFonts w:hint="eastAsia" w:ascii="宋体" w:hAnsi="宋体"/>
                <w:b/>
                <w:bCs/>
                <w:kern w:val="0"/>
                <w:sz w:val="18"/>
                <w:szCs w:val="18"/>
              </w:rPr>
              <w:t>规划储备项目名称</w:t>
            </w:r>
          </w:p>
        </w:tc>
        <w:tc>
          <w:tcPr>
            <w:tcW w:w="1985" w:type="dxa"/>
            <w:tcBorders>
              <w:top w:val="single" w:color="auto" w:sz="4" w:space="0"/>
              <w:left w:val="nil"/>
              <w:bottom w:val="single" w:color="auto" w:sz="4" w:space="0"/>
              <w:right w:val="single" w:color="auto" w:sz="4" w:space="0"/>
            </w:tcBorders>
            <w:vAlign w:val="center"/>
          </w:tcPr>
          <w:p w14:paraId="2C54C839">
            <w:pPr>
              <w:widowControl/>
              <w:jc w:val="center"/>
              <w:rPr>
                <w:b/>
                <w:bCs/>
                <w:kern w:val="0"/>
                <w:sz w:val="18"/>
                <w:szCs w:val="18"/>
              </w:rPr>
            </w:pPr>
            <w:r>
              <w:rPr>
                <w:rFonts w:hint="eastAsia" w:ascii="宋体" w:hAnsi="宋体"/>
                <w:b/>
                <w:bCs/>
                <w:kern w:val="0"/>
                <w:sz w:val="18"/>
                <w:szCs w:val="18"/>
              </w:rPr>
              <w:t>建设地点</w:t>
            </w:r>
          </w:p>
        </w:tc>
        <w:tc>
          <w:tcPr>
            <w:tcW w:w="1275" w:type="dxa"/>
            <w:tcBorders>
              <w:top w:val="single" w:color="auto" w:sz="4" w:space="0"/>
              <w:left w:val="nil"/>
              <w:bottom w:val="single" w:color="auto" w:sz="4" w:space="0"/>
              <w:right w:val="single" w:color="auto" w:sz="4" w:space="0"/>
            </w:tcBorders>
            <w:vAlign w:val="center"/>
          </w:tcPr>
          <w:p w14:paraId="4B91F146">
            <w:pPr>
              <w:widowControl/>
              <w:jc w:val="center"/>
              <w:rPr>
                <w:rFonts w:hint="eastAsia" w:ascii="宋体" w:hAnsi="宋体"/>
                <w:b/>
                <w:bCs/>
                <w:kern w:val="0"/>
                <w:sz w:val="18"/>
                <w:szCs w:val="18"/>
              </w:rPr>
            </w:pPr>
            <w:r>
              <w:rPr>
                <w:rFonts w:hint="eastAsia" w:ascii="宋体" w:hAnsi="宋体"/>
                <w:b/>
                <w:bCs/>
                <w:kern w:val="0"/>
                <w:sz w:val="18"/>
                <w:szCs w:val="18"/>
              </w:rPr>
              <w:t>投资估算</w:t>
            </w:r>
          </w:p>
          <w:p w14:paraId="38E1D79B">
            <w:pPr>
              <w:widowControl/>
              <w:jc w:val="center"/>
              <w:rPr>
                <w:b/>
                <w:bCs/>
                <w:kern w:val="0"/>
                <w:sz w:val="18"/>
                <w:szCs w:val="18"/>
              </w:rPr>
            </w:pPr>
            <w:r>
              <w:rPr>
                <w:rFonts w:hint="eastAsia" w:ascii="宋体" w:hAnsi="宋体"/>
                <w:b/>
                <w:bCs/>
                <w:kern w:val="0"/>
                <w:sz w:val="18"/>
                <w:szCs w:val="18"/>
              </w:rPr>
              <w:t>（万元）</w:t>
            </w:r>
          </w:p>
        </w:tc>
      </w:tr>
      <w:tr w14:paraId="368940AC">
        <w:tblPrEx>
          <w:tblCellMar>
            <w:top w:w="0" w:type="dxa"/>
            <w:left w:w="108" w:type="dxa"/>
            <w:bottom w:w="0" w:type="dxa"/>
            <w:right w:w="108" w:type="dxa"/>
          </w:tblCellMar>
        </w:tblPrEx>
        <w:trPr>
          <w:trHeight w:val="315" w:hRule="atLeast"/>
        </w:trPr>
        <w:tc>
          <w:tcPr>
            <w:tcW w:w="8081" w:type="dxa"/>
            <w:gridSpan w:val="5"/>
            <w:tcBorders>
              <w:top w:val="single" w:color="auto" w:sz="4" w:space="0"/>
              <w:left w:val="single" w:color="auto" w:sz="4" w:space="0"/>
              <w:bottom w:val="single" w:color="auto" w:sz="4" w:space="0"/>
              <w:right w:val="single" w:color="000000" w:sz="4" w:space="0"/>
            </w:tcBorders>
            <w:vAlign w:val="center"/>
          </w:tcPr>
          <w:p w14:paraId="20B6D088">
            <w:pPr>
              <w:widowControl/>
              <w:jc w:val="center"/>
              <w:rPr>
                <w:rFonts w:ascii="宋体" w:hAnsi="宋体" w:cs="宋体"/>
                <w:b/>
                <w:bCs/>
                <w:kern w:val="0"/>
                <w:sz w:val="18"/>
                <w:szCs w:val="18"/>
              </w:rPr>
            </w:pPr>
            <w:r>
              <w:rPr>
                <w:rFonts w:hint="eastAsia" w:ascii="宋体" w:hAnsi="宋体" w:cs="宋体"/>
                <w:b/>
                <w:bCs/>
                <w:kern w:val="0"/>
                <w:sz w:val="18"/>
                <w:szCs w:val="18"/>
              </w:rPr>
              <w:t>合计</w:t>
            </w:r>
          </w:p>
        </w:tc>
        <w:tc>
          <w:tcPr>
            <w:tcW w:w="1275" w:type="dxa"/>
            <w:tcBorders>
              <w:top w:val="nil"/>
              <w:left w:val="nil"/>
              <w:bottom w:val="single" w:color="auto" w:sz="4" w:space="0"/>
              <w:right w:val="single" w:color="auto" w:sz="4" w:space="0"/>
            </w:tcBorders>
            <w:vAlign w:val="center"/>
          </w:tcPr>
          <w:p w14:paraId="206AA6AF">
            <w:pPr>
              <w:widowControl/>
              <w:jc w:val="center"/>
              <w:rPr>
                <w:b/>
                <w:bCs/>
                <w:kern w:val="0"/>
                <w:sz w:val="18"/>
                <w:szCs w:val="18"/>
              </w:rPr>
            </w:pPr>
            <w:r>
              <w:rPr>
                <w:rFonts w:hint="eastAsia"/>
                <w:b/>
                <w:bCs/>
                <w:kern w:val="0"/>
                <w:sz w:val="18"/>
                <w:szCs w:val="18"/>
              </w:rPr>
              <w:t>1784300</w:t>
            </w:r>
          </w:p>
        </w:tc>
      </w:tr>
      <w:tr w14:paraId="45859193">
        <w:tblPrEx>
          <w:tblCellMar>
            <w:top w:w="0" w:type="dxa"/>
            <w:left w:w="108" w:type="dxa"/>
            <w:bottom w:w="0" w:type="dxa"/>
            <w:right w:w="108" w:type="dxa"/>
          </w:tblCellMar>
        </w:tblPrEx>
        <w:trPr>
          <w:trHeight w:val="315" w:hRule="atLeast"/>
        </w:trPr>
        <w:tc>
          <w:tcPr>
            <w:tcW w:w="640" w:type="dxa"/>
            <w:vMerge w:val="restart"/>
            <w:tcBorders>
              <w:top w:val="nil"/>
              <w:left w:val="single" w:color="auto" w:sz="4" w:space="0"/>
              <w:bottom w:val="single" w:color="auto" w:sz="4" w:space="0"/>
              <w:right w:val="single" w:color="auto" w:sz="4" w:space="0"/>
            </w:tcBorders>
            <w:vAlign w:val="center"/>
          </w:tcPr>
          <w:p w14:paraId="4A82C9B2">
            <w:pPr>
              <w:widowControl/>
              <w:jc w:val="center"/>
              <w:rPr>
                <w:b/>
                <w:bCs/>
                <w:kern w:val="0"/>
                <w:sz w:val="18"/>
                <w:szCs w:val="18"/>
              </w:rPr>
            </w:pPr>
            <w:r>
              <w:rPr>
                <w:b/>
                <w:bCs/>
                <w:kern w:val="0"/>
                <w:sz w:val="18"/>
                <w:szCs w:val="18"/>
              </w:rPr>
              <w:t>1</w:t>
            </w:r>
          </w:p>
        </w:tc>
        <w:tc>
          <w:tcPr>
            <w:tcW w:w="1200" w:type="dxa"/>
            <w:vMerge w:val="restart"/>
            <w:tcBorders>
              <w:top w:val="nil"/>
              <w:left w:val="single" w:color="auto" w:sz="4" w:space="0"/>
              <w:bottom w:val="single" w:color="auto" w:sz="4" w:space="0"/>
              <w:right w:val="single" w:color="auto" w:sz="4" w:space="0"/>
            </w:tcBorders>
            <w:vAlign w:val="center"/>
          </w:tcPr>
          <w:p w14:paraId="168088E2">
            <w:pPr>
              <w:widowControl/>
              <w:jc w:val="center"/>
              <w:rPr>
                <w:b/>
                <w:bCs/>
                <w:kern w:val="0"/>
                <w:sz w:val="18"/>
                <w:szCs w:val="18"/>
              </w:rPr>
            </w:pPr>
            <w:r>
              <w:rPr>
                <w:rFonts w:hint="eastAsia" w:ascii="宋体" w:hAnsi="宋体"/>
                <w:b/>
                <w:bCs/>
                <w:kern w:val="0"/>
                <w:sz w:val="18"/>
                <w:szCs w:val="18"/>
              </w:rPr>
              <w:t>森林旅游与森林康养产业</w:t>
            </w:r>
          </w:p>
        </w:tc>
        <w:tc>
          <w:tcPr>
            <w:tcW w:w="2130" w:type="dxa"/>
            <w:vMerge w:val="restart"/>
            <w:tcBorders>
              <w:top w:val="nil"/>
              <w:left w:val="single" w:color="auto" w:sz="4" w:space="0"/>
              <w:bottom w:val="single" w:color="auto" w:sz="4" w:space="0"/>
              <w:right w:val="single" w:color="auto" w:sz="4" w:space="0"/>
            </w:tcBorders>
            <w:vAlign w:val="center"/>
          </w:tcPr>
          <w:p w14:paraId="5C100A0F">
            <w:pPr>
              <w:widowControl/>
              <w:jc w:val="center"/>
              <w:rPr>
                <w:kern w:val="0"/>
                <w:sz w:val="18"/>
                <w:szCs w:val="18"/>
              </w:rPr>
            </w:pPr>
            <w:r>
              <w:rPr>
                <w:rFonts w:hint="eastAsia" w:ascii="宋体" w:hAnsi="宋体"/>
                <w:kern w:val="0"/>
                <w:sz w:val="18"/>
                <w:szCs w:val="18"/>
              </w:rPr>
              <w:t>（</w:t>
            </w:r>
            <w:r>
              <w:rPr>
                <w:kern w:val="0"/>
                <w:sz w:val="18"/>
                <w:szCs w:val="18"/>
              </w:rPr>
              <w:t>1</w:t>
            </w:r>
            <w:r>
              <w:rPr>
                <w:rFonts w:hint="eastAsia" w:ascii="宋体" w:hAnsi="宋体"/>
                <w:kern w:val="0"/>
                <w:sz w:val="18"/>
                <w:szCs w:val="18"/>
              </w:rPr>
              <w:t>）改造提升现有森林公园</w:t>
            </w:r>
          </w:p>
        </w:tc>
        <w:tc>
          <w:tcPr>
            <w:tcW w:w="2126" w:type="dxa"/>
            <w:tcBorders>
              <w:top w:val="nil"/>
              <w:left w:val="nil"/>
              <w:bottom w:val="single" w:color="auto" w:sz="4" w:space="0"/>
              <w:right w:val="single" w:color="auto" w:sz="4" w:space="0"/>
            </w:tcBorders>
            <w:vAlign w:val="center"/>
          </w:tcPr>
          <w:p w14:paraId="6E5ED7FC">
            <w:pPr>
              <w:widowControl/>
              <w:jc w:val="center"/>
              <w:rPr>
                <w:kern w:val="0"/>
                <w:sz w:val="18"/>
                <w:szCs w:val="18"/>
              </w:rPr>
            </w:pPr>
            <w:r>
              <w:rPr>
                <w:rFonts w:hint="eastAsia" w:ascii="宋体" w:hAnsi="宋体"/>
                <w:kern w:val="0"/>
                <w:sz w:val="18"/>
                <w:szCs w:val="18"/>
              </w:rPr>
              <w:t>改造提升临春岭森林公园</w:t>
            </w:r>
          </w:p>
        </w:tc>
        <w:tc>
          <w:tcPr>
            <w:tcW w:w="1985" w:type="dxa"/>
            <w:tcBorders>
              <w:top w:val="nil"/>
              <w:left w:val="nil"/>
              <w:bottom w:val="single" w:color="auto" w:sz="4" w:space="0"/>
              <w:right w:val="single" w:color="auto" w:sz="4" w:space="0"/>
            </w:tcBorders>
            <w:vAlign w:val="center"/>
          </w:tcPr>
          <w:p w14:paraId="4790C606">
            <w:pPr>
              <w:widowControl/>
              <w:jc w:val="center"/>
              <w:rPr>
                <w:kern w:val="0"/>
                <w:sz w:val="18"/>
                <w:szCs w:val="18"/>
              </w:rPr>
            </w:pPr>
            <w:r>
              <w:rPr>
                <w:rFonts w:hint="eastAsia" w:ascii="宋体" w:hAnsi="宋体"/>
                <w:kern w:val="0"/>
                <w:sz w:val="18"/>
                <w:szCs w:val="18"/>
              </w:rPr>
              <w:t>临春岭森林公园</w:t>
            </w:r>
          </w:p>
        </w:tc>
        <w:tc>
          <w:tcPr>
            <w:tcW w:w="1275" w:type="dxa"/>
            <w:vMerge w:val="restart"/>
            <w:tcBorders>
              <w:top w:val="nil"/>
              <w:left w:val="single" w:color="auto" w:sz="4" w:space="0"/>
              <w:bottom w:val="single" w:color="auto" w:sz="4" w:space="0"/>
              <w:right w:val="single" w:color="auto" w:sz="4" w:space="0"/>
            </w:tcBorders>
            <w:vAlign w:val="center"/>
          </w:tcPr>
          <w:p w14:paraId="1809A82D">
            <w:pPr>
              <w:widowControl/>
              <w:jc w:val="center"/>
              <w:rPr>
                <w:kern w:val="0"/>
                <w:sz w:val="18"/>
                <w:szCs w:val="18"/>
              </w:rPr>
            </w:pPr>
            <w:r>
              <w:rPr>
                <w:kern w:val="0"/>
                <w:sz w:val="18"/>
                <w:szCs w:val="18"/>
              </w:rPr>
              <w:t>81000</w:t>
            </w:r>
          </w:p>
        </w:tc>
      </w:tr>
      <w:tr w14:paraId="65646956">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302E9C54">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73019E3">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5B5DC4FF">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375B58EF">
            <w:pPr>
              <w:widowControl/>
              <w:jc w:val="center"/>
              <w:rPr>
                <w:kern w:val="0"/>
                <w:sz w:val="18"/>
                <w:szCs w:val="18"/>
              </w:rPr>
            </w:pPr>
            <w:r>
              <w:rPr>
                <w:rFonts w:hint="eastAsia" w:ascii="宋体" w:hAnsi="宋体"/>
                <w:kern w:val="0"/>
                <w:sz w:val="18"/>
                <w:szCs w:val="18"/>
              </w:rPr>
              <w:t>提升亚龙湾热带天堂森林公园质量</w:t>
            </w:r>
          </w:p>
        </w:tc>
        <w:tc>
          <w:tcPr>
            <w:tcW w:w="1985" w:type="dxa"/>
            <w:tcBorders>
              <w:top w:val="nil"/>
              <w:left w:val="nil"/>
              <w:bottom w:val="single" w:color="auto" w:sz="4" w:space="0"/>
              <w:right w:val="single" w:color="auto" w:sz="4" w:space="0"/>
            </w:tcBorders>
            <w:vAlign w:val="center"/>
          </w:tcPr>
          <w:p w14:paraId="466F8AB0">
            <w:pPr>
              <w:widowControl/>
              <w:jc w:val="center"/>
              <w:rPr>
                <w:kern w:val="0"/>
                <w:sz w:val="18"/>
                <w:szCs w:val="18"/>
              </w:rPr>
            </w:pPr>
            <w:r>
              <w:rPr>
                <w:rFonts w:hint="eastAsia" w:ascii="宋体" w:hAnsi="宋体"/>
                <w:kern w:val="0"/>
                <w:sz w:val="18"/>
                <w:szCs w:val="18"/>
              </w:rPr>
              <w:t>亚龙湾热带天堂森林公园</w:t>
            </w:r>
          </w:p>
        </w:tc>
        <w:tc>
          <w:tcPr>
            <w:tcW w:w="1275" w:type="dxa"/>
            <w:vMerge w:val="continue"/>
            <w:tcBorders>
              <w:top w:val="nil"/>
              <w:left w:val="single" w:color="auto" w:sz="4" w:space="0"/>
              <w:bottom w:val="single" w:color="auto" w:sz="4" w:space="0"/>
              <w:right w:val="single" w:color="auto" w:sz="4" w:space="0"/>
            </w:tcBorders>
            <w:vAlign w:val="center"/>
          </w:tcPr>
          <w:p w14:paraId="40284ED0">
            <w:pPr>
              <w:widowControl/>
              <w:jc w:val="left"/>
              <w:rPr>
                <w:kern w:val="0"/>
                <w:sz w:val="18"/>
                <w:szCs w:val="18"/>
              </w:rPr>
            </w:pPr>
          </w:p>
        </w:tc>
      </w:tr>
      <w:tr w14:paraId="5F44198D">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829F809">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5D1D4B68">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47E2C254">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6145D96B">
            <w:pPr>
              <w:widowControl/>
              <w:jc w:val="center"/>
              <w:rPr>
                <w:kern w:val="0"/>
                <w:sz w:val="18"/>
                <w:szCs w:val="18"/>
              </w:rPr>
            </w:pPr>
            <w:r>
              <w:rPr>
                <w:rFonts w:hint="eastAsia" w:ascii="宋体" w:hAnsi="宋体"/>
                <w:kern w:val="0"/>
                <w:sz w:val="18"/>
                <w:szCs w:val="18"/>
              </w:rPr>
              <w:t>打造凤凰岭森林公园</w:t>
            </w:r>
          </w:p>
        </w:tc>
        <w:tc>
          <w:tcPr>
            <w:tcW w:w="1985" w:type="dxa"/>
            <w:tcBorders>
              <w:top w:val="nil"/>
              <w:left w:val="nil"/>
              <w:bottom w:val="single" w:color="auto" w:sz="4" w:space="0"/>
              <w:right w:val="single" w:color="auto" w:sz="4" w:space="0"/>
            </w:tcBorders>
            <w:vAlign w:val="center"/>
          </w:tcPr>
          <w:p w14:paraId="4FB2D3F5">
            <w:pPr>
              <w:widowControl/>
              <w:jc w:val="center"/>
              <w:rPr>
                <w:kern w:val="0"/>
                <w:sz w:val="18"/>
                <w:szCs w:val="18"/>
              </w:rPr>
            </w:pPr>
            <w:r>
              <w:rPr>
                <w:rFonts w:hint="eastAsia" w:ascii="宋体" w:hAnsi="宋体"/>
                <w:kern w:val="0"/>
                <w:sz w:val="18"/>
                <w:szCs w:val="18"/>
              </w:rPr>
              <w:t>凤凰岭森林公园</w:t>
            </w:r>
          </w:p>
        </w:tc>
        <w:tc>
          <w:tcPr>
            <w:tcW w:w="1275" w:type="dxa"/>
            <w:vMerge w:val="continue"/>
            <w:tcBorders>
              <w:top w:val="nil"/>
              <w:left w:val="single" w:color="auto" w:sz="4" w:space="0"/>
              <w:bottom w:val="single" w:color="auto" w:sz="4" w:space="0"/>
              <w:right w:val="single" w:color="auto" w:sz="4" w:space="0"/>
            </w:tcBorders>
            <w:vAlign w:val="center"/>
          </w:tcPr>
          <w:p w14:paraId="1A7A4209">
            <w:pPr>
              <w:widowControl/>
              <w:jc w:val="left"/>
              <w:rPr>
                <w:kern w:val="0"/>
                <w:sz w:val="18"/>
                <w:szCs w:val="18"/>
              </w:rPr>
            </w:pPr>
          </w:p>
        </w:tc>
      </w:tr>
      <w:tr w14:paraId="377837C6">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2951E99">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DC3AE65">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1706383A">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64A7D33F">
            <w:pPr>
              <w:widowControl/>
              <w:jc w:val="center"/>
              <w:rPr>
                <w:kern w:val="0"/>
                <w:sz w:val="18"/>
                <w:szCs w:val="18"/>
              </w:rPr>
            </w:pPr>
            <w:r>
              <w:rPr>
                <w:rFonts w:hint="eastAsia" w:ascii="宋体" w:hAnsi="宋体"/>
                <w:kern w:val="0"/>
                <w:sz w:val="18"/>
                <w:szCs w:val="18"/>
              </w:rPr>
              <w:t>提升抱龙森林公园质量</w:t>
            </w:r>
          </w:p>
        </w:tc>
        <w:tc>
          <w:tcPr>
            <w:tcW w:w="1985" w:type="dxa"/>
            <w:tcBorders>
              <w:top w:val="nil"/>
              <w:left w:val="nil"/>
              <w:bottom w:val="single" w:color="auto" w:sz="4" w:space="0"/>
              <w:right w:val="single" w:color="auto" w:sz="4" w:space="0"/>
            </w:tcBorders>
            <w:vAlign w:val="center"/>
          </w:tcPr>
          <w:p w14:paraId="15601159">
            <w:pPr>
              <w:widowControl/>
              <w:jc w:val="center"/>
              <w:rPr>
                <w:kern w:val="0"/>
                <w:sz w:val="18"/>
                <w:szCs w:val="18"/>
              </w:rPr>
            </w:pPr>
            <w:r>
              <w:rPr>
                <w:rFonts w:hint="eastAsia" w:ascii="宋体" w:hAnsi="宋体"/>
                <w:kern w:val="0"/>
                <w:sz w:val="18"/>
                <w:szCs w:val="18"/>
              </w:rPr>
              <w:t>抱龙森林公园</w:t>
            </w:r>
          </w:p>
        </w:tc>
        <w:tc>
          <w:tcPr>
            <w:tcW w:w="1275" w:type="dxa"/>
            <w:vMerge w:val="continue"/>
            <w:tcBorders>
              <w:top w:val="nil"/>
              <w:left w:val="single" w:color="auto" w:sz="4" w:space="0"/>
              <w:bottom w:val="single" w:color="auto" w:sz="4" w:space="0"/>
              <w:right w:val="single" w:color="auto" w:sz="4" w:space="0"/>
            </w:tcBorders>
            <w:vAlign w:val="center"/>
          </w:tcPr>
          <w:p w14:paraId="218647AB">
            <w:pPr>
              <w:widowControl/>
              <w:jc w:val="left"/>
              <w:rPr>
                <w:kern w:val="0"/>
                <w:sz w:val="18"/>
                <w:szCs w:val="18"/>
              </w:rPr>
            </w:pPr>
          </w:p>
        </w:tc>
      </w:tr>
      <w:tr w14:paraId="38954703">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1A0079CE">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F4D8345">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7BB1A0B7">
            <w:pPr>
              <w:widowControl/>
              <w:jc w:val="center"/>
              <w:rPr>
                <w:kern w:val="0"/>
                <w:sz w:val="18"/>
                <w:szCs w:val="18"/>
              </w:rPr>
            </w:pPr>
            <w:r>
              <w:rPr>
                <w:rFonts w:hint="eastAsia" w:ascii="宋体" w:hAnsi="宋体"/>
                <w:kern w:val="0"/>
                <w:sz w:val="18"/>
                <w:szCs w:val="18"/>
              </w:rPr>
              <w:t>（</w:t>
            </w:r>
            <w:r>
              <w:rPr>
                <w:kern w:val="0"/>
                <w:sz w:val="18"/>
                <w:szCs w:val="18"/>
              </w:rPr>
              <w:t>2</w:t>
            </w:r>
            <w:r>
              <w:rPr>
                <w:rFonts w:hint="eastAsia" w:ascii="宋体" w:hAnsi="宋体"/>
                <w:kern w:val="0"/>
                <w:sz w:val="18"/>
                <w:szCs w:val="18"/>
              </w:rPr>
              <w:t>）建设生态旅游湿地公园工程</w:t>
            </w:r>
          </w:p>
        </w:tc>
        <w:tc>
          <w:tcPr>
            <w:tcW w:w="2126" w:type="dxa"/>
            <w:tcBorders>
              <w:top w:val="nil"/>
              <w:left w:val="nil"/>
              <w:bottom w:val="single" w:color="auto" w:sz="4" w:space="0"/>
              <w:right w:val="single" w:color="auto" w:sz="4" w:space="0"/>
            </w:tcBorders>
            <w:vAlign w:val="center"/>
          </w:tcPr>
          <w:p w14:paraId="686F8497">
            <w:pPr>
              <w:widowControl/>
              <w:jc w:val="center"/>
              <w:rPr>
                <w:kern w:val="0"/>
                <w:sz w:val="18"/>
                <w:szCs w:val="18"/>
              </w:rPr>
            </w:pPr>
            <w:r>
              <w:rPr>
                <w:rFonts w:hint="eastAsia" w:ascii="宋体" w:hAnsi="宋体"/>
                <w:kern w:val="0"/>
                <w:sz w:val="18"/>
                <w:szCs w:val="18"/>
              </w:rPr>
              <w:t>三亚河国家湿地公园</w:t>
            </w:r>
          </w:p>
        </w:tc>
        <w:tc>
          <w:tcPr>
            <w:tcW w:w="1985" w:type="dxa"/>
            <w:tcBorders>
              <w:top w:val="nil"/>
              <w:left w:val="nil"/>
              <w:bottom w:val="single" w:color="auto" w:sz="4" w:space="0"/>
              <w:right w:val="single" w:color="auto" w:sz="4" w:space="0"/>
            </w:tcBorders>
            <w:vAlign w:val="center"/>
          </w:tcPr>
          <w:p w14:paraId="193E754A">
            <w:pPr>
              <w:widowControl/>
              <w:jc w:val="center"/>
              <w:rPr>
                <w:kern w:val="0"/>
                <w:sz w:val="18"/>
                <w:szCs w:val="18"/>
              </w:rPr>
            </w:pPr>
            <w:r>
              <w:rPr>
                <w:rFonts w:hint="eastAsia" w:ascii="宋体" w:hAnsi="宋体"/>
                <w:kern w:val="0"/>
                <w:sz w:val="18"/>
                <w:szCs w:val="18"/>
              </w:rPr>
              <w:t>三亚河</w:t>
            </w:r>
          </w:p>
        </w:tc>
        <w:tc>
          <w:tcPr>
            <w:tcW w:w="1275" w:type="dxa"/>
            <w:tcBorders>
              <w:top w:val="nil"/>
              <w:left w:val="nil"/>
              <w:bottom w:val="single" w:color="auto" w:sz="4" w:space="0"/>
              <w:right w:val="single" w:color="auto" w:sz="4" w:space="0"/>
            </w:tcBorders>
            <w:vAlign w:val="center"/>
          </w:tcPr>
          <w:p w14:paraId="0C2668F5">
            <w:pPr>
              <w:widowControl/>
              <w:jc w:val="center"/>
              <w:rPr>
                <w:kern w:val="0"/>
                <w:sz w:val="18"/>
                <w:szCs w:val="18"/>
              </w:rPr>
            </w:pPr>
            <w:r>
              <w:rPr>
                <w:kern w:val="0"/>
                <w:sz w:val="18"/>
                <w:szCs w:val="18"/>
              </w:rPr>
              <w:t>49900</w:t>
            </w:r>
          </w:p>
        </w:tc>
      </w:tr>
      <w:tr w14:paraId="381DA4B3">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1D206EB">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160547E">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6796278F">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0678853A">
            <w:pPr>
              <w:widowControl/>
              <w:jc w:val="center"/>
              <w:rPr>
                <w:kern w:val="0"/>
                <w:sz w:val="18"/>
                <w:szCs w:val="18"/>
              </w:rPr>
            </w:pPr>
            <w:r>
              <w:rPr>
                <w:rFonts w:hint="eastAsia" w:ascii="宋体" w:hAnsi="宋体"/>
                <w:kern w:val="0"/>
                <w:sz w:val="18"/>
                <w:szCs w:val="18"/>
              </w:rPr>
              <w:t>新建红树林公园</w:t>
            </w:r>
          </w:p>
        </w:tc>
        <w:tc>
          <w:tcPr>
            <w:tcW w:w="1985" w:type="dxa"/>
            <w:tcBorders>
              <w:top w:val="nil"/>
              <w:left w:val="nil"/>
              <w:bottom w:val="single" w:color="auto" w:sz="4" w:space="0"/>
              <w:right w:val="single" w:color="auto" w:sz="4" w:space="0"/>
            </w:tcBorders>
            <w:vAlign w:val="center"/>
          </w:tcPr>
          <w:p w14:paraId="589BACB4">
            <w:pPr>
              <w:widowControl/>
              <w:jc w:val="center"/>
              <w:rPr>
                <w:kern w:val="0"/>
                <w:sz w:val="18"/>
                <w:szCs w:val="18"/>
              </w:rPr>
            </w:pPr>
            <w:r>
              <w:rPr>
                <w:rFonts w:hint="eastAsia" w:ascii="宋体" w:hAnsi="宋体"/>
                <w:kern w:val="0"/>
                <w:sz w:val="18"/>
                <w:szCs w:val="18"/>
              </w:rPr>
              <w:t>铁炉港红树林自然保护区</w:t>
            </w:r>
          </w:p>
        </w:tc>
        <w:tc>
          <w:tcPr>
            <w:tcW w:w="1275" w:type="dxa"/>
            <w:tcBorders>
              <w:top w:val="nil"/>
              <w:left w:val="nil"/>
              <w:bottom w:val="single" w:color="auto" w:sz="4" w:space="0"/>
              <w:right w:val="single" w:color="auto" w:sz="4" w:space="0"/>
            </w:tcBorders>
            <w:vAlign w:val="center"/>
          </w:tcPr>
          <w:p w14:paraId="673D5CCA">
            <w:pPr>
              <w:widowControl/>
              <w:jc w:val="center"/>
              <w:rPr>
                <w:kern w:val="0"/>
                <w:sz w:val="18"/>
                <w:szCs w:val="18"/>
              </w:rPr>
            </w:pPr>
            <w:r>
              <w:rPr>
                <w:kern w:val="0"/>
                <w:sz w:val="18"/>
                <w:szCs w:val="18"/>
              </w:rPr>
              <w:t>52000</w:t>
            </w:r>
          </w:p>
        </w:tc>
      </w:tr>
      <w:tr w14:paraId="00AA99AF">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64442F68">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6DB9474">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50DB00A7">
            <w:pPr>
              <w:widowControl/>
              <w:jc w:val="center"/>
              <w:rPr>
                <w:kern w:val="0"/>
                <w:sz w:val="18"/>
                <w:szCs w:val="18"/>
              </w:rPr>
            </w:pPr>
            <w:r>
              <w:rPr>
                <w:rFonts w:hint="eastAsia" w:ascii="宋体" w:hAnsi="宋体"/>
                <w:kern w:val="0"/>
                <w:sz w:val="18"/>
                <w:szCs w:val="18"/>
              </w:rPr>
              <w:t>（</w:t>
            </w:r>
            <w:r>
              <w:rPr>
                <w:kern w:val="0"/>
                <w:sz w:val="18"/>
                <w:szCs w:val="18"/>
              </w:rPr>
              <w:t>3</w:t>
            </w:r>
            <w:r>
              <w:rPr>
                <w:rFonts w:hint="eastAsia" w:ascii="宋体" w:hAnsi="宋体"/>
                <w:kern w:val="0"/>
                <w:sz w:val="18"/>
                <w:szCs w:val="18"/>
              </w:rPr>
              <w:t>）新建动植物公园工程</w:t>
            </w:r>
          </w:p>
        </w:tc>
        <w:tc>
          <w:tcPr>
            <w:tcW w:w="2126" w:type="dxa"/>
            <w:tcBorders>
              <w:top w:val="nil"/>
              <w:left w:val="nil"/>
              <w:bottom w:val="single" w:color="auto" w:sz="4" w:space="0"/>
              <w:right w:val="single" w:color="auto" w:sz="4" w:space="0"/>
            </w:tcBorders>
            <w:vAlign w:val="center"/>
          </w:tcPr>
          <w:p w14:paraId="7CB4F0B0">
            <w:pPr>
              <w:widowControl/>
              <w:jc w:val="center"/>
              <w:rPr>
                <w:kern w:val="0"/>
                <w:sz w:val="18"/>
                <w:szCs w:val="18"/>
              </w:rPr>
            </w:pPr>
            <w:r>
              <w:rPr>
                <w:rFonts w:hint="eastAsia" w:ascii="宋体" w:hAnsi="宋体"/>
                <w:kern w:val="0"/>
                <w:sz w:val="18"/>
                <w:szCs w:val="18"/>
              </w:rPr>
              <w:t>三亚市野生动物园</w:t>
            </w:r>
          </w:p>
        </w:tc>
        <w:tc>
          <w:tcPr>
            <w:tcW w:w="1985" w:type="dxa"/>
            <w:tcBorders>
              <w:top w:val="nil"/>
              <w:left w:val="nil"/>
              <w:bottom w:val="single" w:color="auto" w:sz="4" w:space="0"/>
              <w:right w:val="single" w:color="auto" w:sz="4" w:space="0"/>
            </w:tcBorders>
            <w:vAlign w:val="center"/>
          </w:tcPr>
          <w:p w14:paraId="448290F7">
            <w:pPr>
              <w:widowControl/>
              <w:jc w:val="center"/>
              <w:rPr>
                <w:kern w:val="0"/>
                <w:sz w:val="18"/>
                <w:szCs w:val="18"/>
              </w:rPr>
            </w:pPr>
            <w:r>
              <w:rPr>
                <w:rFonts w:hint="eastAsia" w:ascii="宋体" w:hAnsi="宋体"/>
                <w:kern w:val="0"/>
                <w:sz w:val="18"/>
                <w:szCs w:val="18"/>
              </w:rPr>
              <w:t>育才生态区</w:t>
            </w:r>
          </w:p>
        </w:tc>
        <w:tc>
          <w:tcPr>
            <w:tcW w:w="1275" w:type="dxa"/>
            <w:tcBorders>
              <w:top w:val="nil"/>
              <w:left w:val="nil"/>
              <w:bottom w:val="single" w:color="auto" w:sz="4" w:space="0"/>
              <w:right w:val="single" w:color="auto" w:sz="4" w:space="0"/>
            </w:tcBorders>
            <w:vAlign w:val="center"/>
          </w:tcPr>
          <w:p w14:paraId="6000257A">
            <w:pPr>
              <w:widowControl/>
              <w:jc w:val="center"/>
              <w:rPr>
                <w:kern w:val="0"/>
                <w:sz w:val="18"/>
                <w:szCs w:val="18"/>
              </w:rPr>
            </w:pPr>
            <w:r>
              <w:rPr>
                <w:kern w:val="0"/>
                <w:sz w:val="18"/>
                <w:szCs w:val="18"/>
              </w:rPr>
              <w:t>50000</w:t>
            </w:r>
          </w:p>
        </w:tc>
      </w:tr>
      <w:tr w14:paraId="4ACFCA1A">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BD67251">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5CEC598D">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7234708A">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60CE5F75">
            <w:pPr>
              <w:widowControl/>
              <w:jc w:val="center"/>
              <w:rPr>
                <w:kern w:val="0"/>
                <w:sz w:val="18"/>
                <w:szCs w:val="18"/>
              </w:rPr>
            </w:pPr>
            <w:r>
              <w:rPr>
                <w:rFonts w:hint="eastAsia" w:ascii="宋体" w:hAnsi="宋体"/>
                <w:kern w:val="0"/>
                <w:sz w:val="18"/>
                <w:szCs w:val="18"/>
              </w:rPr>
              <w:t>三亚市热带植物园</w:t>
            </w:r>
          </w:p>
        </w:tc>
        <w:tc>
          <w:tcPr>
            <w:tcW w:w="1985" w:type="dxa"/>
            <w:tcBorders>
              <w:top w:val="nil"/>
              <w:left w:val="nil"/>
              <w:bottom w:val="single" w:color="auto" w:sz="4" w:space="0"/>
              <w:right w:val="single" w:color="auto" w:sz="4" w:space="0"/>
            </w:tcBorders>
            <w:vAlign w:val="center"/>
          </w:tcPr>
          <w:p w14:paraId="6830F91F">
            <w:pPr>
              <w:widowControl/>
              <w:jc w:val="center"/>
              <w:rPr>
                <w:kern w:val="0"/>
                <w:sz w:val="18"/>
                <w:szCs w:val="18"/>
              </w:rPr>
            </w:pPr>
            <w:r>
              <w:rPr>
                <w:rFonts w:hint="eastAsia" w:ascii="宋体" w:hAnsi="宋体"/>
                <w:kern w:val="0"/>
                <w:sz w:val="18"/>
                <w:szCs w:val="18"/>
              </w:rPr>
              <w:t>天涯海角附近</w:t>
            </w:r>
          </w:p>
        </w:tc>
        <w:tc>
          <w:tcPr>
            <w:tcW w:w="1275" w:type="dxa"/>
            <w:tcBorders>
              <w:top w:val="nil"/>
              <w:left w:val="nil"/>
              <w:bottom w:val="single" w:color="auto" w:sz="4" w:space="0"/>
              <w:right w:val="single" w:color="auto" w:sz="4" w:space="0"/>
            </w:tcBorders>
            <w:vAlign w:val="center"/>
          </w:tcPr>
          <w:p w14:paraId="39D21080">
            <w:pPr>
              <w:widowControl/>
              <w:jc w:val="center"/>
              <w:rPr>
                <w:kern w:val="0"/>
                <w:sz w:val="18"/>
                <w:szCs w:val="18"/>
              </w:rPr>
            </w:pPr>
            <w:r>
              <w:rPr>
                <w:kern w:val="0"/>
                <w:sz w:val="18"/>
                <w:szCs w:val="18"/>
              </w:rPr>
              <w:t>130000</w:t>
            </w:r>
          </w:p>
        </w:tc>
      </w:tr>
      <w:tr w14:paraId="059D6E28">
        <w:tblPrEx>
          <w:tblCellMar>
            <w:top w:w="0" w:type="dxa"/>
            <w:left w:w="108" w:type="dxa"/>
            <w:bottom w:w="0" w:type="dxa"/>
            <w:right w:w="108" w:type="dxa"/>
          </w:tblCellMar>
        </w:tblPrEx>
        <w:trPr>
          <w:trHeight w:val="570" w:hRule="atLeast"/>
        </w:trPr>
        <w:tc>
          <w:tcPr>
            <w:tcW w:w="640" w:type="dxa"/>
            <w:vMerge w:val="continue"/>
            <w:tcBorders>
              <w:top w:val="nil"/>
              <w:left w:val="single" w:color="auto" w:sz="4" w:space="0"/>
              <w:bottom w:val="single" w:color="auto" w:sz="4" w:space="0"/>
              <w:right w:val="single" w:color="auto" w:sz="4" w:space="0"/>
            </w:tcBorders>
            <w:vAlign w:val="center"/>
          </w:tcPr>
          <w:p w14:paraId="20892BDA">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9640CF5">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1E51E6C7">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470F169E">
            <w:pPr>
              <w:widowControl/>
              <w:jc w:val="center"/>
              <w:rPr>
                <w:kern w:val="0"/>
                <w:sz w:val="18"/>
                <w:szCs w:val="18"/>
              </w:rPr>
            </w:pPr>
            <w:r>
              <w:rPr>
                <w:rFonts w:hint="eastAsia" w:ascii="宋体" w:hAnsi="宋体"/>
                <w:kern w:val="0"/>
                <w:sz w:val="18"/>
                <w:szCs w:val="18"/>
              </w:rPr>
              <w:t>福岭森林公园</w:t>
            </w:r>
          </w:p>
        </w:tc>
        <w:tc>
          <w:tcPr>
            <w:tcW w:w="1985" w:type="dxa"/>
            <w:tcBorders>
              <w:top w:val="nil"/>
              <w:left w:val="nil"/>
              <w:bottom w:val="single" w:color="auto" w:sz="4" w:space="0"/>
              <w:right w:val="single" w:color="auto" w:sz="4" w:space="0"/>
            </w:tcBorders>
            <w:vAlign w:val="center"/>
          </w:tcPr>
          <w:p w14:paraId="28E37953">
            <w:pPr>
              <w:widowControl/>
              <w:jc w:val="center"/>
              <w:rPr>
                <w:kern w:val="0"/>
                <w:sz w:val="18"/>
                <w:szCs w:val="18"/>
              </w:rPr>
            </w:pPr>
            <w:r>
              <w:rPr>
                <w:rFonts w:hint="eastAsia" w:ascii="宋体" w:hAnsi="宋体"/>
                <w:kern w:val="0"/>
                <w:sz w:val="18"/>
                <w:szCs w:val="18"/>
              </w:rPr>
              <w:t>天涯区三亚绕城高速公路北侧</w:t>
            </w:r>
          </w:p>
        </w:tc>
        <w:tc>
          <w:tcPr>
            <w:tcW w:w="1275" w:type="dxa"/>
            <w:tcBorders>
              <w:top w:val="nil"/>
              <w:left w:val="nil"/>
              <w:bottom w:val="single" w:color="auto" w:sz="4" w:space="0"/>
              <w:right w:val="single" w:color="auto" w:sz="4" w:space="0"/>
            </w:tcBorders>
            <w:vAlign w:val="center"/>
          </w:tcPr>
          <w:p w14:paraId="39B23B65">
            <w:pPr>
              <w:widowControl/>
              <w:jc w:val="center"/>
              <w:rPr>
                <w:kern w:val="0"/>
                <w:sz w:val="18"/>
                <w:szCs w:val="18"/>
              </w:rPr>
            </w:pPr>
            <w:r>
              <w:rPr>
                <w:kern w:val="0"/>
                <w:sz w:val="18"/>
                <w:szCs w:val="18"/>
              </w:rPr>
              <w:t>174000</w:t>
            </w:r>
          </w:p>
        </w:tc>
      </w:tr>
      <w:tr w14:paraId="3679EC13">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397AD8E">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6CE9DCD3">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62C98C5A">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691A42B7">
            <w:pPr>
              <w:widowControl/>
              <w:jc w:val="center"/>
              <w:rPr>
                <w:kern w:val="0"/>
                <w:sz w:val="18"/>
                <w:szCs w:val="18"/>
              </w:rPr>
            </w:pPr>
            <w:r>
              <w:rPr>
                <w:rFonts w:hint="eastAsia" w:ascii="宋体" w:hAnsi="宋体"/>
                <w:kern w:val="0"/>
                <w:sz w:val="18"/>
                <w:szCs w:val="18"/>
              </w:rPr>
              <w:t>北山森林公园</w:t>
            </w:r>
          </w:p>
        </w:tc>
        <w:tc>
          <w:tcPr>
            <w:tcW w:w="1985" w:type="dxa"/>
            <w:tcBorders>
              <w:top w:val="nil"/>
              <w:left w:val="nil"/>
              <w:bottom w:val="single" w:color="auto" w:sz="4" w:space="0"/>
              <w:right w:val="single" w:color="auto" w:sz="4" w:space="0"/>
            </w:tcBorders>
            <w:vAlign w:val="center"/>
          </w:tcPr>
          <w:p w14:paraId="2F7E6782">
            <w:pPr>
              <w:widowControl/>
              <w:jc w:val="center"/>
              <w:rPr>
                <w:kern w:val="0"/>
                <w:sz w:val="18"/>
                <w:szCs w:val="18"/>
              </w:rPr>
            </w:pPr>
            <w:r>
              <w:rPr>
                <w:rFonts w:hint="eastAsia" w:ascii="宋体" w:hAnsi="宋体"/>
                <w:kern w:val="0"/>
                <w:sz w:val="18"/>
                <w:szCs w:val="18"/>
              </w:rPr>
              <w:t>海棠区北山村</w:t>
            </w:r>
          </w:p>
        </w:tc>
        <w:tc>
          <w:tcPr>
            <w:tcW w:w="1275" w:type="dxa"/>
            <w:tcBorders>
              <w:top w:val="nil"/>
              <w:left w:val="nil"/>
              <w:bottom w:val="single" w:color="auto" w:sz="4" w:space="0"/>
              <w:right w:val="single" w:color="auto" w:sz="4" w:space="0"/>
            </w:tcBorders>
            <w:vAlign w:val="center"/>
          </w:tcPr>
          <w:p w14:paraId="1F55B7D3">
            <w:pPr>
              <w:widowControl/>
              <w:jc w:val="center"/>
              <w:rPr>
                <w:kern w:val="0"/>
                <w:sz w:val="18"/>
                <w:szCs w:val="18"/>
              </w:rPr>
            </w:pPr>
            <w:r>
              <w:rPr>
                <w:kern w:val="0"/>
                <w:sz w:val="18"/>
                <w:szCs w:val="18"/>
              </w:rPr>
              <w:t>27000</w:t>
            </w:r>
          </w:p>
        </w:tc>
      </w:tr>
      <w:tr w14:paraId="43D3ABE0">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7E62673F">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01FCDA1">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7F206922">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196E40C7">
            <w:pPr>
              <w:widowControl/>
              <w:jc w:val="center"/>
              <w:rPr>
                <w:kern w:val="0"/>
                <w:sz w:val="18"/>
                <w:szCs w:val="18"/>
              </w:rPr>
            </w:pPr>
            <w:r>
              <w:rPr>
                <w:rFonts w:hint="eastAsia" w:ascii="宋体" w:hAnsi="宋体"/>
                <w:kern w:val="0"/>
                <w:sz w:val="18"/>
                <w:szCs w:val="18"/>
              </w:rPr>
              <w:t>凤岭诺丽热带森林公园</w:t>
            </w:r>
          </w:p>
        </w:tc>
        <w:tc>
          <w:tcPr>
            <w:tcW w:w="1985" w:type="dxa"/>
            <w:tcBorders>
              <w:top w:val="nil"/>
              <w:left w:val="nil"/>
              <w:bottom w:val="single" w:color="auto" w:sz="4" w:space="0"/>
              <w:right w:val="single" w:color="auto" w:sz="4" w:space="0"/>
            </w:tcBorders>
            <w:vAlign w:val="center"/>
          </w:tcPr>
          <w:p w14:paraId="35B7DCD9">
            <w:pPr>
              <w:widowControl/>
              <w:jc w:val="center"/>
              <w:rPr>
                <w:kern w:val="0"/>
                <w:sz w:val="18"/>
                <w:szCs w:val="18"/>
              </w:rPr>
            </w:pPr>
            <w:r>
              <w:rPr>
                <w:rFonts w:hint="eastAsia" w:ascii="宋体" w:hAnsi="宋体"/>
                <w:kern w:val="0"/>
                <w:sz w:val="18"/>
                <w:szCs w:val="18"/>
              </w:rPr>
              <w:t>崖州区</w:t>
            </w:r>
          </w:p>
        </w:tc>
        <w:tc>
          <w:tcPr>
            <w:tcW w:w="1275" w:type="dxa"/>
            <w:tcBorders>
              <w:top w:val="nil"/>
              <w:left w:val="nil"/>
              <w:bottom w:val="single" w:color="auto" w:sz="4" w:space="0"/>
              <w:right w:val="single" w:color="auto" w:sz="4" w:space="0"/>
            </w:tcBorders>
            <w:vAlign w:val="center"/>
          </w:tcPr>
          <w:p w14:paraId="69A04067">
            <w:pPr>
              <w:widowControl/>
              <w:jc w:val="center"/>
              <w:rPr>
                <w:kern w:val="0"/>
                <w:sz w:val="18"/>
                <w:szCs w:val="18"/>
              </w:rPr>
            </w:pPr>
            <w:r>
              <w:rPr>
                <w:kern w:val="0"/>
                <w:sz w:val="18"/>
                <w:szCs w:val="18"/>
              </w:rPr>
              <w:t>80000</w:t>
            </w:r>
          </w:p>
        </w:tc>
      </w:tr>
      <w:tr w14:paraId="618880B3">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A757EE7">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7892252D">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19A93792">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0BC59836">
            <w:pPr>
              <w:widowControl/>
              <w:jc w:val="center"/>
              <w:rPr>
                <w:kern w:val="0"/>
                <w:sz w:val="18"/>
                <w:szCs w:val="18"/>
              </w:rPr>
            </w:pPr>
            <w:r>
              <w:rPr>
                <w:rFonts w:hint="eastAsia" w:ascii="宋体" w:hAnsi="宋体"/>
                <w:kern w:val="0"/>
                <w:sz w:val="18"/>
                <w:szCs w:val="18"/>
              </w:rPr>
              <w:t>三亚阜尖岭森林公园</w:t>
            </w:r>
          </w:p>
        </w:tc>
        <w:tc>
          <w:tcPr>
            <w:tcW w:w="1985" w:type="dxa"/>
            <w:tcBorders>
              <w:top w:val="nil"/>
              <w:left w:val="nil"/>
              <w:bottom w:val="single" w:color="auto" w:sz="4" w:space="0"/>
              <w:right w:val="single" w:color="auto" w:sz="4" w:space="0"/>
            </w:tcBorders>
            <w:vAlign w:val="center"/>
          </w:tcPr>
          <w:p w14:paraId="366CFDA0">
            <w:pPr>
              <w:widowControl/>
              <w:jc w:val="center"/>
              <w:rPr>
                <w:kern w:val="0"/>
                <w:sz w:val="18"/>
                <w:szCs w:val="18"/>
              </w:rPr>
            </w:pPr>
            <w:r>
              <w:rPr>
                <w:rFonts w:hint="eastAsia" w:ascii="宋体" w:hAnsi="宋体"/>
                <w:kern w:val="0"/>
                <w:sz w:val="18"/>
                <w:szCs w:val="18"/>
              </w:rPr>
              <w:t>育才生态区</w:t>
            </w:r>
          </w:p>
        </w:tc>
        <w:tc>
          <w:tcPr>
            <w:tcW w:w="1275" w:type="dxa"/>
            <w:tcBorders>
              <w:top w:val="nil"/>
              <w:left w:val="nil"/>
              <w:bottom w:val="single" w:color="auto" w:sz="4" w:space="0"/>
              <w:right w:val="single" w:color="auto" w:sz="4" w:space="0"/>
            </w:tcBorders>
            <w:vAlign w:val="center"/>
          </w:tcPr>
          <w:p w14:paraId="0E4AAAD6">
            <w:pPr>
              <w:widowControl/>
              <w:jc w:val="center"/>
              <w:rPr>
                <w:kern w:val="0"/>
                <w:sz w:val="18"/>
                <w:szCs w:val="18"/>
              </w:rPr>
            </w:pPr>
            <w:r>
              <w:rPr>
                <w:kern w:val="0"/>
                <w:sz w:val="18"/>
                <w:szCs w:val="18"/>
              </w:rPr>
              <w:t>150000</w:t>
            </w:r>
          </w:p>
        </w:tc>
      </w:tr>
      <w:tr w14:paraId="0D89C8D8">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4CBE2C44">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6B5135B">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5BB45E0D">
            <w:pPr>
              <w:widowControl/>
              <w:jc w:val="center"/>
              <w:rPr>
                <w:kern w:val="0"/>
                <w:sz w:val="18"/>
                <w:szCs w:val="18"/>
              </w:rPr>
            </w:pPr>
            <w:r>
              <w:rPr>
                <w:rFonts w:hint="eastAsia" w:ascii="宋体" w:hAnsi="宋体"/>
                <w:kern w:val="0"/>
                <w:sz w:val="18"/>
                <w:szCs w:val="18"/>
              </w:rPr>
              <w:t>（</w:t>
            </w:r>
            <w:r>
              <w:rPr>
                <w:kern w:val="0"/>
                <w:sz w:val="18"/>
                <w:szCs w:val="18"/>
              </w:rPr>
              <w:t>4</w:t>
            </w:r>
            <w:r>
              <w:rPr>
                <w:rFonts w:hint="eastAsia" w:ascii="宋体" w:hAnsi="宋体"/>
                <w:kern w:val="0"/>
                <w:sz w:val="18"/>
                <w:szCs w:val="18"/>
              </w:rPr>
              <w:t>）建设生态保护网络工程</w:t>
            </w:r>
          </w:p>
        </w:tc>
        <w:tc>
          <w:tcPr>
            <w:tcW w:w="2126" w:type="dxa"/>
            <w:tcBorders>
              <w:top w:val="nil"/>
              <w:left w:val="nil"/>
              <w:bottom w:val="single" w:color="auto" w:sz="4" w:space="0"/>
              <w:right w:val="single" w:color="auto" w:sz="4" w:space="0"/>
            </w:tcBorders>
            <w:vAlign w:val="center"/>
          </w:tcPr>
          <w:p w14:paraId="31890A51">
            <w:pPr>
              <w:widowControl/>
              <w:jc w:val="center"/>
              <w:rPr>
                <w:kern w:val="0"/>
                <w:sz w:val="18"/>
                <w:szCs w:val="18"/>
              </w:rPr>
            </w:pPr>
            <w:r>
              <w:rPr>
                <w:rFonts w:hint="eastAsia" w:ascii="宋体" w:hAnsi="宋体"/>
                <w:kern w:val="0"/>
                <w:sz w:val="18"/>
                <w:szCs w:val="18"/>
              </w:rPr>
              <w:t>生态保护网络</w:t>
            </w:r>
          </w:p>
        </w:tc>
        <w:tc>
          <w:tcPr>
            <w:tcW w:w="1985" w:type="dxa"/>
            <w:tcBorders>
              <w:top w:val="nil"/>
              <w:left w:val="nil"/>
              <w:bottom w:val="single" w:color="auto" w:sz="4" w:space="0"/>
              <w:right w:val="single" w:color="auto" w:sz="4" w:space="0"/>
            </w:tcBorders>
            <w:vAlign w:val="center"/>
          </w:tcPr>
          <w:p w14:paraId="715D86FC">
            <w:pPr>
              <w:widowControl/>
              <w:jc w:val="center"/>
              <w:rPr>
                <w:kern w:val="0"/>
                <w:sz w:val="18"/>
                <w:szCs w:val="18"/>
              </w:rPr>
            </w:pPr>
            <w:r>
              <w:rPr>
                <w:rFonts w:hint="eastAsia" w:ascii="宋体" w:hAnsi="宋体"/>
                <w:kern w:val="0"/>
                <w:sz w:val="18"/>
                <w:szCs w:val="18"/>
              </w:rPr>
              <w:t>全市风景区</w:t>
            </w:r>
          </w:p>
        </w:tc>
        <w:tc>
          <w:tcPr>
            <w:tcW w:w="1275" w:type="dxa"/>
            <w:tcBorders>
              <w:top w:val="nil"/>
              <w:left w:val="nil"/>
              <w:bottom w:val="single" w:color="auto" w:sz="4" w:space="0"/>
              <w:right w:val="single" w:color="auto" w:sz="4" w:space="0"/>
            </w:tcBorders>
            <w:vAlign w:val="center"/>
          </w:tcPr>
          <w:p w14:paraId="2C106F47">
            <w:pPr>
              <w:widowControl/>
              <w:jc w:val="center"/>
              <w:rPr>
                <w:kern w:val="0"/>
                <w:sz w:val="18"/>
                <w:szCs w:val="18"/>
              </w:rPr>
            </w:pPr>
            <w:r>
              <w:rPr>
                <w:kern w:val="0"/>
                <w:sz w:val="18"/>
                <w:szCs w:val="18"/>
              </w:rPr>
              <w:t>1000</w:t>
            </w:r>
          </w:p>
        </w:tc>
      </w:tr>
      <w:tr w14:paraId="48E2E010">
        <w:tblPrEx>
          <w:tblCellMar>
            <w:top w:w="0" w:type="dxa"/>
            <w:left w:w="108" w:type="dxa"/>
            <w:bottom w:w="0" w:type="dxa"/>
            <w:right w:w="108" w:type="dxa"/>
          </w:tblCellMar>
        </w:tblPrEx>
        <w:trPr>
          <w:trHeight w:val="600" w:hRule="atLeast"/>
        </w:trPr>
        <w:tc>
          <w:tcPr>
            <w:tcW w:w="640" w:type="dxa"/>
            <w:vMerge w:val="continue"/>
            <w:tcBorders>
              <w:top w:val="nil"/>
              <w:left w:val="single" w:color="auto" w:sz="4" w:space="0"/>
              <w:bottom w:val="single" w:color="auto" w:sz="4" w:space="0"/>
              <w:right w:val="single" w:color="auto" w:sz="4" w:space="0"/>
            </w:tcBorders>
            <w:vAlign w:val="center"/>
          </w:tcPr>
          <w:p w14:paraId="79EAB5F8">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C53F171">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7B6249C0">
            <w:pPr>
              <w:widowControl/>
              <w:jc w:val="center"/>
              <w:rPr>
                <w:kern w:val="0"/>
                <w:sz w:val="18"/>
                <w:szCs w:val="18"/>
              </w:rPr>
            </w:pPr>
            <w:r>
              <w:rPr>
                <w:rFonts w:hint="eastAsia" w:ascii="宋体" w:hAnsi="宋体"/>
                <w:kern w:val="0"/>
                <w:sz w:val="18"/>
                <w:szCs w:val="18"/>
              </w:rPr>
              <w:t>（</w:t>
            </w:r>
            <w:r>
              <w:rPr>
                <w:kern w:val="0"/>
                <w:sz w:val="18"/>
                <w:szCs w:val="18"/>
              </w:rPr>
              <w:t>5</w:t>
            </w:r>
            <w:r>
              <w:rPr>
                <w:rFonts w:hint="eastAsia" w:ascii="宋体" w:hAnsi="宋体"/>
                <w:kern w:val="0"/>
                <w:sz w:val="18"/>
                <w:szCs w:val="18"/>
              </w:rPr>
              <w:t>）建设森林康养示范基地工程</w:t>
            </w:r>
          </w:p>
        </w:tc>
        <w:tc>
          <w:tcPr>
            <w:tcW w:w="2126" w:type="dxa"/>
            <w:tcBorders>
              <w:top w:val="nil"/>
              <w:left w:val="nil"/>
              <w:bottom w:val="single" w:color="auto" w:sz="4" w:space="0"/>
              <w:right w:val="single" w:color="auto" w:sz="4" w:space="0"/>
            </w:tcBorders>
            <w:vAlign w:val="center"/>
          </w:tcPr>
          <w:p w14:paraId="04B43274">
            <w:pPr>
              <w:widowControl/>
              <w:jc w:val="center"/>
              <w:rPr>
                <w:kern w:val="0"/>
                <w:sz w:val="18"/>
                <w:szCs w:val="18"/>
              </w:rPr>
            </w:pPr>
            <w:r>
              <w:rPr>
                <w:rFonts w:hint="eastAsia" w:ascii="宋体" w:hAnsi="宋体"/>
                <w:kern w:val="0"/>
                <w:sz w:val="18"/>
                <w:szCs w:val="18"/>
              </w:rPr>
              <w:t>森林康养示范基地</w:t>
            </w:r>
          </w:p>
        </w:tc>
        <w:tc>
          <w:tcPr>
            <w:tcW w:w="1985" w:type="dxa"/>
            <w:tcBorders>
              <w:top w:val="nil"/>
              <w:left w:val="nil"/>
              <w:bottom w:val="single" w:color="auto" w:sz="4" w:space="0"/>
              <w:right w:val="single" w:color="auto" w:sz="4" w:space="0"/>
            </w:tcBorders>
            <w:vAlign w:val="center"/>
          </w:tcPr>
          <w:p w14:paraId="10004E9B">
            <w:pPr>
              <w:widowControl/>
              <w:jc w:val="center"/>
              <w:rPr>
                <w:kern w:val="0"/>
                <w:sz w:val="18"/>
                <w:szCs w:val="18"/>
              </w:rPr>
            </w:pPr>
            <w:r>
              <w:rPr>
                <w:rFonts w:hint="eastAsia" w:ascii="宋体" w:hAnsi="宋体"/>
                <w:kern w:val="0"/>
                <w:sz w:val="18"/>
                <w:szCs w:val="18"/>
              </w:rPr>
              <w:t>南岛和</w:t>
            </w:r>
            <w:r>
              <w:rPr>
                <w:kern w:val="0"/>
                <w:sz w:val="18"/>
                <w:szCs w:val="18"/>
              </w:rPr>
              <w:t>“</w:t>
            </w:r>
            <w:r>
              <w:rPr>
                <w:rFonts w:hint="eastAsia" w:ascii="宋体" w:hAnsi="宋体"/>
                <w:kern w:val="0"/>
                <w:sz w:val="18"/>
                <w:szCs w:val="18"/>
              </w:rPr>
              <w:t>天使</w:t>
            </w:r>
            <w:r>
              <w:rPr>
                <w:kern w:val="0"/>
                <w:sz w:val="18"/>
                <w:szCs w:val="18"/>
              </w:rPr>
              <w:t>•</w:t>
            </w:r>
            <w:r>
              <w:rPr>
                <w:rFonts w:hint="eastAsia" w:ascii="宋体" w:hAnsi="宋体"/>
                <w:kern w:val="0"/>
                <w:sz w:val="18"/>
                <w:szCs w:val="18"/>
              </w:rPr>
              <w:t>净心谷</w:t>
            </w:r>
            <w:r>
              <w:rPr>
                <w:kern w:val="0"/>
                <w:sz w:val="18"/>
                <w:szCs w:val="18"/>
              </w:rPr>
              <w:t xml:space="preserve">” </w:t>
            </w:r>
            <w:r>
              <w:rPr>
                <w:rFonts w:hint="eastAsia" w:ascii="宋体" w:hAnsi="宋体"/>
                <w:kern w:val="0"/>
                <w:sz w:val="18"/>
                <w:szCs w:val="18"/>
              </w:rPr>
              <w:t>森林康养基地</w:t>
            </w:r>
          </w:p>
        </w:tc>
        <w:tc>
          <w:tcPr>
            <w:tcW w:w="1275" w:type="dxa"/>
            <w:tcBorders>
              <w:top w:val="nil"/>
              <w:left w:val="nil"/>
              <w:bottom w:val="single" w:color="auto" w:sz="4" w:space="0"/>
              <w:right w:val="single" w:color="auto" w:sz="4" w:space="0"/>
            </w:tcBorders>
            <w:vAlign w:val="center"/>
          </w:tcPr>
          <w:p w14:paraId="76D44834">
            <w:pPr>
              <w:widowControl/>
              <w:jc w:val="center"/>
              <w:rPr>
                <w:kern w:val="0"/>
                <w:sz w:val="18"/>
                <w:szCs w:val="18"/>
              </w:rPr>
            </w:pPr>
            <w:r>
              <w:rPr>
                <w:rFonts w:hint="eastAsia"/>
                <w:kern w:val="0"/>
                <w:sz w:val="18"/>
                <w:szCs w:val="18"/>
              </w:rPr>
              <w:t>160000</w:t>
            </w:r>
          </w:p>
        </w:tc>
      </w:tr>
      <w:tr w14:paraId="4319B410">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42BA9250">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A8BF25D">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35DD9175">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10220DC6">
            <w:pPr>
              <w:widowControl/>
              <w:jc w:val="center"/>
              <w:rPr>
                <w:kern w:val="0"/>
                <w:sz w:val="18"/>
                <w:szCs w:val="18"/>
              </w:rPr>
            </w:pPr>
            <w:r>
              <w:rPr>
                <w:rFonts w:hint="eastAsia" w:ascii="宋体" w:hAnsi="宋体"/>
                <w:kern w:val="0"/>
                <w:sz w:val="18"/>
                <w:szCs w:val="18"/>
              </w:rPr>
              <w:t>国家中医药健康旅游示范基地</w:t>
            </w:r>
          </w:p>
        </w:tc>
        <w:tc>
          <w:tcPr>
            <w:tcW w:w="1985" w:type="dxa"/>
            <w:tcBorders>
              <w:top w:val="nil"/>
              <w:left w:val="nil"/>
              <w:bottom w:val="single" w:color="auto" w:sz="4" w:space="0"/>
              <w:right w:val="single" w:color="auto" w:sz="4" w:space="0"/>
            </w:tcBorders>
            <w:vAlign w:val="center"/>
          </w:tcPr>
          <w:p w14:paraId="0577175C">
            <w:pPr>
              <w:widowControl/>
              <w:jc w:val="center"/>
              <w:rPr>
                <w:kern w:val="0"/>
                <w:sz w:val="18"/>
                <w:szCs w:val="18"/>
              </w:rPr>
            </w:pPr>
            <w:r>
              <w:rPr>
                <w:rFonts w:hint="eastAsia" w:ascii="宋体" w:hAnsi="宋体"/>
                <w:kern w:val="0"/>
                <w:sz w:val="18"/>
                <w:szCs w:val="18"/>
              </w:rPr>
              <w:t>美丽乡村等地</w:t>
            </w:r>
          </w:p>
        </w:tc>
        <w:tc>
          <w:tcPr>
            <w:tcW w:w="1275" w:type="dxa"/>
            <w:tcBorders>
              <w:top w:val="nil"/>
              <w:left w:val="nil"/>
              <w:bottom w:val="single" w:color="auto" w:sz="4" w:space="0"/>
              <w:right w:val="single" w:color="auto" w:sz="4" w:space="0"/>
            </w:tcBorders>
            <w:vAlign w:val="center"/>
          </w:tcPr>
          <w:p w14:paraId="44C7E144">
            <w:pPr>
              <w:widowControl/>
              <w:jc w:val="center"/>
              <w:rPr>
                <w:kern w:val="0"/>
                <w:sz w:val="18"/>
                <w:szCs w:val="18"/>
              </w:rPr>
            </w:pPr>
            <w:r>
              <w:rPr>
                <w:kern w:val="0"/>
                <w:sz w:val="18"/>
                <w:szCs w:val="18"/>
              </w:rPr>
              <w:t>10000</w:t>
            </w:r>
          </w:p>
        </w:tc>
      </w:tr>
      <w:tr w14:paraId="0A7C3AB2">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4C1D92CB">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5954C71">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6BA24498">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4B2E683D">
            <w:pPr>
              <w:widowControl/>
              <w:jc w:val="center"/>
              <w:rPr>
                <w:kern w:val="0"/>
                <w:sz w:val="18"/>
                <w:szCs w:val="18"/>
              </w:rPr>
            </w:pPr>
            <w:r>
              <w:rPr>
                <w:rFonts w:hint="eastAsia" w:ascii="宋体" w:hAnsi="宋体"/>
                <w:kern w:val="0"/>
                <w:sz w:val="18"/>
                <w:szCs w:val="18"/>
              </w:rPr>
              <w:t>综合性热带森林康养基地</w:t>
            </w:r>
          </w:p>
        </w:tc>
        <w:tc>
          <w:tcPr>
            <w:tcW w:w="1985" w:type="dxa"/>
            <w:tcBorders>
              <w:top w:val="nil"/>
              <w:left w:val="nil"/>
              <w:bottom w:val="single" w:color="auto" w:sz="4" w:space="0"/>
              <w:right w:val="single" w:color="auto" w:sz="4" w:space="0"/>
            </w:tcBorders>
            <w:vAlign w:val="center"/>
          </w:tcPr>
          <w:p w14:paraId="4E61D117">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199F2C89">
            <w:pPr>
              <w:widowControl/>
              <w:jc w:val="center"/>
              <w:rPr>
                <w:kern w:val="0"/>
                <w:sz w:val="18"/>
                <w:szCs w:val="18"/>
              </w:rPr>
            </w:pPr>
            <w:r>
              <w:rPr>
                <w:kern w:val="0"/>
                <w:sz w:val="18"/>
                <w:szCs w:val="18"/>
              </w:rPr>
              <w:t>1000</w:t>
            </w:r>
          </w:p>
        </w:tc>
      </w:tr>
      <w:tr w14:paraId="3E7E3909">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AE4779C">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9CD7750">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2A66F129">
            <w:pPr>
              <w:widowControl/>
              <w:jc w:val="center"/>
              <w:rPr>
                <w:kern w:val="0"/>
                <w:sz w:val="18"/>
                <w:szCs w:val="18"/>
              </w:rPr>
            </w:pPr>
            <w:r>
              <w:rPr>
                <w:rFonts w:hint="eastAsia" w:ascii="宋体" w:hAnsi="宋体"/>
                <w:kern w:val="0"/>
                <w:sz w:val="18"/>
                <w:szCs w:val="18"/>
              </w:rPr>
              <w:t>（</w:t>
            </w:r>
            <w:r>
              <w:rPr>
                <w:kern w:val="0"/>
                <w:sz w:val="18"/>
                <w:szCs w:val="18"/>
              </w:rPr>
              <w:t>6</w:t>
            </w:r>
            <w:r>
              <w:rPr>
                <w:rFonts w:hint="eastAsia" w:ascii="宋体" w:hAnsi="宋体"/>
                <w:kern w:val="0"/>
                <w:sz w:val="18"/>
                <w:szCs w:val="18"/>
              </w:rPr>
              <w:t>）提高森林康养服务配套及设施工程</w:t>
            </w:r>
          </w:p>
        </w:tc>
        <w:tc>
          <w:tcPr>
            <w:tcW w:w="2126" w:type="dxa"/>
            <w:tcBorders>
              <w:top w:val="nil"/>
              <w:left w:val="nil"/>
              <w:bottom w:val="single" w:color="auto" w:sz="4" w:space="0"/>
              <w:right w:val="single" w:color="auto" w:sz="4" w:space="0"/>
            </w:tcBorders>
            <w:vAlign w:val="center"/>
          </w:tcPr>
          <w:p w14:paraId="4A3E751B">
            <w:pPr>
              <w:widowControl/>
              <w:jc w:val="center"/>
              <w:rPr>
                <w:kern w:val="0"/>
                <w:sz w:val="18"/>
                <w:szCs w:val="18"/>
              </w:rPr>
            </w:pPr>
            <w:r>
              <w:rPr>
                <w:rFonts w:hint="eastAsia" w:ascii="宋体" w:hAnsi="宋体"/>
                <w:kern w:val="0"/>
                <w:sz w:val="18"/>
                <w:szCs w:val="18"/>
              </w:rPr>
              <w:t>完善森林康养基础设施</w:t>
            </w:r>
          </w:p>
        </w:tc>
        <w:tc>
          <w:tcPr>
            <w:tcW w:w="1985" w:type="dxa"/>
            <w:tcBorders>
              <w:top w:val="nil"/>
              <w:left w:val="nil"/>
              <w:bottom w:val="single" w:color="auto" w:sz="4" w:space="0"/>
              <w:right w:val="single" w:color="auto" w:sz="4" w:space="0"/>
            </w:tcBorders>
            <w:vAlign w:val="center"/>
          </w:tcPr>
          <w:p w14:paraId="591F6406">
            <w:pPr>
              <w:widowControl/>
              <w:jc w:val="center"/>
              <w:rPr>
                <w:kern w:val="0"/>
                <w:sz w:val="18"/>
                <w:szCs w:val="18"/>
              </w:rPr>
            </w:pPr>
            <w:r>
              <w:rPr>
                <w:rFonts w:hint="eastAsia" w:ascii="宋体" w:hAnsi="宋体"/>
                <w:kern w:val="0"/>
                <w:sz w:val="18"/>
                <w:szCs w:val="18"/>
              </w:rPr>
              <w:t>全市范围</w:t>
            </w:r>
            <w:r>
              <w:rPr>
                <w:kern w:val="0"/>
                <w:sz w:val="18"/>
                <w:szCs w:val="18"/>
              </w:rPr>
              <w:t>　</w:t>
            </w:r>
          </w:p>
        </w:tc>
        <w:tc>
          <w:tcPr>
            <w:tcW w:w="1275" w:type="dxa"/>
            <w:tcBorders>
              <w:top w:val="nil"/>
              <w:left w:val="nil"/>
              <w:bottom w:val="single" w:color="auto" w:sz="4" w:space="0"/>
              <w:right w:val="single" w:color="auto" w:sz="4" w:space="0"/>
            </w:tcBorders>
            <w:vAlign w:val="center"/>
          </w:tcPr>
          <w:p w14:paraId="244D2481">
            <w:pPr>
              <w:widowControl/>
              <w:jc w:val="center"/>
              <w:rPr>
                <w:kern w:val="0"/>
                <w:sz w:val="18"/>
                <w:szCs w:val="18"/>
              </w:rPr>
            </w:pPr>
            <w:r>
              <w:rPr>
                <w:kern w:val="0"/>
                <w:sz w:val="18"/>
                <w:szCs w:val="18"/>
              </w:rPr>
              <w:t>1000</w:t>
            </w:r>
          </w:p>
        </w:tc>
      </w:tr>
      <w:tr w14:paraId="2887E2E0">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B5EF5C0">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5506744E">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73A8BEF5">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2BB2A90D">
            <w:pPr>
              <w:widowControl/>
              <w:jc w:val="center"/>
              <w:rPr>
                <w:kern w:val="0"/>
                <w:sz w:val="18"/>
                <w:szCs w:val="18"/>
              </w:rPr>
            </w:pPr>
            <w:r>
              <w:rPr>
                <w:rFonts w:hint="eastAsia" w:ascii="宋体" w:hAnsi="宋体"/>
                <w:kern w:val="0"/>
                <w:sz w:val="18"/>
                <w:szCs w:val="18"/>
              </w:rPr>
              <w:t>森林康养人才</w:t>
            </w:r>
          </w:p>
        </w:tc>
        <w:tc>
          <w:tcPr>
            <w:tcW w:w="1985" w:type="dxa"/>
            <w:tcBorders>
              <w:top w:val="nil"/>
              <w:left w:val="nil"/>
              <w:bottom w:val="single" w:color="auto" w:sz="4" w:space="0"/>
              <w:right w:val="single" w:color="auto" w:sz="4" w:space="0"/>
            </w:tcBorders>
            <w:vAlign w:val="center"/>
          </w:tcPr>
          <w:p w14:paraId="000C2EDE">
            <w:pPr>
              <w:widowControl/>
              <w:jc w:val="center"/>
              <w:rPr>
                <w:kern w:val="0"/>
                <w:sz w:val="18"/>
                <w:szCs w:val="18"/>
              </w:rPr>
            </w:pPr>
            <w:r>
              <w:rPr>
                <w:kern w:val="0"/>
                <w:sz w:val="18"/>
                <w:szCs w:val="18"/>
              </w:rPr>
              <w:t>　</w:t>
            </w:r>
          </w:p>
        </w:tc>
        <w:tc>
          <w:tcPr>
            <w:tcW w:w="1275" w:type="dxa"/>
            <w:tcBorders>
              <w:top w:val="nil"/>
              <w:left w:val="nil"/>
              <w:bottom w:val="single" w:color="auto" w:sz="4" w:space="0"/>
              <w:right w:val="single" w:color="auto" w:sz="4" w:space="0"/>
            </w:tcBorders>
            <w:vAlign w:val="center"/>
          </w:tcPr>
          <w:p w14:paraId="6E6EB7A3">
            <w:pPr>
              <w:widowControl/>
              <w:jc w:val="center"/>
              <w:rPr>
                <w:kern w:val="0"/>
                <w:sz w:val="18"/>
                <w:szCs w:val="18"/>
              </w:rPr>
            </w:pPr>
            <w:r>
              <w:rPr>
                <w:kern w:val="0"/>
                <w:sz w:val="18"/>
                <w:szCs w:val="18"/>
              </w:rPr>
              <w:t>1000</w:t>
            </w:r>
          </w:p>
        </w:tc>
      </w:tr>
      <w:tr w14:paraId="270C79FA">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01779D4">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FA97450">
            <w:pPr>
              <w:widowControl/>
              <w:jc w:val="left"/>
              <w:rPr>
                <w:b/>
                <w:bCs/>
                <w:kern w:val="0"/>
                <w:sz w:val="18"/>
                <w:szCs w:val="18"/>
              </w:rPr>
            </w:pPr>
          </w:p>
        </w:tc>
        <w:tc>
          <w:tcPr>
            <w:tcW w:w="6241" w:type="dxa"/>
            <w:gridSpan w:val="3"/>
            <w:tcBorders>
              <w:top w:val="single" w:color="auto" w:sz="4" w:space="0"/>
              <w:left w:val="nil"/>
              <w:bottom w:val="single" w:color="auto" w:sz="4" w:space="0"/>
              <w:right w:val="single" w:color="auto" w:sz="4" w:space="0"/>
            </w:tcBorders>
            <w:vAlign w:val="center"/>
          </w:tcPr>
          <w:p w14:paraId="42DFE0AE">
            <w:pPr>
              <w:widowControl/>
              <w:jc w:val="center"/>
              <w:rPr>
                <w:b/>
                <w:bCs/>
                <w:kern w:val="0"/>
                <w:sz w:val="18"/>
                <w:szCs w:val="18"/>
              </w:rPr>
            </w:pPr>
            <w:r>
              <w:rPr>
                <w:rFonts w:hint="eastAsia" w:ascii="宋体" w:hAnsi="宋体"/>
                <w:b/>
                <w:bCs/>
                <w:kern w:val="0"/>
                <w:sz w:val="18"/>
                <w:szCs w:val="18"/>
              </w:rPr>
              <w:t>小计</w:t>
            </w:r>
          </w:p>
        </w:tc>
        <w:tc>
          <w:tcPr>
            <w:tcW w:w="1275" w:type="dxa"/>
            <w:tcBorders>
              <w:top w:val="nil"/>
              <w:left w:val="nil"/>
              <w:bottom w:val="single" w:color="auto" w:sz="4" w:space="0"/>
              <w:right w:val="single" w:color="auto" w:sz="4" w:space="0"/>
            </w:tcBorders>
            <w:vAlign w:val="center"/>
          </w:tcPr>
          <w:p w14:paraId="21BB3C7E">
            <w:pPr>
              <w:widowControl/>
              <w:jc w:val="center"/>
              <w:rPr>
                <w:b/>
                <w:bCs/>
                <w:kern w:val="0"/>
                <w:sz w:val="18"/>
                <w:szCs w:val="18"/>
              </w:rPr>
            </w:pPr>
            <w:r>
              <w:rPr>
                <w:b/>
                <w:bCs/>
                <w:kern w:val="0"/>
                <w:sz w:val="18"/>
                <w:szCs w:val="18"/>
              </w:rPr>
              <w:t>967900</w:t>
            </w:r>
          </w:p>
        </w:tc>
      </w:tr>
      <w:tr w14:paraId="022BD049">
        <w:tblPrEx>
          <w:tblCellMar>
            <w:top w:w="0" w:type="dxa"/>
            <w:left w:w="108" w:type="dxa"/>
            <w:bottom w:w="0" w:type="dxa"/>
            <w:right w:w="108" w:type="dxa"/>
          </w:tblCellMar>
        </w:tblPrEx>
        <w:trPr>
          <w:trHeight w:val="315" w:hRule="atLeast"/>
        </w:trPr>
        <w:tc>
          <w:tcPr>
            <w:tcW w:w="640" w:type="dxa"/>
            <w:vMerge w:val="restart"/>
            <w:tcBorders>
              <w:top w:val="nil"/>
              <w:left w:val="single" w:color="auto" w:sz="4" w:space="0"/>
              <w:bottom w:val="single" w:color="auto" w:sz="4" w:space="0"/>
              <w:right w:val="single" w:color="auto" w:sz="4" w:space="0"/>
            </w:tcBorders>
            <w:vAlign w:val="center"/>
          </w:tcPr>
          <w:p w14:paraId="24B03B3F">
            <w:pPr>
              <w:widowControl/>
              <w:jc w:val="center"/>
              <w:rPr>
                <w:b/>
                <w:bCs/>
                <w:kern w:val="0"/>
                <w:sz w:val="18"/>
                <w:szCs w:val="18"/>
              </w:rPr>
            </w:pPr>
            <w:r>
              <w:rPr>
                <w:b/>
                <w:bCs/>
                <w:kern w:val="0"/>
                <w:sz w:val="18"/>
                <w:szCs w:val="18"/>
              </w:rPr>
              <w:t>2</w:t>
            </w:r>
          </w:p>
        </w:tc>
        <w:tc>
          <w:tcPr>
            <w:tcW w:w="1200" w:type="dxa"/>
            <w:vMerge w:val="restart"/>
            <w:tcBorders>
              <w:top w:val="nil"/>
              <w:left w:val="single" w:color="auto" w:sz="4" w:space="0"/>
              <w:bottom w:val="single" w:color="auto" w:sz="4" w:space="0"/>
              <w:right w:val="single" w:color="auto" w:sz="4" w:space="0"/>
            </w:tcBorders>
            <w:vAlign w:val="center"/>
          </w:tcPr>
          <w:p w14:paraId="17DDA80C">
            <w:pPr>
              <w:widowControl/>
              <w:jc w:val="center"/>
              <w:rPr>
                <w:b/>
                <w:bCs/>
                <w:kern w:val="0"/>
                <w:sz w:val="18"/>
                <w:szCs w:val="18"/>
              </w:rPr>
            </w:pPr>
            <w:r>
              <w:rPr>
                <w:rFonts w:hint="eastAsia" w:ascii="宋体" w:hAnsi="宋体"/>
                <w:b/>
                <w:bCs/>
                <w:kern w:val="0"/>
                <w:sz w:val="18"/>
                <w:szCs w:val="18"/>
              </w:rPr>
              <w:t>林木种苗与花卉产业</w:t>
            </w:r>
          </w:p>
        </w:tc>
        <w:tc>
          <w:tcPr>
            <w:tcW w:w="2130" w:type="dxa"/>
            <w:vMerge w:val="restart"/>
            <w:tcBorders>
              <w:top w:val="nil"/>
              <w:left w:val="single" w:color="auto" w:sz="4" w:space="0"/>
              <w:bottom w:val="single" w:color="auto" w:sz="4" w:space="0"/>
              <w:right w:val="single" w:color="auto" w:sz="4" w:space="0"/>
            </w:tcBorders>
            <w:vAlign w:val="center"/>
          </w:tcPr>
          <w:p w14:paraId="2D8484C4">
            <w:pPr>
              <w:widowControl/>
              <w:jc w:val="center"/>
              <w:rPr>
                <w:kern w:val="0"/>
                <w:sz w:val="18"/>
                <w:szCs w:val="18"/>
              </w:rPr>
            </w:pPr>
            <w:r>
              <w:rPr>
                <w:rFonts w:hint="eastAsia" w:ascii="宋体" w:hAnsi="宋体"/>
                <w:kern w:val="0"/>
                <w:sz w:val="18"/>
                <w:szCs w:val="18"/>
              </w:rPr>
              <w:t>（</w:t>
            </w:r>
            <w:r>
              <w:rPr>
                <w:kern w:val="0"/>
                <w:sz w:val="18"/>
                <w:szCs w:val="18"/>
              </w:rPr>
              <w:t>7</w:t>
            </w:r>
            <w:r>
              <w:rPr>
                <w:rFonts w:hint="eastAsia" w:ascii="宋体" w:hAnsi="宋体"/>
                <w:kern w:val="0"/>
                <w:sz w:val="18"/>
                <w:szCs w:val="18"/>
              </w:rPr>
              <w:t>）林木和花卉种苗繁育建设工程</w:t>
            </w:r>
          </w:p>
        </w:tc>
        <w:tc>
          <w:tcPr>
            <w:tcW w:w="2126" w:type="dxa"/>
            <w:tcBorders>
              <w:top w:val="nil"/>
              <w:left w:val="nil"/>
              <w:bottom w:val="single" w:color="auto" w:sz="4" w:space="0"/>
              <w:right w:val="single" w:color="auto" w:sz="4" w:space="0"/>
            </w:tcBorders>
            <w:vAlign w:val="center"/>
          </w:tcPr>
          <w:p w14:paraId="4FE613B7">
            <w:pPr>
              <w:widowControl/>
              <w:jc w:val="center"/>
              <w:rPr>
                <w:kern w:val="0"/>
                <w:sz w:val="18"/>
                <w:szCs w:val="18"/>
              </w:rPr>
            </w:pPr>
            <w:r>
              <w:rPr>
                <w:rFonts w:hint="eastAsia" w:ascii="宋体" w:hAnsi="宋体"/>
                <w:kern w:val="0"/>
                <w:sz w:val="18"/>
                <w:szCs w:val="18"/>
              </w:rPr>
              <w:t>林木种苗繁育基地</w:t>
            </w:r>
          </w:p>
        </w:tc>
        <w:tc>
          <w:tcPr>
            <w:tcW w:w="1985" w:type="dxa"/>
            <w:vMerge w:val="restart"/>
            <w:tcBorders>
              <w:top w:val="nil"/>
              <w:left w:val="single" w:color="auto" w:sz="4" w:space="0"/>
              <w:bottom w:val="single" w:color="auto" w:sz="4" w:space="0"/>
              <w:right w:val="single" w:color="auto" w:sz="4" w:space="0"/>
            </w:tcBorders>
            <w:vAlign w:val="center"/>
          </w:tcPr>
          <w:p w14:paraId="488F3C61">
            <w:pPr>
              <w:widowControl/>
              <w:jc w:val="center"/>
              <w:rPr>
                <w:kern w:val="0"/>
                <w:sz w:val="18"/>
                <w:szCs w:val="18"/>
              </w:rPr>
            </w:pPr>
            <w:r>
              <w:rPr>
                <w:rFonts w:hint="eastAsia" w:ascii="宋体" w:hAnsi="宋体"/>
                <w:kern w:val="0"/>
                <w:sz w:val="18"/>
                <w:szCs w:val="18"/>
              </w:rPr>
              <w:t>育才生态区</w:t>
            </w:r>
          </w:p>
        </w:tc>
        <w:tc>
          <w:tcPr>
            <w:tcW w:w="1275" w:type="dxa"/>
            <w:tcBorders>
              <w:top w:val="nil"/>
              <w:left w:val="nil"/>
              <w:bottom w:val="single" w:color="auto" w:sz="4" w:space="0"/>
              <w:right w:val="single" w:color="auto" w:sz="4" w:space="0"/>
            </w:tcBorders>
            <w:vAlign w:val="center"/>
          </w:tcPr>
          <w:p w14:paraId="3A0C3A78">
            <w:pPr>
              <w:widowControl/>
              <w:jc w:val="center"/>
              <w:rPr>
                <w:kern w:val="0"/>
                <w:sz w:val="18"/>
                <w:szCs w:val="18"/>
              </w:rPr>
            </w:pPr>
            <w:r>
              <w:rPr>
                <w:kern w:val="0"/>
                <w:sz w:val="18"/>
                <w:szCs w:val="18"/>
              </w:rPr>
              <w:t>15000</w:t>
            </w:r>
          </w:p>
        </w:tc>
      </w:tr>
      <w:tr w14:paraId="6B6BF7A0">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65E226F5">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FFD65D1">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2737C11E">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20F86C99">
            <w:pPr>
              <w:widowControl/>
              <w:jc w:val="center"/>
              <w:rPr>
                <w:kern w:val="0"/>
                <w:sz w:val="18"/>
                <w:szCs w:val="18"/>
              </w:rPr>
            </w:pPr>
            <w:r>
              <w:rPr>
                <w:rFonts w:hint="eastAsia" w:ascii="宋体" w:hAnsi="宋体"/>
                <w:kern w:val="0"/>
                <w:sz w:val="18"/>
                <w:szCs w:val="18"/>
              </w:rPr>
              <w:t>林木种苗良种基地</w:t>
            </w:r>
          </w:p>
        </w:tc>
        <w:tc>
          <w:tcPr>
            <w:tcW w:w="1985" w:type="dxa"/>
            <w:vMerge w:val="continue"/>
            <w:tcBorders>
              <w:top w:val="nil"/>
              <w:left w:val="single" w:color="auto" w:sz="4" w:space="0"/>
              <w:bottom w:val="single" w:color="auto" w:sz="4" w:space="0"/>
              <w:right w:val="single" w:color="auto" w:sz="4" w:space="0"/>
            </w:tcBorders>
            <w:vAlign w:val="center"/>
          </w:tcPr>
          <w:p w14:paraId="756AF51B">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234A109C">
            <w:pPr>
              <w:widowControl/>
              <w:jc w:val="center"/>
              <w:rPr>
                <w:kern w:val="0"/>
                <w:sz w:val="18"/>
                <w:szCs w:val="18"/>
              </w:rPr>
            </w:pPr>
            <w:r>
              <w:rPr>
                <w:kern w:val="0"/>
                <w:sz w:val="18"/>
                <w:szCs w:val="18"/>
              </w:rPr>
              <w:t>9000</w:t>
            </w:r>
          </w:p>
        </w:tc>
      </w:tr>
      <w:tr w14:paraId="6AE9C457">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807B5DB">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AD8486F">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665F94CD">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7BDC6B70">
            <w:pPr>
              <w:widowControl/>
              <w:jc w:val="center"/>
              <w:rPr>
                <w:kern w:val="0"/>
                <w:sz w:val="18"/>
                <w:szCs w:val="18"/>
              </w:rPr>
            </w:pPr>
            <w:r>
              <w:rPr>
                <w:rFonts w:hint="eastAsia" w:ascii="宋体" w:hAnsi="宋体"/>
                <w:kern w:val="0"/>
                <w:sz w:val="18"/>
                <w:szCs w:val="18"/>
              </w:rPr>
              <w:t>花卉产业园</w:t>
            </w:r>
          </w:p>
        </w:tc>
        <w:tc>
          <w:tcPr>
            <w:tcW w:w="1985" w:type="dxa"/>
            <w:vMerge w:val="continue"/>
            <w:tcBorders>
              <w:top w:val="nil"/>
              <w:left w:val="single" w:color="auto" w:sz="4" w:space="0"/>
              <w:bottom w:val="single" w:color="auto" w:sz="4" w:space="0"/>
              <w:right w:val="single" w:color="auto" w:sz="4" w:space="0"/>
            </w:tcBorders>
            <w:vAlign w:val="center"/>
          </w:tcPr>
          <w:p w14:paraId="5212A843">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30CE06DB">
            <w:pPr>
              <w:widowControl/>
              <w:jc w:val="center"/>
              <w:rPr>
                <w:kern w:val="0"/>
                <w:sz w:val="18"/>
                <w:szCs w:val="18"/>
              </w:rPr>
            </w:pPr>
            <w:r>
              <w:rPr>
                <w:kern w:val="0"/>
                <w:sz w:val="18"/>
                <w:szCs w:val="18"/>
              </w:rPr>
              <w:t>80000</w:t>
            </w:r>
          </w:p>
        </w:tc>
      </w:tr>
      <w:tr w14:paraId="24AD5A2E">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51E3412">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2C050C3">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76E7017C">
            <w:pPr>
              <w:widowControl/>
              <w:jc w:val="center"/>
              <w:rPr>
                <w:kern w:val="0"/>
                <w:sz w:val="18"/>
                <w:szCs w:val="18"/>
              </w:rPr>
            </w:pPr>
            <w:r>
              <w:rPr>
                <w:rFonts w:hint="eastAsia" w:ascii="宋体" w:hAnsi="宋体"/>
                <w:kern w:val="0"/>
                <w:sz w:val="18"/>
                <w:szCs w:val="18"/>
              </w:rPr>
              <w:t>（</w:t>
            </w:r>
            <w:r>
              <w:rPr>
                <w:kern w:val="0"/>
                <w:sz w:val="18"/>
                <w:szCs w:val="18"/>
              </w:rPr>
              <w:t>8</w:t>
            </w:r>
            <w:r>
              <w:rPr>
                <w:rFonts w:hint="eastAsia" w:ascii="宋体" w:hAnsi="宋体"/>
                <w:kern w:val="0"/>
                <w:sz w:val="18"/>
                <w:szCs w:val="18"/>
              </w:rPr>
              <w:t>）种质资源保存基地建设工程</w:t>
            </w:r>
          </w:p>
        </w:tc>
        <w:tc>
          <w:tcPr>
            <w:tcW w:w="2126" w:type="dxa"/>
            <w:tcBorders>
              <w:top w:val="nil"/>
              <w:left w:val="nil"/>
              <w:bottom w:val="single" w:color="auto" w:sz="4" w:space="0"/>
              <w:right w:val="single" w:color="auto" w:sz="4" w:space="0"/>
            </w:tcBorders>
            <w:vAlign w:val="center"/>
          </w:tcPr>
          <w:p w14:paraId="1730D82D">
            <w:pPr>
              <w:widowControl/>
              <w:jc w:val="center"/>
              <w:rPr>
                <w:kern w:val="0"/>
                <w:sz w:val="18"/>
                <w:szCs w:val="18"/>
              </w:rPr>
            </w:pPr>
            <w:r>
              <w:rPr>
                <w:rFonts w:hint="eastAsia" w:ascii="宋体" w:hAnsi="宋体"/>
                <w:kern w:val="0"/>
                <w:sz w:val="18"/>
                <w:szCs w:val="18"/>
              </w:rPr>
              <w:t>国家林木种质资源库海南分库</w:t>
            </w:r>
          </w:p>
        </w:tc>
        <w:tc>
          <w:tcPr>
            <w:tcW w:w="1985" w:type="dxa"/>
            <w:vMerge w:val="restart"/>
            <w:tcBorders>
              <w:top w:val="nil"/>
              <w:left w:val="single" w:color="auto" w:sz="4" w:space="0"/>
              <w:bottom w:val="single" w:color="auto" w:sz="4" w:space="0"/>
              <w:right w:val="single" w:color="auto" w:sz="4" w:space="0"/>
            </w:tcBorders>
            <w:vAlign w:val="center"/>
          </w:tcPr>
          <w:p w14:paraId="47E20001">
            <w:pPr>
              <w:widowControl/>
              <w:jc w:val="center"/>
              <w:rPr>
                <w:kern w:val="0"/>
                <w:sz w:val="18"/>
                <w:szCs w:val="18"/>
              </w:rPr>
            </w:pPr>
            <w:r>
              <w:rPr>
                <w:rFonts w:hint="eastAsia" w:ascii="宋体" w:hAnsi="宋体"/>
                <w:kern w:val="0"/>
                <w:sz w:val="18"/>
                <w:szCs w:val="18"/>
              </w:rPr>
              <w:t>市林科院</w:t>
            </w:r>
          </w:p>
        </w:tc>
        <w:tc>
          <w:tcPr>
            <w:tcW w:w="1275" w:type="dxa"/>
            <w:tcBorders>
              <w:top w:val="nil"/>
              <w:left w:val="nil"/>
              <w:bottom w:val="single" w:color="auto" w:sz="4" w:space="0"/>
              <w:right w:val="single" w:color="auto" w:sz="4" w:space="0"/>
            </w:tcBorders>
            <w:vAlign w:val="center"/>
          </w:tcPr>
          <w:p w14:paraId="4426EF0B">
            <w:pPr>
              <w:widowControl/>
              <w:jc w:val="center"/>
              <w:rPr>
                <w:kern w:val="0"/>
                <w:sz w:val="18"/>
                <w:szCs w:val="18"/>
              </w:rPr>
            </w:pPr>
            <w:r>
              <w:rPr>
                <w:kern w:val="0"/>
                <w:sz w:val="18"/>
                <w:szCs w:val="18"/>
              </w:rPr>
              <w:t>30000</w:t>
            </w:r>
          </w:p>
        </w:tc>
      </w:tr>
      <w:tr w14:paraId="45B83580">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96960BE">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AB11E2F">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07DFBDA8">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2D7B7B92">
            <w:pPr>
              <w:widowControl/>
              <w:jc w:val="center"/>
              <w:rPr>
                <w:kern w:val="0"/>
                <w:sz w:val="18"/>
                <w:szCs w:val="18"/>
              </w:rPr>
            </w:pPr>
            <w:r>
              <w:rPr>
                <w:rFonts w:hint="eastAsia" w:ascii="宋体" w:hAnsi="宋体"/>
                <w:kern w:val="0"/>
                <w:sz w:val="18"/>
                <w:szCs w:val="18"/>
              </w:rPr>
              <w:t>国家热带兰花种质资源库（续建）</w:t>
            </w:r>
          </w:p>
        </w:tc>
        <w:tc>
          <w:tcPr>
            <w:tcW w:w="1985" w:type="dxa"/>
            <w:vMerge w:val="continue"/>
            <w:tcBorders>
              <w:top w:val="nil"/>
              <w:left w:val="single" w:color="auto" w:sz="4" w:space="0"/>
              <w:bottom w:val="single" w:color="auto" w:sz="4" w:space="0"/>
              <w:right w:val="single" w:color="auto" w:sz="4" w:space="0"/>
            </w:tcBorders>
            <w:vAlign w:val="center"/>
          </w:tcPr>
          <w:p w14:paraId="754069F3">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432D8E48">
            <w:pPr>
              <w:widowControl/>
              <w:jc w:val="center"/>
              <w:rPr>
                <w:kern w:val="0"/>
                <w:sz w:val="18"/>
                <w:szCs w:val="18"/>
              </w:rPr>
            </w:pPr>
            <w:r>
              <w:rPr>
                <w:kern w:val="0"/>
                <w:sz w:val="18"/>
                <w:szCs w:val="18"/>
              </w:rPr>
              <w:t>7000</w:t>
            </w:r>
          </w:p>
        </w:tc>
      </w:tr>
      <w:tr w14:paraId="2AC618F0">
        <w:tblPrEx>
          <w:tblCellMar>
            <w:top w:w="0" w:type="dxa"/>
            <w:left w:w="108" w:type="dxa"/>
            <w:bottom w:w="0" w:type="dxa"/>
            <w:right w:w="108" w:type="dxa"/>
          </w:tblCellMar>
        </w:tblPrEx>
        <w:trPr>
          <w:trHeight w:val="570" w:hRule="atLeast"/>
        </w:trPr>
        <w:tc>
          <w:tcPr>
            <w:tcW w:w="640" w:type="dxa"/>
            <w:vMerge w:val="continue"/>
            <w:tcBorders>
              <w:top w:val="nil"/>
              <w:left w:val="single" w:color="auto" w:sz="4" w:space="0"/>
              <w:bottom w:val="single" w:color="auto" w:sz="4" w:space="0"/>
              <w:right w:val="single" w:color="auto" w:sz="4" w:space="0"/>
            </w:tcBorders>
            <w:vAlign w:val="center"/>
          </w:tcPr>
          <w:p w14:paraId="46E94511">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7E0B87A5">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1B5FC96B">
            <w:pPr>
              <w:widowControl/>
              <w:jc w:val="center"/>
              <w:rPr>
                <w:kern w:val="0"/>
                <w:sz w:val="18"/>
                <w:szCs w:val="18"/>
              </w:rPr>
            </w:pPr>
            <w:r>
              <w:rPr>
                <w:rFonts w:hint="eastAsia" w:ascii="宋体" w:hAnsi="宋体"/>
                <w:kern w:val="0"/>
                <w:sz w:val="18"/>
                <w:szCs w:val="18"/>
              </w:rPr>
              <w:t>（</w:t>
            </w:r>
            <w:r>
              <w:rPr>
                <w:kern w:val="0"/>
                <w:sz w:val="18"/>
                <w:szCs w:val="18"/>
              </w:rPr>
              <w:t>9</w:t>
            </w:r>
            <w:r>
              <w:rPr>
                <w:rFonts w:hint="eastAsia" w:ascii="宋体" w:hAnsi="宋体"/>
                <w:kern w:val="0"/>
                <w:sz w:val="18"/>
                <w:szCs w:val="18"/>
              </w:rPr>
              <w:t>）花卉旅游观光园</w:t>
            </w:r>
          </w:p>
        </w:tc>
        <w:tc>
          <w:tcPr>
            <w:tcW w:w="2126" w:type="dxa"/>
            <w:tcBorders>
              <w:top w:val="nil"/>
              <w:left w:val="nil"/>
              <w:bottom w:val="single" w:color="auto" w:sz="4" w:space="0"/>
              <w:right w:val="single" w:color="auto" w:sz="4" w:space="0"/>
            </w:tcBorders>
            <w:vAlign w:val="center"/>
          </w:tcPr>
          <w:p w14:paraId="44BEC6BE">
            <w:pPr>
              <w:widowControl/>
              <w:jc w:val="center"/>
              <w:rPr>
                <w:kern w:val="0"/>
                <w:sz w:val="18"/>
                <w:szCs w:val="18"/>
              </w:rPr>
            </w:pPr>
            <w:r>
              <w:rPr>
                <w:rFonts w:hint="eastAsia" w:ascii="宋体" w:hAnsi="宋体"/>
                <w:kern w:val="0"/>
                <w:sz w:val="18"/>
                <w:szCs w:val="18"/>
              </w:rPr>
              <w:t>花卉旅游风情小镇</w:t>
            </w:r>
          </w:p>
        </w:tc>
        <w:tc>
          <w:tcPr>
            <w:tcW w:w="1985" w:type="dxa"/>
            <w:tcBorders>
              <w:top w:val="nil"/>
              <w:left w:val="nil"/>
              <w:bottom w:val="single" w:color="auto" w:sz="4" w:space="0"/>
              <w:right w:val="single" w:color="auto" w:sz="4" w:space="0"/>
            </w:tcBorders>
            <w:vAlign w:val="center"/>
          </w:tcPr>
          <w:p w14:paraId="65DB3BB1">
            <w:pPr>
              <w:widowControl/>
              <w:jc w:val="center"/>
              <w:rPr>
                <w:kern w:val="0"/>
                <w:sz w:val="18"/>
                <w:szCs w:val="18"/>
              </w:rPr>
            </w:pPr>
            <w:r>
              <w:rPr>
                <w:rFonts w:hint="eastAsia" w:ascii="宋体" w:hAnsi="宋体"/>
                <w:kern w:val="0"/>
                <w:sz w:val="18"/>
                <w:szCs w:val="18"/>
              </w:rPr>
              <w:t>亚龙湾国际玫瑰谷、美丽乡村等地</w:t>
            </w:r>
          </w:p>
        </w:tc>
        <w:tc>
          <w:tcPr>
            <w:tcW w:w="1275" w:type="dxa"/>
            <w:tcBorders>
              <w:top w:val="nil"/>
              <w:left w:val="nil"/>
              <w:bottom w:val="single" w:color="auto" w:sz="4" w:space="0"/>
              <w:right w:val="single" w:color="auto" w:sz="4" w:space="0"/>
            </w:tcBorders>
            <w:vAlign w:val="center"/>
          </w:tcPr>
          <w:p w14:paraId="268DD8E2">
            <w:pPr>
              <w:widowControl/>
              <w:jc w:val="center"/>
              <w:rPr>
                <w:kern w:val="0"/>
                <w:sz w:val="18"/>
                <w:szCs w:val="18"/>
              </w:rPr>
            </w:pPr>
            <w:r>
              <w:rPr>
                <w:kern w:val="0"/>
                <w:sz w:val="18"/>
                <w:szCs w:val="18"/>
              </w:rPr>
              <w:t>25000</w:t>
            </w:r>
          </w:p>
        </w:tc>
      </w:tr>
      <w:tr w14:paraId="15FD6C10">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CB789EE">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783321A9">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5C9F450E">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6529233E">
            <w:pPr>
              <w:widowControl/>
              <w:jc w:val="center"/>
              <w:rPr>
                <w:kern w:val="0"/>
                <w:sz w:val="18"/>
                <w:szCs w:val="18"/>
              </w:rPr>
            </w:pPr>
            <w:r>
              <w:rPr>
                <w:kern w:val="0"/>
                <w:sz w:val="18"/>
                <w:szCs w:val="18"/>
              </w:rPr>
              <w:t>热带花卉主题公园</w:t>
            </w:r>
          </w:p>
        </w:tc>
        <w:tc>
          <w:tcPr>
            <w:tcW w:w="1985" w:type="dxa"/>
            <w:tcBorders>
              <w:top w:val="nil"/>
              <w:left w:val="nil"/>
              <w:bottom w:val="single" w:color="auto" w:sz="4" w:space="0"/>
              <w:right w:val="single" w:color="auto" w:sz="4" w:space="0"/>
            </w:tcBorders>
            <w:vAlign w:val="center"/>
          </w:tcPr>
          <w:p w14:paraId="7639F6B5">
            <w:pPr>
              <w:widowControl/>
              <w:jc w:val="center"/>
              <w:rPr>
                <w:kern w:val="0"/>
                <w:sz w:val="18"/>
                <w:szCs w:val="18"/>
              </w:rPr>
            </w:pPr>
            <w:r>
              <w:rPr>
                <w:rFonts w:hint="eastAsia" w:ascii="宋体" w:hAnsi="宋体"/>
                <w:kern w:val="0"/>
                <w:sz w:val="18"/>
                <w:szCs w:val="18"/>
              </w:rPr>
              <w:t>亚龙湾国际玫瑰谷</w:t>
            </w:r>
          </w:p>
        </w:tc>
        <w:tc>
          <w:tcPr>
            <w:tcW w:w="1275" w:type="dxa"/>
            <w:tcBorders>
              <w:top w:val="nil"/>
              <w:left w:val="nil"/>
              <w:bottom w:val="single" w:color="auto" w:sz="4" w:space="0"/>
              <w:right w:val="single" w:color="auto" w:sz="4" w:space="0"/>
            </w:tcBorders>
            <w:vAlign w:val="center"/>
          </w:tcPr>
          <w:p w14:paraId="28BA8141">
            <w:pPr>
              <w:widowControl/>
              <w:jc w:val="center"/>
              <w:rPr>
                <w:kern w:val="0"/>
                <w:sz w:val="18"/>
                <w:szCs w:val="18"/>
              </w:rPr>
            </w:pPr>
            <w:r>
              <w:rPr>
                <w:kern w:val="0"/>
                <w:sz w:val="18"/>
                <w:szCs w:val="18"/>
              </w:rPr>
              <w:t>4000</w:t>
            </w:r>
          </w:p>
        </w:tc>
      </w:tr>
      <w:tr w14:paraId="55CEDF88">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3627664C">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08C4C33">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41540B28">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503CD413">
            <w:pPr>
              <w:widowControl/>
              <w:jc w:val="center"/>
              <w:rPr>
                <w:kern w:val="0"/>
                <w:sz w:val="18"/>
                <w:szCs w:val="18"/>
              </w:rPr>
            </w:pPr>
            <w:r>
              <w:rPr>
                <w:rFonts w:hint="eastAsia" w:ascii="宋体" w:hAnsi="宋体"/>
                <w:kern w:val="0"/>
                <w:sz w:val="18"/>
                <w:szCs w:val="18"/>
              </w:rPr>
              <w:t>南丁花卉生态村</w:t>
            </w:r>
          </w:p>
        </w:tc>
        <w:tc>
          <w:tcPr>
            <w:tcW w:w="1985" w:type="dxa"/>
            <w:tcBorders>
              <w:top w:val="nil"/>
              <w:left w:val="nil"/>
              <w:bottom w:val="single" w:color="auto" w:sz="4" w:space="0"/>
              <w:right w:val="single" w:color="auto" w:sz="4" w:space="0"/>
            </w:tcBorders>
            <w:vAlign w:val="center"/>
          </w:tcPr>
          <w:p w14:paraId="48A0AEE0">
            <w:pPr>
              <w:widowControl/>
              <w:jc w:val="center"/>
              <w:rPr>
                <w:kern w:val="0"/>
                <w:sz w:val="18"/>
                <w:szCs w:val="18"/>
              </w:rPr>
            </w:pPr>
            <w:r>
              <w:rPr>
                <w:rFonts w:hint="eastAsia" w:ascii="宋体" w:hAnsi="宋体"/>
                <w:kern w:val="0"/>
                <w:sz w:val="18"/>
                <w:szCs w:val="18"/>
              </w:rPr>
              <w:t>吉阳区南丁村</w:t>
            </w:r>
          </w:p>
        </w:tc>
        <w:tc>
          <w:tcPr>
            <w:tcW w:w="1275" w:type="dxa"/>
            <w:tcBorders>
              <w:top w:val="nil"/>
              <w:left w:val="nil"/>
              <w:bottom w:val="single" w:color="auto" w:sz="4" w:space="0"/>
              <w:right w:val="single" w:color="auto" w:sz="4" w:space="0"/>
            </w:tcBorders>
            <w:vAlign w:val="center"/>
          </w:tcPr>
          <w:p w14:paraId="57619646">
            <w:pPr>
              <w:widowControl/>
              <w:jc w:val="center"/>
              <w:rPr>
                <w:kern w:val="0"/>
                <w:sz w:val="18"/>
                <w:szCs w:val="18"/>
              </w:rPr>
            </w:pPr>
            <w:r>
              <w:rPr>
                <w:rFonts w:hint="eastAsia"/>
                <w:kern w:val="0"/>
                <w:sz w:val="18"/>
                <w:szCs w:val="18"/>
              </w:rPr>
              <w:t>100000</w:t>
            </w:r>
          </w:p>
        </w:tc>
      </w:tr>
      <w:tr w14:paraId="1FDD3045">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7C625804">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63D79C12">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618B39E0">
            <w:pPr>
              <w:widowControl/>
              <w:jc w:val="center"/>
              <w:rPr>
                <w:kern w:val="0"/>
                <w:sz w:val="18"/>
                <w:szCs w:val="18"/>
              </w:rPr>
            </w:pPr>
            <w:r>
              <w:rPr>
                <w:rFonts w:hint="eastAsia" w:ascii="宋体" w:hAnsi="宋体"/>
                <w:kern w:val="0"/>
                <w:sz w:val="18"/>
                <w:szCs w:val="18"/>
              </w:rPr>
              <w:t>（</w:t>
            </w:r>
            <w:r>
              <w:rPr>
                <w:kern w:val="0"/>
                <w:sz w:val="18"/>
                <w:szCs w:val="18"/>
              </w:rPr>
              <w:t>10</w:t>
            </w:r>
            <w:r>
              <w:rPr>
                <w:rFonts w:hint="eastAsia" w:ascii="宋体" w:hAnsi="宋体"/>
                <w:kern w:val="0"/>
                <w:sz w:val="18"/>
                <w:szCs w:val="18"/>
              </w:rPr>
              <w:t>）林产品交易中心和会展中心建设工程</w:t>
            </w:r>
          </w:p>
        </w:tc>
        <w:tc>
          <w:tcPr>
            <w:tcW w:w="2126" w:type="dxa"/>
            <w:tcBorders>
              <w:top w:val="nil"/>
              <w:left w:val="nil"/>
              <w:bottom w:val="single" w:color="auto" w:sz="4" w:space="0"/>
              <w:right w:val="single" w:color="auto" w:sz="4" w:space="0"/>
            </w:tcBorders>
            <w:vAlign w:val="center"/>
          </w:tcPr>
          <w:p w14:paraId="35383053">
            <w:pPr>
              <w:widowControl/>
              <w:jc w:val="center"/>
              <w:rPr>
                <w:kern w:val="0"/>
                <w:sz w:val="18"/>
                <w:szCs w:val="18"/>
              </w:rPr>
            </w:pPr>
            <w:r>
              <w:rPr>
                <w:rFonts w:hint="eastAsia" w:ascii="宋体" w:hAnsi="宋体"/>
                <w:kern w:val="0"/>
                <w:sz w:val="18"/>
                <w:szCs w:val="18"/>
              </w:rPr>
              <w:t>林产品交易中心</w:t>
            </w:r>
          </w:p>
        </w:tc>
        <w:tc>
          <w:tcPr>
            <w:tcW w:w="1985" w:type="dxa"/>
            <w:vMerge w:val="restart"/>
            <w:tcBorders>
              <w:top w:val="nil"/>
              <w:left w:val="single" w:color="auto" w:sz="4" w:space="0"/>
              <w:bottom w:val="single" w:color="auto" w:sz="4" w:space="0"/>
              <w:right w:val="single" w:color="auto" w:sz="4" w:space="0"/>
            </w:tcBorders>
            <w:vAlign w:val="center"/>
          </w:tcPr>
          <w:p w14:paraId="47A2B3D9">
            <w:pPr>
              <w:widowControl/>
              <w:jc w:val="center"/>
              <w:rPr>
                <w:kern w:val="0"/>
                <w:sz w:val="18"/>
                <w:szCs w:val="18"/>
              </w:rPr>
            </w:pPr>
            <w:r>
              <w:rPr>
                <w:rFonts w:hint="eastAsia" w:ascii="宋体" w:hAnsi="宋体"/>
                <w:kern w:val="0"/>
                <w:sz w:val="18"/>
                <w:szCs w:val="18"/>
              </w:rPr>
              <w:t>天涯区</w:t>
            </w:r>
          </w:p>
        </w:tc>
        <w:tc>
          <w:tcPr>
            <w:tcW w:w="1275" w:type="dxa"/>
            <w:tcBorders>
              <w:top w:val="nil"/>
              <w:left w:val="nil"/>
              <w:bottom w:val="single" w:color="auto" w:sz="4" w:space="0"/>
              <w:right w:val="single" w:color="auto" w:sz="4" w:space="0"/>
            </w:tcBorders>
            <w:vAlign w:val="center"/>
          </w:tcPr>
          <w:p w14:paraId="47DA618D">
            <w:pPr>
              <w:widowControl/>
              <w:jc w:val="center"/>
              <w:rPr>
                <w:kern w:val="0"/>
                <w:sz w:val="18"/>
                <w:szCs w:val="18"/>
              </w:rPr>
            </w:pPr>
            <w:r>
              <w:rPr>
                <w:kern w:val="0"/>
                <w:sz w:val="18"/>
                <w:szCs w:val="18"/>
              </w:rPr>
              <w:t>50000</w:t>
            </w:r>
          </w:p>
        </w:tc>
      </w:tr>
      <w:tr w14:paraId="550A3675">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3919CF0">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43E5CD0">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677B3ED3">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7E260562">
            <w:pPr>
              <w:widowControl/>
              <w:jc w:val="center"/>
              <w:rPr>
                <w:kern w:val="0"/>
                <w:sz w:val="18"/>
                <w:szCs w:val="18"/>
              </w:rPr>
            </w:pPr>
            <w:r>
              <w:rPr>
                <w:rFonts w:hint="eastAsia" w:ascii="宋体" w:hAnsi="宋体"/>
                <w:kern w:val="0"/>
                <w:sz w:val="18"/>
                <w:szCs w:val="18"/>
              </w:rPr>
              <w:t>会展中心</w:t>
            </w:r>
          </w:p>
        </w:tc>
        <w:tc>
          <w:tcPr>
            <w:tcW w:w="1985" w:type="dxa"/>
            <w:vMerge w:val="continue"/>
            <w:tcBorders>
              <w:top w:val="nil"/>
              <w:left w:val="single" w:color="auto" w:sz="4" w:space="0"/>
              <w:bottom w:val="single" w:color="auto" w:sz="4" w:space="0"/>
              <w:right w:val="single" w:color="auto" w:sz="4" w:space="0"/>
            </w:tcBorders>
            <w:vAlign w:val="center"/>
          </w:tcPr>
          <w:p w14:paraId="13A96D8D">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65DC71E4">
            <w:pPr>
              <w:widowControl/>
              <w:jc w:val="center"/>
              <w:rPr>
                <w:kern w:val="0"/>
                <w:sz w:val="18"/>
                <w:szCs w:val="18"/>
              </w:rPr>
            </w:pPr>
            <w:r>
              <w:rPr>
                <w:kern w:val="0"/>
                <w:sz w:val="18"/>
                <w:szCs w:val="18"/>
              </w:rPr>
              <w:t>10000</w:t>
            </w:r>
          </w:p>
        </w:tc>
      </w:tr>
      <w:tr w14:paraId="1EC80EAE">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3D7FF4C">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069C374">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447BFF80">
            <w:pPr>
              <w:widowControl/>
              <w:jc w:val="center"/>
              <w:rPr>
                <w:kern w:val="0"/>
                <w:sz w:val="18"/>
                <w:szCs w:val="18"/>
              </w:rPr>
            </w:pPr>
            <w:r>
              <w:rPr>
                <w:rFonts w:hint="eastAsia" w:ascii="宋体" w:hAnsi="宋体"/>
                <w:kern w:val="0"/>
                <w:sz w:val="18"/>
                <w:szCs w:val="18"/>
              </w:rPr>
              <w:t>（</w:t>
            </w:r>
            <w:r>
              <w:rPr>
                <w:kern w:val="0"/>
                <w:sz w:val="18"/>
                <w:szCs w:val="18"/>
              </w:rPr>
              <w:t>11</w:t>
            </w:r>
            <w:r>
              <w:rPr>
                <w:rFonts w:hint="eastAsia" w:ascii="宋体" w:hAnsi="宋体"/>
                <w:kern w:val="0"/>
                <w:sz w:val="18"/>
                <w:szCs w:val="18"/>
              </w:rPr>
              <w:t>）林业种业孵化基地建设工程</w:t>
            </w:r>
          </w:p>
        </w:tc>
        <w:tc>
          <w:tcPr>
            <w:tcW w:w="2126" w:type="dxa"/>
            <w:tcBorders>
              <w:top w:val="nil"/>
              <w:left w:val="nil"/>
              <w:bottom w:val="single" w:color="auto" w:sz="4" w:space="0"/>
              <w:right w:val="single" w:color="auto" w:sz="4" w:space="0"/>
            </w:tcBorders>
            <w:vAlign w:val="center"/>
          </w:tcPr>
          <w:p w14:paraId="64059A7A">
            <w:pPr>
              <w:widowControl/>
              <w:jc w:val="center"/>
              <w:rPr>
                <w:kern w:val="0"/>
                <w:sz w:val="18"/>
                <w:szCs w:val="18"/>
              </w:rPr>
            </w:pPr>
            <w:r>
              <w:rPr>
                <w:rFonts w:hint="eastAsia" w:ascii="宋体" w:hAnsi="宋体"/>
                <w:kern w:val="0"/>
                <w:sz w:val="18"/>
                <w:szCs w:val="18"/>
              </w:rPr>
              <w:t>林业种业孵化基地</w:t>
            </w:r>
          </w:p>
        </w:tc>
        <w:tc>
          <w:tcPr>
            <w:tcW w:w="1985" w:type="dxa"/>
            <w:vMerge w:val="restart"/>
            <w:tcBorders>
              <w:top w:val="nil"/>
              <w:left w:val="single" w:color="auto" w:sz="4" w:space="0"/>
              <w:bottom w:val="single" w:color="auto" w:sz="4" w:space="0"/>
              <w:right w:val="single" w:color="auto" w:sz="4" w:space="0"/>
            </w:tcBorders>
            <w:vAlign w:val="center"/>
          </w:tcPr>
          <w:p w14:paraId="46043760">
            <w:pPr>
              <w:widowControl/>
              <w:jc w:val="center"/>
              <w:rPr>
                <w:kern w:val="0"/>
                <w:sz w:val="18"/>
                <w:szCs w:val="18"/>
              </w:rPr>
            </w:pPr>
            <w:r>
              <w:rPr>
                <w:rFonts w:hint="eastAsia" w:ascii="宋体" w:hAnsi="宋体"/>
                <w:kern w:val="0"/>
                <w:sz w:val="18"/>
                <w:szCs w:val="18"/>
              </w:rPr>
              <w:t>崖州区</w:t>
            </w:r>
          </w:p>
        </w:tc>
        <w:tc>
          <w:tcPr>
            <w:tcW w:w="1275" w:type="dxa"/>
            <w:tcBorders>
              <w:top w:val="nil"/>
              <w:left w:val="nil"/>
              <w:bottom w:val="single" w:color="auto" w:sz="4" w:space="0"/>
              <w:right w:val="single" w:color="auto" w:sz="4" w:space="0"/>
            </w:tcBorders>
            <w:vAlign w:val="center"/>
          </w:tcPr>
          <w:p w14:paraId="2ACD3DC9">
            <w:pPr>
              <w:widowControl/>
              <w:jc w:val="center"/>
              <w:rPr>
                <w:kern w:val="0"/>
                <w:sz w:val="18"/>
                <w:szCs w:val="18"/>
              </w:rPr>
            </w:pPr>
            <w:r>
              <w:rPr>
                <w:kern w:val="0"/>
                <w:sz w:val="18"/>
                <w:szCs w:val="18"/>
              </w:rPr>
              <w:t>2000</w:t>
            </w:r>
          </w:p>
        </w:tc>
      </w:tr>
      <w:tr w14:paraId="43C4A361">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7BE7E7B3">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AB0AA9A">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368D9111">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7002F8B6">
            <w:pPr>
              <w:widowControl/>
              <w:jc w:val="center"/>
              <w:rPr>
                <w:kern w:val="0"/>
                <w:sz w:val="18"/>
                <w:szCs w:val="18"/>
              </w:rPr>
            </w:pPr>
            <w:r>
              <w:rPr>
                <w:rFonts w:hint="eastAsia" w:ascii="宋体" w:hAnsi="宋体"/>
                <w:kern w:val="0"/>
                <w:sz w:val="18"/>
                <w:szCs w:val="18"/>
              </w:rPr>
              <w:t>种质隔离基地</w:t>
            </w:r>
          </w:p>
        </w:tc>
        <w:tc>
          <w:tcPr>
            <w:tcW w:w="1985" w:type="dxa"/>
            <w:vMerge w:val="continue"/>
            <w:tcBorders>
              <w:top w:val="nil"/>
              <w:left w:val="single" w:color="auto" w:sz="4" w:space="0"/>
              <w:bottom w:val="single" w:color="auto" w:sz="4" w:space="0"/>
              <w:right w:val="single" w:color="auto" w:sz="4" w:space="0"/>
            </w:tcBorders>
            <w:vAlign w:val="center"/>
          </w:tcPr>
          <w:p w14:paraId="3D0C5F85">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1EB93F78">
            <w:pPr>
              <w:widowControl/>
              <w:jc w:val="center"/>
              <w:rPr>
                <w:kern w:val="0"/>
                <w:sz w:val="18"/>
                <w:szCs w:val="18"/>
              </w:rPr>
            </w:pPr>
            <w:r>
              <w:rPr>
                <w:kern w:val="0"/>
                <w:sz w:val="18"/>
                <w:szCs w:val="18"/>
              </w:rPr>
              <w:t>1000</w:t>
            </w:r>
          </w:p>
        </w:tc>
      </w:tr>
      <w:tr w14:paraId="241EDE23">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69BC9056">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1FA13C1">
            <w:pPr>
              <w:widowControl/>
              <w:jc w:val="left"/>
              <w:rPr>
                <w:b/>
                <w:bCs/>
                <w:kern w:val="0"/>
                <w:sz w:val="18"/>
                <w:szCs w:val="18"/>
              </w:rPr>
            </w:pPr>
          </w:p>
        </w:tc>
        <w:tc>
          <w:tcPr>
            <w:tcW w:w="6241" w:type="dxa"/>
            <w:gridSpan w:val="3"/>
            <w:tcBorders>
              <w:top w:val="single" w:color="auto" w:sz="4" w:space="0"/>
              <w:left w:val="nil"/>
              <w:bottom w:val="single" w:color="auto" w:sz="4" w:space="0"/>
              <w:right w:val="single" w:color="auto" w:sz="4" w:space="0"/>
            </w:tcBorders>
            <w:vAlign w:val="center"/>
          </w:tcPr>
          <w:p w14:paraId="71D484CA">
            <w:pPr>
              <w:widowControl/>
              <w:jc w:val="center"/>
              <w:rPr>
                <w:b/>
                <w:bCs/>
                <w:kern w:val="0"/>
                <w:sz w:val="18"/>
                <w:szCs w:val="18"/>
              </w:rPr>
            </w:pPr>
            <w:r>
              <w:rPr>
                <w:rFonts w:hint="eastAsia" w:ascii="宋体" w:hAnsi="宋体"/>
                <w:b/>
                <w:bCs/>
                <w:kern w:val="0"/>
                <w:sz w:val="18"/>
                <w:szCs w:val="18"/>
              </w:rPr>
              <w:t>小计</w:t>
            </w:r>
          </w:p>
        </w:tc>
        <w:tc>
          <w:tcPr>
            <w:tcW w:w="1275" w:type="dxa"/>
            <w:tcBorders>
              <w:top w:val="nil"/>
              <w:left w:val="nil"/>
              <w:bottom w:val="single" w:color="auto" w:sz="4" w:space="0"/>
              <w:right w:val="single" w:color="auto" w:sz="4" w:space="0"/>
            </w:tcBorders>
            <w:vAlign w:val="center"/>
          </w:tcPr>
          <w:p w14:paraId="00F723A3">
            <w:pPr>
              <w:widowControl/>
              <w:jc w:val="center"/>
              <w:rPr>
                <w:b/>
                <w:bCs/>
                <w:kern w:val="0"/>
                <w:sz w:val="18"/>
                <w:szCs w:val="18"/>
              </w:rPr>
            </w:pPr>
            <w:r>
              <w:rPr>
                <w:rFonts w:hint="eastAsia"/>
                <w:b/>
                <w:bCs/>
                <w:kern w:val="0"/>
                <w:sz w:val="18"/>
                <w:szCs w:val="18"/>
              </w:rPr>
              <w:t>333</w:t>
            </w:r>
            <w:r>
              <w:rPr>
                <w:b/>
                <w:bCs/>
                <w:kern w:val="0"/>
                <w:sz w:val="18"/>
                <w:szCs w:val="18"/>
              </w:rPr>
              <w:t>000</w:t>
            </w:r>
          </w:p>
        </w:tc>
      </w:tr>
      <w:tr w14:paraId="2A6D1F23">
        <w:tblPrEx>
          <w:tblCellMar>
            <w:top w:w="0" w:type="dxa"/>
            <w:left w:w="108" w:type="dxa"/>
            <w:bottom w:w="0" w:type="dxa"/>
            <w:right w:w="108" w:type="dxa"/>
          </w:tblCellMar>
        </w:tblPrEx>
        <w:trPr>
          <w:trHeight w:val="315" w:hRule="atLeast"/>
        </w:trPr>
        <w:tc>
          <w:tcPr>
            <w:tcW w:w="640" w:type="dxa"/>
            <w:vMerge w:val="restart"/>
            <w:tcBorders>
              <w:top w:val="nil"/>
              <w:left w:val="single" w:color="auto" w:sz="4" w:space="0"/>
              <w:bottom w:val="single" w:color="auto" w:sz="4" w:space="0"/>
              <w:right w:val="single" w:color="auto" w:sz="4" w:space="0"/>
            </w:tcBorders>
            <w:vAlign w:val="center"/>
          </w:tcPr>
          <w:p w14:paraId="4F3CA7DA">
            <w:pPr>
              <w:widowControl/>
              <w:jc w:val="center"/>
              <w:rPr>
                <w:b/>
                <w:bCs/>
                <w:kern w:val="0"/>
                <w:sz w:val="18"/>
                <w:szCs w:val="18"/>
              </w:rPr>
            </w:pPr>
            <w:r>
              <w:rPr>
                <w:b/>
                <w:bCs/>
                <w:kern w:val="0"/>
                <w:sz w:val="18"/>
                <w:szCs w:val="18"/>
              </w:rPr>
              <w:t>3</w:t>
            </w:r>
          </w:p>
        </w:tc>
        <w:tc>
          <w:tcPr>
            <w:tcW w:w="1200" w:type="dxa"/>
            <w:vMerge w:val="restart"/>
            <w:tcBorders>
              <w:top w:val="nil"/>
              <w:left w:val="single" w:color="auto" w:sz="4" w:space="0"/>
              <w:bottom w:val="single" w:color="auto" w:sz="4" w:space="0"/>
              <w:right w:val="single" w:color="auto" w:sz="4" w:space="0"/>
            </w:tcBorders>
            <w:vAlign w:val="center"/>
          </w:tcPr>
          <w:p w14:paraId="650031F1">
            <w:pPr>
              <w:widowControl/>
              <w:jc w:val="center"/>
              <w:rPr>
                <w:b/>
                <w:bCs/>
                <w:kern w:val="0"/>
                <w:sz w:val="18"/>
                <w:szCs w:val="18"/>
              </w:rPr>
            </w:pPr>
            <w:r>
              <w:rPr>
                <w:rFonts w:hint="eastAsia" w:ascii="宋体" w:hAnsi="宋体"/>
                <w:b/>
                <w:bCs/>
                <w:kern w:val="0"/>
                <w:sz w:val="18"/>
                <w:szCs w:val="18"/>
              </w:rPr>
              <w:t>用材林产业</w:t>
            </w:r>
          </w:p>
        </w:tc>
        <w:tc>
          <w:tcPr>
            <w:tcW w:w="2130" w:type="dxa"/>
            <w:vMerge w:val="restart"/>
            <w:tcBorders>
              <w:top w:val="nil"/>
              <w:left w:val="single" w:color="auto" w:sz="4" w:space="0"/>
              <w:bottom w:val="single" w:color="auto" w:sz="4" w:space="0"/>
              <w:right w:val="single" w:color="auto" w:sz="4" w:space="0"/>
            </w:tcBorders>
            <w:vAlign w:val="center"/>
          </w:tcPr>
          <w:p w14:paraId="5388E7AE">
            <w:pPr>
              <w:widowControl/>
              <w:jc w:val="center"/>
              <w:rPr>
                <w:kern w:val="0"/>
                <w:sz w:val="18"/>
                <w:szCs w:val="18"/>
              </w:rPr>
            </w:pPr>
            <w:r>
              <w:rPr>
                <w:rFonts w:hint="eastAsia" w:ascii="宋体" w:hAnsi="宋体"/>
                <w:kern w:val="0"/>
                <w:sz w:val="18"/>
                <w:szCs w:val="18"/>
              </w:rPr>
              <w:t>（</w:t>
            </w:r>
            <w:r>
              <w:rPr>
                <w:kern w:val="0"/>
                <w:sz w:val="18"/>
                <w:szCs w:val="18"/>
              </w:rPr>
              <w:t>12</w:t>
            </w:r>
            <w:r>
              <w:rPr>
                <w:rFonts w:hint="eastAsia" w:ascii="宋体" w:hAnsi="宋体"/>
                <w:kern w:val="0"/>
                <w:sz w:val="18"/>
                <w:szCs w:val="18"/>
              </w:rPr>
              <w:t>）森林质量精准提升工程</w:t>
            </w:r>
          </w:p>
        </w:tc>
        <w:tc>
          <w:tcPr>
            <w:tcW w:w="2126" w:type="dxa"/>
            <w:tcBorders>
              <w:top w:val="nil"/>
              <w:left w:val="nil"/>
              <w:bottom w:val="single" w:color="auto" w:sz="4" w:space="0"/>
              <w:right w:val="single" w:color="auto" w:sz="4" w:space="0"/>
            </w:tcBorders>
            <w:vAlign w:val="center"/>
          </w:tcPr>
          <w:p w14:paraId="462CE516">
            <w:pPr>
              <w:widowControl/>
              <w:jc w:val="center"/>
              <w:rPr>
                <w:kern w:val="0"/>
                <w:sz w:val="18"/>
                <w:szCs w:val="18"/>
              </w:rPr>
            </w:pPr>
            <w:r>
              <w:rPr>
                <w:rFonts w:hint="eastAsia" w:ascii="宋体" w:hAnsi="宋体"/>
                <w:kern w:val="0"/>
                <w:sz w:val="18"/>
                <w:szCs w:val="18"/>
              </w:rPr>
              <w:t>建设国家储备林基地</w:t>
            </w:r>
          </w:p>
        </w:tc>
        <w:tc>
          <w:tcPr>
            <w:tcW w:w="1985" w:type="dxa"/>
            <w:tcBorders>
              <w:top w:val="nil"/>
              <w:left w:val="nil"/>
              <w:bottom w:val="single" w:color="auto" w:sz="4" w:space="0"/>
              <w:right w:val="single" w:color="auto" w:sz="4" w:space="0"/>
            </w:tcBorders>
            <w:vAlign w:val="center"/>
          </w:tcPr>
          <w:p w14:paraId="435D65E4">
            <w:pPr>
              <w:widowControl/>
              <w:jc w:val="center"/>
              <w:rPr>
                <w:kern w:val="0"/>
                <w:sz w:val="18"/>
                <w:szCs w:val="18"/>
              </w:rPr>
            </w:pPr>
            <w:r>
              <w:rPr>
                <w:rFonts w:hint="eastAsia" w:ascii="宋体" w:hAnsi="宋体"/>
                <w:kern w:val="0"/>
                <w:sz w:val="18"/>
                <w:szCs w:val="18"/>
              </w:rPr>
              <w:t>育才生态区</w:t>
            </w:r>
          </w:p>
        </w:tc>
        <w:tc>
          <w:tcPr>
            <w:tcW w:w="1275" w:type="dxa"/>
            <w:tcBorders>
              <w:top w:val="nil"/>
              <w:left w:val="nil"/>
              <w:bottom w:val="single" w:color="auto" w:sz="4" w:space="0"/>
              <w:right w:val="single" w:color="auto" w:sz="4" w:space="0"/>
            </w:tcBorders>
            <w:vAlign w:val="center"/>
          </w:tcPr>
          <w:p w14:paraId="711AC10E">
            <w:pPr>
              <w:widowControl/>
              <w:jc w:val="center"/>
              <w:rPr>
                <w:kern w:val="0"/>
                <w:sz w:val="18"/>
                <w:szCs w:val="18"/>
              </w:rPr>
            </w:pPr>
            <w:r>
              <w:rPr>
                <w:kern w:val="0"/>
                <w:sz w:val="18"/>
                <w:szCs w:val="18"/>
              </w:rPr>
              <w:t>45000</w:t>
            </w:r>
          </w:p>
        </w:tc>
      </w:tr>
      <w:tr w14:paraId="63E43E8B">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37504EAB">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EE6BE81">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1527202D">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190A1280">
            <w:pPr>
              <w:widowControl/>
              <w:jc w:val="center"/>
              <w:rPr>
                <w:kern w:val="0"/>
                <w:sz w:val="18"/>
                <w:szCs w:val="18"/>
              </w:rPr>
            </w:pPr>
            <w:r>
              <w:rPr>
                <w:rFonts w:hint="eastAsia" w:ascii="宋体" w:hAnsi="宋体"/>
                <w:kern w:val="0"/>
                <w:sz w:val="18"/>
                <w:szCs w:val="18"/>
              </w:rPr>
              <w:t>现有林改培</w:t>
            </w:r>
          </w:p>
        </w:tc>
        <w:tc>
          <w:tcPr>
            <w:tcW w:w="1985" w:type="dxa"/>
            <w:tcBorders>
              <w:top w:val="nil"/>
              <w:left w:val="nil"/>
              <w:bottom w:val="single" w:color="auto" w:sz="4" w:space="0"/>
              <w:right w:val="single" w:color="auto" w:sz="4" w:space="0"/>
            </w:tcBorders>
            <w:vAlign w:val="center"/>
          </w:tcPr>
          <w:p w14:paraId="32747C29">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39CC0B8F">
            <w:pPr>
              <w:widowControl/>
              <w:jc w:val="center"/>
              <w:rPr>
                <w:kern w:val="0"/>
                <w:sz w:val="18"/>
                <w:szCs w:val="18"/>
              </w:rPr>
            </w:pPr>
            <w:r>
              <w:rPr>
                <w:kern w:val="0"/>
                <w:sz w:val="18"/>
                <w:szCs w:val="18"/>
              </w:rPr>
              <w:t>30000</w:t>
            </w:r>
          </w:p>
        </w:tc>
      </w:tr>
      <w:tr w14:paraId="7BC6046E">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46405348">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CC7C381">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06A3F73F">
            <w:pPr>
              <w:widowControl/>
              <w:jc w:val="center"/>
              <w:rPr>
                <w:kern w:val="0"/>
                <w:sz w:val="18"/>
                <w:szCs w:val="18"/>
              </w:rPr>
            </w:pPr>
            <w:r>
              <w:rPr>
                <w:rFonts w:hint="eastAsia" w:ascii="宋体" w:hAnsi="宋体"/>
                <w:kern w:val="0"/>
                <w:sz w:val="18"/>
                <w:szCs w:val="18"/>
              </w:rPr>
              <w:t>（</w:t>
            </w:r>
            <w:r>
              <w:rPr>
                <w:kern w:val="0"/>
                <w:sz w:val="18"/>
                <w:szCs w:val="18"/>
              </w:rPr>
              <w:t>13</w:t>
            </w:r>
            <w:r>
              <w:rPr>
                <w:rFonts w:hint="eastAsia" w:ascii="宋体" w:hAnsi="宋体"/>
                <w:kern w:val="0"/>
                <w:sz w:val="18"/>
                <w:szCs w:val="18"/>
              </w:rPr>
              <w:t>）优质白木香生产基地</w:t>
            </w:r>
          </w:p>
        </w:tc>
        <w:tc>
          <w:tcPr>
            <w:tcW w:w="2126" w:type="dxa"/>
            <w:tcBorders>
              <w:top w:val="nil"/>
              <w:left w:val="nil"/>
              <w:bottom w:val="single" w:color="auto" w:sz="4" w:space="0"/>
              <w:right w:val="single" w:color="auto" w:sz="4" w:space="0"/>
            </w:tcBorders>
            <w:vAlign w:val="center"/>
          </w:tcPr>
          <w:p w14:paraId="5B50D505">
            <w:pPr>
              <w:widowControl/>
              <w:jc w:val="center"/>
              <w:rPr>
                <w:kern w:val="0"/>
                <w:sz w:val="18"/>
                <w:szCs w:val="18"/>
              </w:rPr>
            </w:pPr>
            <w:r>
              <w:rPr>
                <w:rFonts w:hint="eastAsia" w:ascii="宋体" w:hAnsi="宋体"/>
                <w:kern w:val="0"/>
                <w:sz w:val="18"/>
                <w:szCs w:val="18"/>
              </w:rPr>
              <w:t>建设优良种苗繁育基地</w:t>
            </w:r>
          </w:p>
        </w:tc>
        <w:tc>
          <w:tcPr>
            <w:tcW w:w="1985" w:type="dxa"/>
            <w:tcBorders>
              <w:top w:val="nil"/>
              <w:left w:val="nil"/>
              <w:bottom w:val="single" w:color="auto" w:sz="4" w:space="0"/>
              <w:right w:val="single" w:color="auto" w:sz="4" w:space="0"/>
            </w:tcBorders>
            <w:vAlign w:val="center"/>
          </w:tcPr>
          <w:p w14:paraId="4709164E">
            <w:pPr>
              <w:widowControl/>
              <w:jc w:val="center"/>
              <w:rPr>
                <w:kern w:val="0"/>
                <w:sz w:val="18"/>
                <w:szCs w:val="18"/>
              </w:rPr>
            </w:pPr>
            <w:r>
              <w:rPr>
                <w:rFonts w:hint="eastAsia" w:ascii="宋体" w:hAnsi="宋体"/>
                <w:kern w:val="0"/>
                <w:sz w:val="18"/>
                <w:szCs w:val="18"/>
              </w:rPr>
              <w:t>天涯区</w:t>
            </w:r>
          </w:p>
        </w:tc>
        <w:tc>
          <w:tcPr>
            <w:tcW w:w="1275" w:type="dxa"/>
            <w:tcBorders>
              <w:top w:val="nil"/>
              <w:left w:val="nil"/>
              <w:bottom w:val="single" w:color="auto" w:sz="4" w:space="0"/>
              <w:right w:val="single" w:color="auto" w:sz="4" w:space="0"/>
            </w:tcBorders>
            <w:vAlign w:val="center"/>
          </w:tcPr>
          <w:p w14:paraId="42A980FB">
            <w:pPr>
              <w:widowControl/>
              <w:jc w:val="center"/>
              <w:rPr>
                <w:kern w:val="0"/>
                <w:sz w:val="18"/>
                <w:szCs w:val="18"/>
              </w:rPr>
            </w:pPr>
            <w:r>
              <w:rPr>
                <w:kern w:val="0"/>
                <w:sz w:val="18"/>
                <w:szCs w:val="18"/>
              </w:rPr>
              <w:t>1000</w:t>
            </w:r>
          </w:p>
        </w:tc>
      </w:tr>
      <w:tr w14:paraId="5C654E68">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76A4FBB3">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258F917">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1A58B2F6">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57D64568">
            <w:pPr>
              <w:widowControl/>
              <w:jc w:val="center"/>
              <w:rPr>
                <w:kern w:val="0"/>
                <w:sz w:val="18"/>
                <w:szCs w:val="18"/>
              </w:rPr>
            </w:pPr>
            <w:r>
              <w:rPr>
                <w:rFonts w:hint="eastAsia" w:ascii="宋体" w:hAnsi="宋体"/>
                <w:kern w:val="0"/>
                <w:sz w:val="18"/>
                <w:szCs w:val="18"/>
              </w:rPr>
              <w:t>种植示范基地</w:t>
            </w:r>
          </w:p>
        </w:tc>
        <w:tc>
          <w:tcPr>
            <w:tcW w:w="1985" w:type="dxa"/>
            <w:tcBorders>
              <w:top w:val="nil"/>
              <w:left w:val="nil"/>
              <w:bottom w:val="single" w:color="auto" w:sz="4" w:space="0"/>
              <w:right w:val="single" w:color="auto" w:sz="4" w:space="0"/>
            </w:tcBorders>
            <w:vAlign w:val="center"/>
          </w:tcPr>
          <w:p w14:paraId="52318FE8">
            <w:pPr>
              <w:widowControl/>
              <w:jc w:val="center"/>
              <w:rPr>
                <w:kern w:val="0"/>
                <w:sz w:val="18"/>
                <w:szCs w:val="18"/>
              </w:rPr>
            </w:pPr>
            <w:r>
              <w:rPr>
                <w:rFonts w:hint="eastAsia" w:ascii="宋体" w:hAnsi="宋体"/>
                <w:kern w:val="0"/>
                <w:sz w:val="18"/>
                <w:szCs w:val="18"/>
              </w:rPr>
              <w:t>天涯区和育才生态区</w:t>
            </w:r>
          </w:p>
        </w:tc>
        <w:tc>
          <w:tcPr>
            <w:tcW w:w="1275" w:type="dxa"/>
            <w:tcBorders>
              <w:top w:val="nil"/>
              <w:left w:val="nil"/>
              <w:bottom w:val="single" w:color="auto" w:sz="4" w:space="0"/>
              <w:right w:val="single" w:color="auto" w:sz="4" w:space="0"/>
            </w:tcBorders>
            <w:vAlign w:val="center"/>
          </w:tcPr>
          <w:p w14:paraId="526A8B0D">
            <w:pPr>
              <w:widowControl/>
              <w:jc w:val="center"/>
              <w:rPr>
                <w:kern w:val="0"/>
                <w:sz w:val="18"/>
                <w:szCs w:val="18"/>
              </w:rPr>
            </w:pPr>
            <w:r>
              <w:rPr>
                <w:kern w:val="0"/>
                <w:sz w:val="18"/>
                <w:szCs w:val="18"/>
              </w:rPr>
              <w:t>2000</w:t>
            </w:r>
          </w:p>
        </w:tc>
      </w:tr>
      <w:tr w14:paraId="2CE47B5F">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357DE012">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909E8C8">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4C341D1E">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064DE749">
            <w:pPr>
              <w:widowControl/>
              <w:jc w:val="center"/>
              <w:rPr>
                <w:kern w:val="0"/>
                <w:sz w:val="18"/>
                <w:szCs w:val="18"/>
              </w:rPr>
            </w:pPr>
            <w:r>
              <w:rPr>
                <w:rFonts w:hint="eastAsia" w:ascii="宋体" w:hAnsi="宋体"/>
                <w:kern w:val="0"/>
                <w:sz w:val="18"/>
                <w:szCs w:val="18"/>
              </w:rPr>
              <w:t>人工结香技术示范基地</w:t>
            </w:r>
          </w:p>
        </w:tc>
        <w:tc>
          <w:tcPr>
            <w:tcW w:w="1985" w:type="dxa"/>
            <w:tcBorders>
              <w:top w:val="nil"/>
              <w:left w:val="nil"/>
              <w:bottom w:val="single" w:color="auto" w:sz="4" w:space="0"/>
              <w:right w:val="single" w:color="auto" w:sz="4" w:space="0"/>
            </w:tcBorders>
            <w:vAlign w:val="center"/>
          </w:tcPr>
          <w:p w14:paraId="75AE97C2">
            <w:pPr>
              <w:widowControl/>
              <w:jc w:val="center"/>
              <w:rPr>
                <w:kern w:val="0"/>
                <w:sz w:val="18"/>
                <w:szCs w:val="18"/>
              </w:rPr>
            </w:pPr>
            <w:r>
              <w:rPr>
                <w:rFonts w:hint="eastAsia" w:ascii="宋体" w:hAnsi="宋体"/>
                <w:kern w:val="0"/>
                <w:sz w:val="18"/>
                <w:szCs w:val="18"/>
              </w:rPr>
              <w:t>吉阳区</w:t>
            </w:r>
          </w:p>
        </w:tc>
        <w:tc>
          <w:tcPr>
            <w:tcW w:w="1275" w:type="dxa"/>
            <w:tcBorders>
              <w:top w:val="nil"/>
              <w:left w:val="nil"/>
              <w:bottom w:val="single" w:color="auto" w:sz="4" w:space="0"/>
              <w:right w:val="single" w:color="auto" w:sz="4" w:space="0"/>
            </w:tcBorders>
            <w:vAlign w:val="center"/>
          </w:tcPr>
          <w:p w14:paraId="4600EF2D">
            <w:pPr>
              <w:widowControl/>
              <w:jc w:val="center"/>
              <w:rPr>
                <w:kern w:val="0"/>
                <w:sz w:val="18"/>
                <w:szCs w:val="18"/>
              </w:rPr>
            </w:pPr>
            <w:r>
              <w:rPr>
                <w:kern w:val="0"/>
                <w:sz w:val="18"/>
                <w:szCs w:val="18"/>
              </w:rPr>
              <w:t>1000</w:t>
            </w:r>
          </w:p>
        </w:tc>
      </w:tr>
      <w:tr w14:paraId="22FAAFBC">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45DC62D">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C887DF2">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0B547F57">
            <w:pPr>
              <w:widowControl/>
              <w:jc w:val="center"/>
              <w:rPr>
                <w:kern w:val="0"/>
                <w:sz w:val="18"/>
                <w:szCs w:val="18"/>
              </w:rPr>
            </w:pPr>
            <w:r>
              <w:rPr>
                <w:rFonts w:hint="eastAsia" w:ascii="宋体" w:hAnsi="宋体"/>
                <w:kern w:val="0"/>
                <w:sz w:val="18"/>
                <w:szCs w:val="18"/>
              </w:rPr>
              <w:t>（</w:t>
            </w:r>
            <w:r>
              <w:rPr>
                <w:kern w:val="0"/>
                <w:sz w:val="18"/>
                <w:szCs w:val="18"/>
              </w:rPr>
              <w:t>14</w:t>
            </w:r>
            <w:r>
              <w:rPr>
                <w:rFonts w:hint="eastAsia" w:ascii="宋体" w:hAnsi="宋体"/>
                <w:kern w:val="0"/>
                <w:sz w:val="18"/>
                <w:szCs w:val="18"/>
              </w:rPr>
              <w:t>）用材林科技示范园</w:t>
            </w:r>
          </w:p>
        </w:tc>
        <w:tc>
          <w:tcPr>
            <w:tcW w:w="2126" w:type="dxa"/>
            <w:tcBorders>
              <w:top w:val="nil"/>
              <w:left w:val="nil"/>
              <w:bottom w:val="single" w:color="auto" w:sz="4" w:space="0"/>
              <w:right w:val="single" w:color="auto" w:sz="4" w:space="0"/>
            </w:tcBorders>
            <w:vAlign w:val="center"/>
          </w:tcPr>
          <w:p w14:paraId="43A5D897">
            <w:pPr>
              <w:widowControl/>
              <w:jc w:val="center"/>
              <w:rPr>
                <w:kern w:val="0"/>
                <w:sz w:val="18"/>
                <w:szCs w:val="18"/>
              </w:rPr>
            </w:pPr>
            <w:r>
              <w:rPr>
                <w:rFonts w:hint="eastAsia" w:ascii="宋体" w:hAnsi="宋体"/>
                <w:kern w:val="0"/>
                <w:sz w:val="18"/>
                <w:szCs w:val="18"/>
              </w:rPr>
              <w:t>用材林培育科技示范园</w:t>
            </w:r>
          </w:p>
        </w:tc>
        <w:tc>
          <w:tcPr>
            <w:tcW w:w="1985" w:type="dxa"/>
            <w:tcBorders>
              <w:top w:val="nil"/>
              <w:left w:val="nil"/>
              <w:bottom w:val="single" w:color="auto" w:sz="4" w:space="0"/>
              <w:right w:val="single" w:color="auto" w:sz="4" w:space="0"/>
            </w:tcBorders>
            <w:vAlign w:val="center"/>
          </w:tcPr>
          <w:p w14:paraId="4C72E43C">
            <w:pPr>
              <w:widowControl/>
              <w:jc w:val="center"/>
              <w:rPr>
                <w:kern w:val="0"/>
                <w:sz w:val="18"/>
                <w:szCs w:val="18"/>
              </w:rPr>
            </w:pPr>
            <w:r>
              <w:rPr>
                <w:rFonts w:hint="eastAsia" w:ascii="宋体" w:hAnsi="宋体"/>
                <w:kern w:val="0"/>
                <w:sz w:val="18"/>
                <w:szCs w:val="18"/>
              </w:rPr>
              <w:t>天涯区</w:t>
            </w:r>
          </w:p>
        </w:tc>
        <w:tc>
          <w:tcPr>
            <w:tcW w:w="1275" w:type="dxa"/>
            <w:tcBorders>
              <w:top w:val="nil"/>
              <w:left w:val="nil"/>
              <w:bottom w:val="single" w:color="auto" w:sz="4" w:space="0"/>
              <w:right w:val="single" w:color="auto" w:sz="4" w:space="0"/>
            </w:tcBorders>
            <w:vAlign w:val="center"/>
          </w:tcPr>
          <w:p w14:paraId="6EAAA14B">
            <w:pPr>
              <w:widowControl/>
              <w:jc w:val="center"/>
              <w:rPr>
                <w:kern w:val="0"/>
                <w:sz w:val="18"/>
                <w:szCs w:val="18"/>
              </w:rPr>
            </w:pPr>
            <w:r>
              <w:rPr>
                <w:kern w:val="0"/>
                <w:sz w:val="18"/>
                <w:szCs w:val="18"/>
              </w:rPr>
              <w:t>5000</w:t>
            </w:r>
          </w:p>
        </w:tc>
      </w:tr>
      <w:tr w14:paraId="4EC95DD6">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63491F2">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9CFB1CE">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1FE4EADA">
            <w:pPr>
              <w:widowControl/>
              <w:jc w:val="center"/>
              <w:rPr>
                <w:kern w:val="0"/>
                <w:sz w:val="18"/>
                <w:szCs w:val="18"/>
              </w:rPr>
            </w:pPr>
            <w:r>
              <w:rPr>
                <w:rFonts w:hint="eastAsia" w:ascii="宋体" w:hAnsi="宋体"/>
                <w:kern w:val="0"/>
                <w:sz w:val="18"/>
                <w:szCs w:val="18"/>
              </w:rPr>
              <w:t>（</w:t>
            </w:r>
            <w:r>
              <w:rPr>
                <w:kern w:val="0"/>
                <w:sz w:val="18"/>
                <w:szCs w:val="18"/>
              </w:rPr>
              <w:t>15</w:t>
            </w:r>
            <w:r>
              <w:rPr>
                <w:rFonts w:hint="eastAsia" w:ascii="宋体" w:hAnsi="宋体"/>
                <w:kern w:val="0"/>
                <w:sz w:val="18"/>
                <w:szCs w:val="18"/>
              </w:rPr>
              <w:t>）林产品工艺品加工</w:t>
            </w:r>
          </w:p>
        </w:tc>
        <w:tc>
          <w:tcPr>
            <w:tcW w:w="2126" w:type="dxa"/>
            <w:tcBorders>
              <w:top w:val="nil"/>
              <w:left w:val="nil"/>
              <w:bottom w:val="single" w:color="auto" w:sz="4" w:space="0"/>
              <w:right w:val="single" w:color="auto" w:sz="4" w:space="0"/>
            </w:tcBorders>
            <w:vAlign w:val="center"/>
          </w:tcPr>
          <w:p w14:paraId="2C127DD2">
            <w:pPr>
              <w:widowControl/>
              <w:jc w:val="center"/>
              <w:rPr>
                <w:kern w:val="0"/>
                <w:sz w:val="18"/>
                <w:szCs w:val="18"/>
              </w:rPr>
            </w:pPr>
            <w:r>
              <w:rPr>
                <w:rFonts w:hint="eastAsia" w:ascii="宋体" w:hAnsi="宋体"/>
                <w:kern w:val="0"/>
                <w:sz w:val="18"/>
                <w:szCs w:val="18"/>
              </w:rPr>
              <w:t>培育林产品加工企业</w:t>
            </w:r>
          </w:p>
        </w:tc>
        <w:tc>
          <w:tcPr>
            <w:tcW w:w="1985" w:type="dxa"/>
            <w:tcBorders>
              <w:top w:val="nil"/>
              <w:left w:val="nil"/>
              <w:bottom w:val="single" w:color="auto" w:sz="4" w:space="0"/>
              <w:right w:val="single" w:color="auto" w:sz="4" w:space="0"/>
            </w:tcBorders>
            <w:vAlign w:val="center"/>
          </w:tcPr>
          <w:p w14:paraId="5C71A5D9">
            <w:pPr>
              <w:widowControl/>
              <w:jc w:val="center"/>
              <w:rPr>
                <w:kern w:val="0"/>
                <w:sz w:val="18"/>
                <w:szCs w:val="18"/>
              </w:rPr>
            </w:pPr>
            <w:r>
              <w:rPr>
                <w:rFonts w:hint="eastAsia" w:ascii="宋体" w:hAnsi="宋体"/>
                <w:kern w:val="0"/>
                <w:sz w:val="18"/>
                <w:szCs w:val="18"/>
              </w:rPr>
              <w:t>崖州区</w:t>
            </w:r>
          </w:p>
        </w:tc>
        <w:tc>
          <w:tcPr>
            <w:tcW w:w="1275" w:type="dxa"/>
            <w:tcBorders>
              <w:top w:val="nil"/>
              <w:left w:val="nil"/>
              <w:bottom w:val="single" w:color="auto" w:sz="4" w:space="0"/>
              <w:right w:val="single" w:color="auto" w:sz="4" w:space="0"/>
            </w:tcBorders>
            <w:vAlign w:val="center"/>
          </w:tcPr>
          <w:p w14:paraId="0EF45764">
            <w:pPr>
              <w:widowControl/>
              <w:jc w:val="center"/>
              <w:rPr>
                <w:kern w:val="0"/>
                <w:sz w:val="18"/>
                <w:szCs w:val="18"/>
              </w:rPr>
            </w:pPr>
            <w:r>
              <w:rPr>
                <w:kern w:val="0"/>
                <w:sz w:val="18"/>
                <w:szCs w:val="18"/>
              </w:rPr>
              <w:t>2000</w:t>
            </w:r>
          </w:p>
        </w:tc>
      </w:tr>
      <w:tr w14:paraId="1C1FDFF4">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1E21B1A9">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DA96ED9">
            <w:pPr>
              <w:widowControl/>
              <w:jc w:val="left"/>
              <w:rPr>
                <w:b/>
                <w:bCs/>
                <w:kern w:val="0"/>
                <w:sz w:val="18"/>
                <w:szCs w:val="18"/>
              </w:rPr>
            </w:pPr>
          </w:p>
        </w:tc>
        <w:tc>
          <w:tcPr>
            <w:tcW w:w="6241" w:type="dxa"/>
            <w:gridSpan w:val="3"/>
            <w:tcBorders>
              <w:top w:val="single" w:color="auto" w:sz="4" w:space="0"/>
              <w:left w:val="nil"/>
              <w:bottom w:val="single" w:color="auto" w:sz="4" w:space="0"/>
              <w:right w:val="single" w:color="auto" w:sz="4" w:space="0"/>
            </w:tcBorders>
            <w:vAlign w:val="center"/>
          </w:tcPr>
          <w:p w14:paraId="380E3521">
            <w:pPr>
              <w:widowControl/>
              <w:jc w:val="center"/>
              <w:rPr>
                <w:b/>
                <w:bCs/>
                <w:kern w:val="0"/>
                <w:sz w:val="18"/>
                <w:szCs w:val="18"/>
              </w:rPr>
            </w:pPr>
            <w:r>
              <w:rPr>
                <w:rFonts w:hint="eastAsia" w:ascii="宋体" w:hAnsi="宋体"/>
                <w:b/>
                <w:bCs/>
                <w:kern w:val="0"/>
                <w:sz w:val="18"/>
                <w:szCs w:val="18"/>
              </w:rPr>
              <w:t>小计</w:t>
            </w:r>
          </w:p>
        </w:tc>
        <w:tc>
          <w:tcPr>
            <w:tcW w:w="1275" w:type="dxa"/>
            <w:tcBorders>
              <w:top w:val="nil"/>
              <w:left w:val="nil"/>
              <w:bottom w:val="single" w:color="auto" w:sz="4" w:space="0"/>
              <w:right w:val="single" w:color="auto" w:sz="4" w:space="0"/>
            </w:tcBorders>
            <w:vAlign w:val="center"/>
          </w:tcPr>
          <w:p w14:paraId="1418F29B">
            <w:pPr>
              <w:widowControl/>
              <w:jc w:val="center"/>
              <w:rPr>
                <w:b/>
                <w:bCs/>
                <w:kern w:val="0"/>
                <w:sz w:val="18"/>
                <w:szCs w:val="18"/>
              </w:rPr>
            </w:pPr>
            <w:r>
              <w:rPr>
                <w:b/>
                <w:bCs/>
                <w:kern w:val="0"/>
                <w:sz w:val="18"/>
                <w:szCs w:val="18"/>
              </w:rPr>
              <w:t>86000</w:t>
            </w:r>
          </w:p>
        </w:tc>
      </w:tr>
      <w:tr w14:paraId="07536863">
        <w:tblPrEx>
          <w:tblCellMar>
            <w:top w:w="0" w:type="dxa"/>
            <w:left w:w="108" w:type="dxa"/>
            <w:bottom w:w="0" w:type="dxa"/>
            <w:right w:w="108" w:type="dxa"/>
          </w:tblCellMar>
        </w:tblPrEx>
        <w:trPr>
          <w:trHeight w:val="315" w:hRule="atLeast"/>
        </w:trPr>
        <w:tc>
          <w:tcPr>
            <w:tcW w:w="640" w:type="dxa"/>
            <w:vMerge w:val="restart"/>
            <w:tcBorders>
              <w:top w:val="nil"/>
              <w:left w:val="single" w:color="auto" w:sz="4" w:space="0"/>
              <w:bottom w:val="single" w:color="auto" w:sz="4" w:space="0"/>
              <w:right w:val="single" w:color="auto" w:sz="4" w:space="0"/>
            </w:tcBorders>
            <w:vAlign w:val="center"/>
          </w:tcPr>
          <w:p w14:paraId="0DDF5D99">
            <w:pPr>
              <w:widowControl/>
              <w:jc w:val="center"/>
              <w:rPr>
                <w:b/>
                <w:bCs/>
                <w:kern w:val="0"/>
                <w:sz w:val="18"/>
                <w:szCs w:val="18"/>
              </w:rPr>
            </w:pPr>
            <w:r>
              <w:rPr>
                <w:b/>
                <w:bCs/>
                <w:kern w:val="0"/>
                <w:sz w:val="18"/>
                <w:szCs w:val="18"/>
              </w:rPr>
              <w:t>4</w:t>
            </w:r>
          </w:p>
        </w:tc>
        <w:tc>
          <w:tcPr>
            <w:tcW w:w="1200" w:type="dxa"/>
            <w:vMerge w:val="restart"/>
            <w:tcBorders>
              <w:top w:val="nil"/>
              <w:left w:val="single" w:color="auto" w:sz="4" w:space="0"/>
              <w:bottom w:val="single" w:color="auto" w:sz="4" w:space="0"/>
              <w:right w:val="single" w:color="auto" w:sz="4" w:space="0"/>
            </w:tcBorders>
            <w:vAlign w:val="center"/>
          </w:tcPr>
          <w:p w14:paraId="4D1674C6">
            <w:pPr>
              <w:widowControl/>
              <w:jc w:val="center"/>
              <w:rPr>
                <w:b/>
                <w:bCs/>
                <w:kern w:val="0"/>
                <w:sz w:val="18"/>
                <w:szCs w:val="18"/>
              </w:rPr>
            </w:pPr>
            <w:r>
              <w:rPr>
                <w:rFonts w:hint="eastAsia" w:ascii="宋体" w:hAnsi="宋体"/>
                <w:b/>
                <w:bCs/>
                <w:kern w:val="0"/>
                <w:sz w:val="18"/>
                <w:szCs w:val="18"/>
              </w:rPr>
              <w:t>经济林产业</w:t>
            </w:r>
          </w:p>
        </w:tc>
        <w:tc>
          <w:tcPr>
            <w:tcW w:w="2130" w:type="dxa"/>
            <w:vMerge w:val="restart"/>
            <w:tcBorders>
              <w:top w:val="nil"/>
              <w:left w:val="single" w:color="auto" w:sz="4" w:space="0"/>
              <w:bottom w:val="single" w:color="auto" w:sz="4" w:space="0"/>
              <w:right w:val="single" w:color="auto" w:sz="4" w:space="0"/>
            </w:tcBorders>
            <w:vAlign w:val="center"/>
          </w:tcPr>
          <w:p w14:paraId="718AA0A0">
            <w:pPr>
              <w:widowControl/>
              <w:jc w:val="center"/>
              <w:rPr>
                <w:kern w:val="0"/>
                <w:sz w:val="18"/>
                <w:szCs w:val="18"/>
              </w:rPr>
            </w:pPr>
            <w:r>
              <w:rPr>
                <w:rFonts w:hint="eastAsia" w:ascii="宋体" w:hAnsi="宋体"/>
                <w:kern w:val="0"/>
                <w:sz w:val="18"/>
                <w:szCs w:val="18"/>
              </w:rPr>
              <w:t>（</w:t>
            </w:r>
            <w:r>
              <w:rPr>
                <w:kern w:val="0"/>
                <w:sz w:val="18"/>
                <w:szCs w:val="18"/>
              </w:rPr>
              <w:t>16</w:t>
            </w:r>
            <w:r>
              <w:rPr>
                <w:rFonts w:hint="eastAsia" w:ascii="宋体" w:hAnsi="宋体"/>
                <w:kern w:val="0"/>
                <w:sz w:val="18"/>
                <w:szCs w:val="18"/>
              </w:rPr>
              <w:t>）产学研相结合</w:t>
            </w:r>
          </w:p>
        </w:tc>
        <w:tc>
          <w:tcPr>
            <w:tcW w:w="2126" w:type="dxa"/>
            <w:tcBorders>
              <w:top w:val="nil"/>
              <w:left w:val="nil"/>
              <w:bottom w:val="single" w:color="auto" w:sz="4" w:space="0"/>
              <w:right w:val="single" w:color="auto" w:sz="4" w:space="0"/>
            </w:tcBorders>
            <w:vAlign w:val="center"/>
          </w:tcPr>
          <w:p w14:paraId="6E410C03">
            <w:pPr>
              <w:widowControl/>
              <w:jc w:val="center"/>
              <w:rPr>
                <w:kern w:val="0"/>
                <w:sz w:val="18"/>
                <w:szCs w:val="18"/>
              </w:rPr>
            </w:pPr>
            <w:r>
              <w:rPr>
                <w:rFonts w:hint="eastAsia" w:ascii="宋体" w:hAnsi="宋体"/>
                <w:kern w:val="0"/>
                <w:sz w:val="18"/>
                <w:szCs w:val="18"/>
              </w:rPr>
              <w:t>提高经济林产品质量和产量</w:t>
            </w:r>
          </w:p>
        </w:tc>
        <w:tc>
          <w:tcPr>
            <w:tcW w:w="1985" w:type="dxa"/>
            <w:vMerge w:val="restart"/>
            <w:tcBorders>
              <w:top w:val="nil"/>
              <w:left w:val="single" w:color="auto" w:sz="4" w:space="0"/>
              <w:bottom w:val="single" w:color="auto" w:sz="4" w:space="0"/>
              <w:right w:val="single" w:color="auto" w:sz="4" w:space="0"/>
            </w:tcBorders>
            <w:vAlign w:val="center"/>
          </w:tcPr>
          <w:p w14:paraId="5076D2E3">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79853BC8">
            <w:pPr>
              <w:widowControl/>
              <w:jc w:val="center"/>
              <w:rPr>
                <w:kern w:val="0"/>
                <w:sz w:val="18"/>
                <w:szCs w:val="18"/>
              </w:rPr>
            </w:pPr>
            <w:r>
              <w:rPr>
                <w:kern w:val="0"/>
                <w:sz w:val="18"/>
                <w:szCs w:val="18"/>
              </w:rPr>
              <w:t>1000</w:t>
            </w:r>
          </w:p>
        </w:tc>
      </w:tr>
      <w:tr w14:paraId="652A99B9">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5D853D7">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77152995">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01E9281A">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68B4215E">
            <w:pPr>
              <w:widowControl/>
              <w:jc w:val="center"/>
              <w:rPr>
                <w:kern w:val="0"/>
                <w:sz w:val="18"/>
                <w:szCs w:val="18"/>
              </w:rPr>
            </w:pPr>
            <w:r>
              <w:rPr>
                <w:rFonts w:hint="eastAsia" w:ascii="宋体" w:hAnsi="宋体"/>
                <w:kern w:val="0"/>
                <w:sz w:val="18"/>
                <w:szCs w:val="18"/>
              </w:rPr>
              <w:t>加大槟榔病虫害防治体系的科研投入</w:t>
            </w:r>
          </w:p>
        </w:tc>
        <w:tc>
          <w:tcPr>
            <w:tcW w:w="1985" w:type="dxa"/>
            <w:vMerge w:val="continue"/>
            <w:tcBorders>
              <w:top w:val="nil"/>
              <w:left w:val="single" w:color="auto" w:sz="4" w:space="0"/>
              <w:bottom w:val="single" w:color="auto" w:sz="4" w:space="0"/>
              <w:right w:val="single" w:color="auto" w:sz="4" w:space="0"/>
            </w:tcBorders>
            <w:vAlign w:val="center"/>
          </w:tcPr>
          <w:p w14:paraId="61710EA2">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494B3484">
            <w:pPr>
              <w:widowControl/>
              <w:jc w:val="center"/>
              <w:rPr>
                <w:kern w:val="0"/>
                <w:sz w:val="18"/>
                <w:szCs w:val="18"/>
              </w:rPr>
            </w:pPr>
            <w:r>
              <w:rPr>
                <w:kern w:val="0"/>
                <w:sz w:val="18"/>
                <w:szCs w:val="18"/>
              </w:rPr>
              <w:t>3000</w:t>
            </w:r>
          </w:p>
        </w:tc>
      </w:tr>
      <w:tr w14:paraId="2C8079AE">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E582C05">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79D7F2E">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4024C680">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5DDFFE94">
            <w:pPr>
              <w:widowControl/>
              <w:jc w:val="center"/>
              <w:rPr>
                <w:kern w:val="0"/>
                <w:sz w:val="18"/>
                <w:szCs w:val="18"/>
              </w:rPr>
            </w:pPr>
            <w:r>
              <w:rPr>
                <w:rFonts w:hint="eastAsia" w:ascii="宋体" w:hAnsi="宋体"/>
                <w:kern w:val="0"/>
                <w:sz w:val="18"/>
                <w:szCs w:val="18"/>
              </w:rPr>
              <w:t>增加对椰子产业的科研投入</w:t>
            </w:r>
          </w:p>
        </w:tc>
        <w:tc>
          <w:tcPr>
            <w:tcW w:w="1985" w:type="dxa"/>
            <w:vMerge w:val="continue"/>
            <w:tcBorders>
              <w:top w:val="nil"/>
              <w:left w:val="single" w:color="auto" w:sz="4" w:space="0"/>
              <w:bottom w:val="single" w:color="auto" w:sz="4" w:space="0"/>
              <w:right w:val="single" w:color="auto" w:sz="4" w:space="0"/>
            </w:tcBorders>
            <w:vAlign w:val="center"/>
          </w:tcPr>
          <w:p w14:paraId="75366B0C">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43B5B228">
            <w:pPr>
              <w:widowControl/>
              <w:jc w:val="center"/>
              <w:rPr>
                <w:kern w:val="0"/>
                <w:sz w:val="18"/>
                <w:szCs w:val="18"/>
              </w:rPr>
            </w:pPr>
            <w:r>
              <w:rPr>
                <w:kern w:val="0"/>
                <w:sz w:val="18"/>
                <w:szCs w:val="18"/>
              </w:rPr>
              <w:t>1000</w:t>
            </w:r>
          </w:p>
        </w:tc>
      </w:tr>
      <w:tr w14:paraId="0C1BD51F">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7C8D72F">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EF41125">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0442A7F0">
            <w:pPr>
              <w:widowControl/>
              <w:jc w:val="center"/>
              <w:rPr>
                <w:kern w:val="0"/>
                <w:sz w:val="18"/>
                <w:szCs w:val="18"/>
              </w:rPr>
            </w:pPr>
            <w:r>
              <w:rPr>
                <w:rFonts w:hint="eastAsia" w:ascii="宋体" w:hAnsi="宋体"/>
                <w:kern w:val="0"/>
                <w:sz w:val="18"/>
                <w:szCs w:val="18"/>
              </w:rPr>
              <w:t>（</w:t>
            </w:r>
            <w:r>
              <w:rPr>
                <w:kern w:val="0"/>
                <w:sz w:val="18"/>
                <w:szCs w:val="18"/>
              </w:rPr>
              <w:t>17</w:t>
            </w:r>
            <w:r>
              <w:rPr>
                <w:rFonts w:hint="eastAsia" w:ascii="宋体" w:hAnsi="宋体"/>
                <w:kern w:val="0"/>
                <w:sz w:val="18"/>
                <w:szCs w:val="18"/>
              </w:rPr>
              <w:t>）改造低产经济林工程</w:t>
            </w:r>
          </w:p>
        </w:tc>
        <w:tc>
          <w:tcPr>
            <w:tcW w:w="2126" w:type="dxa"/>
            <w:tcBorders>
              <w:top w:val="nil"/>
              <w:left w:val="nil"/>
              <w:bottom w:val="single" w:color="auto" w:sz="4" w:space="0"/>
              <w:right w:val="single" w:color="auto" w:sz="4" w:space="0"/>
            </w:tcBorders>
            <w:vAlign w:val="center"/>
          </w:tcPr>
          <w:p w14:paraId="0C316075">
            <w:pPr>
              <w:widowControl/>
              <w:jc w:val="center"/>
              <w:rPr>
                <w:kern w:val="0"/>
                <w:sz w:val="18"/>
                <w:szCs w:val="18"/>
              </w:rPr>
            </w:pPr>
            <w:r>
              <w:rPr>
                <w:rFonts w:hint="eastAsia" w:ascii="宋体" w:hAnsi="宋体"/>
                <w:kern w:val="0"/>
                <w:sz w:val="18"/>
                <w:szCs w:val="18"/>
              </w:rPr>
              <w:t>改造部分低产芒果园</w:t>
            </w:r>
          </w:p>
        </w:tc>
        <w:tc>
          <w:tcPr>
            <w:tcW w:w="1985" w:type="dxa"/>
            <w:vMerge w:val="restart"/>
            <w:tcBorders>
              <w:top w:val="nil"/>
              <w:left w:val="single" w:color="auto" w:sz="4" w:space="0"/>
              <w:bottom w:val="single" w:color="auto" w:sz="4" w:space="0"/>
              <w:right w:val="single" w:color="auto" w:sz="4" w:space="0"/>
            </w:tcBorders>
            <w:vAlign w:val="center"/>
          </w:tcPr>
          <w:p w14:paraId="5D4E19CE">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1840E19C">
            <w:pPr>
              <w:widowControl/>
              <w:jc w:val="center"/>
              <w:rPr>
                <w:kern w:val="0"/>
                <w:sz w:val="18"/>
                <w:szCs w:val="18"/>
              </w:rPr>
            </w:pPr>
            <w:r>
              <w:rPr>
                <w:kern w:val="0"/>
                <w:sz w:val="18"/>
                <w:szCs w:val="18"/>
              </w:rPr>
              <w:t>15000</w:t>
            </w:r>
          </w:p>
        </w:tc>
      </w:tr>
      <w:tr w14:paraId="244E2CA7">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22CBC9A0">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7F02BDE9">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273C9C17">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5B3CEF5A">
            <w:pPr>
              <w:widowControl/>
              <w:jc w:val="center"/>
              <w:rPr>
                <w:kern w:val="0"/>
                <w:sz w:val="18"/>
                <w:szCs w:val="18"/>
              </w:rPr>
            </w:pPr>
            <w:r>
              <w:rPr>
                <w:rFonts w:hint="eastAsia" w:ascii="宋体" w:hAnsi="宋体"/>
                <w:kern w:val="0"/>
                <w:sz w:val="18"/>
                <w:szCs w:val="18"/>
              </w:rPr>
              <w:t>改造低产槟榔</w:t>
            </w:r>
          </w:p>
        </w:tc>
        <w:tc>
          <w:tcPr>
            <w:tcW w:w="1985" w:type="dxa"/>
            <w:vMerge w:val="continue"/>
            <w:tcBorders>
              <w:top w:val="nil"/>
              <w:left w:val="single" w:color="auto" w:sz="4" w:space="0"/>
              <w:bottom w:val="single" w:color="auto" w:sz="4" w:space="0"/>
              <w:right w:val="single" w:color="auto" w:sz="4" w:space="0"/>
            </w:tcBorders>
            <w:vAlign w:val="center"/>
          </w:tcPr>
          <w:p w14:paraId="4BB73719">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4EC98708">
            <w:pPr>
              <w:widowControl/>
              <w:jc w:val="center"/>
              <w:rPr>
                <w:kern w:val="0"/>
                <w:sz w:val="18"/>
                <w:szCs w:val="18"/>
              </w:rPr>
            </w:pPr>
            <w:r>
              <w:rPr>
                <w:kern w:val="0"/>
                <w:sz w:val="18"/>
                <w:szCs w:val="18"/>
              </w:rPr>
              <w:t>9000</w:t>
            </w:r>
          </w:p>
        </w:tc>
      </w:tr>
      <w:tr w14:paraId="3241869F">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6613C7FA">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FEB9C56">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2CD952E7">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284E4295">
            <w:pPr>
              <w:widowControl/>
              <w:jc w:val="center"/>
              <w:rPr>
                <w:kern w:val="0"/>
                <w:sz w:val="18"/>
                <w:szCs w:val="18"/>
              </w:rPr>
            </w:pPr>
            <w:r>
              <w:rPr>
                <w:rFonts w:hint="eastAsia" w:ascii="宋体" w:hAnsi="宋体"/>
                <w:kern w:val="0"/>
                <w:sz w:val="18"/>
                <w:szCs w:val="18"/>
              </w:rPr>
              <w:t>扩大椰子种植面积</w:t>
            </w:r>
          </w:p>
        </w:tc>
        <w:tc>
          <w:tcPr>
            <w:tcW w:w="1985" w:type="dxa"/>
            <w:vMerge w:val="continue"/>
            <w:tcBorders>
              <w:top w:val="nil"/>
              <w:left w:val="single" w:color="auto" w:sz="4" w:space="0"/>
              <w:bottom w:val="single" w:color="auto" w:sz="4" w:space="0"/>
              <w:right w:val="single" w:color="auto" w:sz="4" w:space="0"/>
            </w:tcBorders>
            <w:vAlign w:val="center"/>
          </w:tcPr>
          <w:p w14:paraId="5D5D1FB9">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5896F4FE">
            <w:pPr>
              <w:widowControl/>
              <w:jc w:val="center"/>
              <w:rPr>
                <w:kern w:val="0"/>
                <w:sz w:val="18"/>
                <w:szCs w:val="18"/>
              </w:rPr>
            </w:pPr>
            <w:r>
              <w:rPr>
                <w:kern w:val="0"/>
                <w:sz w:val="18"/>
                <w:szCs w:val="18"/>
              </w:rPr>
              <w:t>17500</w:t>
            </w:r>
          </w:p>
        </w:tc>
      </w:tr>
      <w:tr w14:paraId="1591FC38">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16D64D24">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65A2D94">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3C9355E4">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7B52DE79">
            <w:pPr>
              <w:widowControl/>
              <w:jc w:val="center"/>
              <w:rPr>
                <w:kern w:val="0"/>
                <w:sz w:val="18"/>
                <w:szCs w:val="18"/>
              </w:rPr>
            </w:pPr>
            <w:r>
              <w:rPr>
                <w:rFonts w:hint="eastAsia" w:ascii="宋体" w:hAnsi="宋体"/>
                <w:kern w:val="0"/>
                <w:sz w:val="18"/>
                <w:szCs w:val="18"/>
              </w:rPr>
              <w:t>建设现代标准化示范胶园</w:t>
            </w:r>
          </w:p>
        </w:tc>
        <w:tc>
          <w:tcPr>
            <w:tcW w:w="1985" w:type="dxa"/>
            <w:vMerge w:val="continue"/>
            <w:tcBorders>
              <w:top w:val="nil"/>
              <w:left w:val="single" w:color="auto" w:sz="4" w:space="0"/>
              <w:bottom w:val="single" w:color="auto" w:sz="4" w:space="0"/>
              <w:right w:val="single" w:color="auto" w:sz="4" w:space="0"/>
            </w:tcBorders>
            <w:vAlign w:val="center"/>
          </w:tcPr>
          <w:p w14:paraId="352DAF36">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34A769C8">
            <w:pPr>
              <w:widowControl/>
              <w:jc w:val="center"/>
              <w:rPr>
                <w:kern w:val="0"/>
                <w:sz w:val="18"/>
                <w:szCs w:val="18"/>
              </w:rPr>
            </w:pPr>
            <w:r>
              <w:rPr>
                <w:kern w:val="0"/>
                <w:sz w:val="18"/>
                <w:szCs w:val="18"/>
              </w:rPr>
              <w:t>4000</w:t>
            </w:r>
          </w:p>
        </w:tc>
      </w:tr>
      <w:tr w14:paraId="39A539FB">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1C85ACAA">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F3DB1B3">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0CD705DC">
            <w:pPr>
              <w:widowControl/>
              <w:jc w:val="center"/>
              <w:rPr>
                <w:kern w:val="0"/>
                <w:sz w:val="18"/>
                <w:szCs w:val="18"/>
              </w:rPr>
            </w:pPr>
            <w:r>
              <w:rPr>
                <w:rFonts w:hint="eastAsia" w:ascii="宋体" w:hAnsi="宋体"/>
                <w:kern w:val="0"/>
                <w:sz w:val="18"/>
                <w:szCs w:val="18"/>
              </w:rPr>
              <w:t>（</w:t>
            </w:r>
            <w:r>
              <w:rPr>
                <w:kern w:val="0"/>
                <w:sz w:val="18"/>
                <w:szCs w:val="18"/>
              </w:rPr>
              <w:t>18</w:t>
            </w:r>
            <w:r>
              <w:rPr>
                <w:rFonts w:hint="eastAsia" w:ascii="宋体" w:hAnsi="宋体"/>
                <w:kern w:val="0"/>
                <w:sz w:val="18"/>
                <w:szCs w:val="18"/>
              </w:rPr>
              <w:t>）经济林改生态林</w:t>
            </w:r>
          </w:p>
        </w:tc>
        <w:tc>
          <w:tcPr>
            <w:tcW w:w="2126" w:type="dxa"/>
            <w:tcBorders>
              <w:top w:val="nil"/>
              <w:left w:val="nil"/>
              <w:bottom w:val="single" w:color="auto" w:sz="4" w:space="0"/>
              <w:right w:val="single" w:color="auto" w:sz="4" w:space="0"/>
            </w:tcBorders>
            <w:vAlign w:val="center"/>
          </w:tcPr>
          <w:p w14:paraId="300876A1">
            <w:pPr>
              <w:widowControl/>
              <w:jc w:val="center"/>
              <w:rPr>
                <w:kern w:val="0"/>
                <w:sz w:val="18"/>
                <w:szCs w:val="18"/>
              </w:rPr>
            </w:pPr>
            <w:r>
              <w:rPr>
                <w:rFonts w:hint="eastAsia" w:ascii="宋体" w:hAnsi="宋体"/>
                <w:kern w:val="0"/>
                <w:sz w:val="18"/>
                <w:szCs w:val="18"/>
              </w:rPr>
              <w:t>重要饮用水源地经济林退还生态林</w:t>
            </w:r>
          </w:p>
        </w:tc>
        <w:tc>
          <w:tcPr>
            <w:tcW w:w="1985" w:type="dxa"/>
            <w:tcBorders>
              <w:top w:val="nil"/>
              <w:left w:val="nil"/>
              <w:bottom w:val="single" w:color="auto" w:sz="4" w:space="0"/>
              <w:right w:val="single" w:color="auto" w:sz="4" w:space="0"/>
            </w:tcBorders>
            <w:vAlign w:val="center"/>
          </w:tcPr>
          <w:p w14:paraId="4FBBD0AF">
            <w:pPr>
              <w:widowControl/>
              <w:jc w:val="center"/>
              <w:rPr>
                <w:kern w:val="0"/>
                <w:sz w:val="18"/>
                <w:szCs w:val="18"/>
              </w:rPr>
            </w:pPr>
            <w:r>
              <w:rPr>
                <w:rFonts w:hint="eastAsia" w:ascii="宋体" w:hAnsi="宋体"/>
                <w:kern w:val="0"/>
                <w:sz w:val="18"/>
                <w:szCs w:val="18"/>
              </w:rPr>
              <w:t>重要饮用水库</w:t>
            </w:r>
          </w:p>
        </w:tc>
        <w:tc>
          <w:tcPr>
            <w:tcW w:w="1275" w:type="dxa"/>
            <w:tcBorders>
              <w:top w:val="nil"/>
              <w:left w:val="nil"/>
              <w:bottom w:val="single" w:color="auto" w:sz="4" w:space="0"/>
              <w:right w:val="single" w:color="auto" w:sz="4" w:space="0"/>
            </w:tcBorders>
            <w:vAlign w:val="center"/>
          </w:tcPr>
          <w:p w14:paraId="7341AD60">
            <w:pPr>
              <w:widowControl/>
              <w:jc w:val="center"/>
              <w:rPr>
                <w:kern w:val="0"/>
                <w:sz w:val="18"/>
                <w:szCs w:val="18"/>
              </w:rPr>
            </w:pPr>
            <w:r>
              <w:rPr>
                <w:kern w:val="0"/>
                <w:sz w:val="18"/>
                <w:szCs w:val="18"/>
              </w:rPr>
              <w:t>42000</w:t>
            </w:r>
          </w:p>
        </w:tc>
      </w:tr>
      <w:tr w14:paraId="15661D5B">
        <w:tblPrEx>
          <w:tblCellMar>
            <w:top w:w="0" w:type="dxa"/>
            <w:left w:w="108" w:type="dxa"/>
            <w:bottom w:w="0" w:type="dxa"/>
            <w:right w:w="108" w:type="dxa"/>
          </w:tblCellMar>
        </w:tblPrEx>
        <w:trPr>
          <w:trHeight w:val="570" w:hRule="atLeast"/>
        </w:trPr>
        <w:tc>
          <w:tcPr>
            <w:tcW w:w="640" w:type="dxa"/>
            <w:vMerge w:val="continue"/>
            <w:tcBorders>
              <w:top w:val="nil"/>
              <w:left w:val="single" w:color="auto" w:sz="4" w:space="0"/>
              <w:bottom w:val="single" w:color="auto" w:sz="4" w:space="0"/>
              <w:right w:val="single" w:color="auto" w:sz="4" w:space="0"/>
            </w:tcBorders>
            <w:vAlign w:val="center"/>
          </w:tcPr>
          <w:p w14:paraId="12AE20A3">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D26C782">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13C0AC35">
            <w:pPr>
              <w:widowControl/>
              <w:jc w:val="center"/>
              <w:rPr>
                <w:kern w:val="0"/>
                <w:sz w:val="18"/>
                <w:szCs w:val="18"/>
              </w:rPr>
            </w:pPr>
            <w:r>
              <w:rPr>
                <w:rFonts w:hint="eastAsia" w:ascii="宋体" w:hAnsi="宋体"/>
                <w:kern w:val="0"/>
                <w:sz w:val="18"/>
                <w:szCs w:val="18"/>
              </w:rPr>
              <w:t>（</w:t>
            </w:r>
            <w:r>
              <w:rPr>
                <w:kern w:val="0"/>
                <w:sz w:val="18"/>
                <w:szCs w:val="18"/>
              </w:rPr>
              <w:t>19</w:t>
            </w:r>
            <w:r>
              <w:rPr>
                <w:rFonts w:hint="eastAsia" w:ascii="宋体" w:hAnsi="宋体"/>
                <w:kern w:val="0"/>
                <w:sz w:val="18"/>
                <w:szCs w:val="18"/>
              </w:rPr>
              <w:t>）经济林产品深加工工程</w:t>
            </w:r>
          </w:p>
        </w:tc>
        <w:tc>
          <w:tcPr>
            <w:tcW w:w="2126" w:type="dxa"/>
            <w:tcBorders>
              <w:top w:val="nil"/>
              <w:left w:val="nil"/>
              <w:bottom w:val="single" w:color="auto" w:sz="4" w:space="0"/>
              <w:right w:val="single" w:color="auto" w:sz="4" w:space="0"/>
            </w:tcBorders>
            <w:vAlign w:val="center"/>
          </w:tcPr>
          <w:p w14:paraId="619B28E5">
            <w:pPr>
              <w:widowControl/>
              <w:jc w:val="center"/>
              <w:rPr>
                <w:kern w:val="0"/>
                <w:sz w:val="18"/>
                <w:szCs w:val="18"/>
              </w:rPr>
            </w:pPr>
            <w:r>
              <w:rPr>
                <w:kern w:val="0"/>
                <w:sz w:val="18"/>
                <w:szCs w:val="18"/>
              </w:rPr>
              <w:t>芒果产品深加工基地</w:t>
            </w:r>
          </w:p>
        </w:tc>
        <w:tc>
          <w:tcPr>
            <w:tcW w:w="1985" w:type="dxa"/>
            <w:tcBorders>
              <w:top w:val="nil"/>
              <w:left w:val="nil"/>
              <w:bottom w:val="single" w:color="auto" w:sz="4" w:space="0"/>
              <w:right w:val="single" w:color="auto" w:sz="4" w:space="0"/>
            </w:tcBorders>
            <w:vAlign w:val="center"/>
          </w:tcPr>
          <w:p w14:paraId="187CC983">
            <w:pPr>
              <w:widowControl/>
              <w:jc w:val="center"/>
              <w:rPr>
                <w:kern w:val="0"/>
                <w:sz w:val="18"/>
                <w:szCs w:val="18"/>
              </w:rPr>
            </w:pPr>
            <w:r>
              <w:rPr>
                <w:kern w:val="0"/>
                <w:sz w:val="18"/>
                <w:szCs w:val="18"/>
              </w:rPr>
              <w:t>——</w:t>
            </w:r>
          </w:p>
        </w:tc>
        <w:tc>
          <w:tcPr>
            <w:tcW w:w="1275" w:type="dxa"/>
            <w:tcBorders>
              <w:top w:val="nil"/>
              <w:left w:val="nil"/>
              <w:bottom w:val="single" w:color="auto" w:sz="4" w:space="0"/>
              <w:right w:val="single" w:color="auto" w:sz="4" w:space="0"/>
            </w:tcBorders>
            <w:vAlign w:val="center"/>
          </w:tcPr>
          <w:p w14:paraId="064B64C9">
            <w:pPr>
              <w:widowControl/>
              <w:jc w:val="center"/>
              <w:rPr>
                <w:kern w:val="0"/>
                <w:sz w:val="18"/>
                <w:szCs w:val="18"/>
              </w:rPr>
            </w:pPr>
            <w:r>
              <w:rPr>
                <w:kern w:val="0"/>
                <w:sz w:val="18"/>
                <w:szCs w:val="18"/>
              </w:rPr>
              <w:t>2000</w:t>
            </w:r>
          </w:p>
        </w:tc>
      </w:tr>
      <w:tr w14:paraId="723A29B4">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0980F797">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3A712EE">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2B8DFB58">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00F0325E">
            <w:pPr>
              <w:widowControl/>
              <w:jc w:val="center"/>
              <w:rPr>
                <w:kern w:val="0"/>
                <w:sz w:val="18"/>
                <w:szCs w:val="18"/>
              </w:rPr>
            </w:pPr>
            <w:r>
              <w:rPr>
                <w:kern w:val="0"/>
                <w:sz w:val="18"/>
                <w:szCs w:val="18"/>
              </w:rPr>
              <w:t>培育槟榔精深加工企业</w:t>
            </w:r>
          </w:p>
        </w:tc>
        <w:tc>
          <w:tcPr>
            <w:tcW w:w="1985" w:type="dxa"/>
            <w:tcBorders>
              <w:top w:val="nil"/>
              <w:left w:val="nil"/>
              <w:bottom w:val="single" w:color="auto" w:sz="4" w:space="0"/>
              <w:right w:val="single" w:color="auto" w:sz="4" w:space="0"/>
            </w:tcBorders>
            <w:vAlign w:val="center"/>
          </w:tcPr>
          <w:p w14:paraId="19C8F9FF">
            <w:pPr>
              <w:widowControl/>
              <w:jc w:val="center"/>
              <w:rPr>
                <w:kern w:val="0"/>
                <w:sz w:val="18"/>
                <w:szCs w:val="18"/>
              </w:rPr>
            </w:pPr>
            <w:r>
              <w:rPr>
                <w:kern w:val="0"/>
                <w:sz w:val="18"/>
                <w:szCs w:val="18"/>
              </w:rPr>
              <w:t>——</w:t>
            </w:r>
          </w:p>
        </w:tc>
        <w:tc>
          <w:tcPr>
            <w:tcW w:w="1275" w:type="dxa"/>
            <w:tcBorders>
              <w:top w:val="nil"/>
              <w:left w:val="nil"/>
              <w:bottom w:val="single" w:color="auto" w:sz="4" w:space="0"/>
              <w:right w:val="single" w:color="auto" w:sz="4" w:space="0"/>
            </w:tcBorders>
            <w:vAlign w:val="center"/>
          </w:tcPr>
          <w:p w14:paraId="4E2B67CE">
            <w:pPr>
              <w:widowControl/>
              <w:jc w:val="center"/>
              <w:rPr>
                <w:kern w:val="0"/>
                <w:sz w:val="18"/>
                <w:szCs w:val="18"/>
              </w:rPr>
            </w:pPr>
            <w:r>
              <w:rPr>
                <w:kern w:val="0"/>
                <w:sz w:val="18"/>
                <w:szCs w:val="18"/>
              </w:rPr>
              <w:t>7000</w:t>
            </w:r>
          </w:p>
        </w:tc>
      </w:tr>
      <w:tr w14:paraId="521AFDD4">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3C5EDB12">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E0724F9">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1322195C">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1E339B0B">
            <w:pPr>
              <w:widowControl/>
              <w:jc w:val="center"/>
              <w:rPr>
                <w:kern w:val="0"/>
                <w:sz w:val="18"/>
                <w:szCs w:val="18"/>
              </w:rPr>
            </w:pPr>
            <w:r>
              <w:rPr>
                <w:rFonts w:hint="eastAsia" w:ascii="宋体" w:hAnsi="宋体"/>
                <w:kern w:val="0"/>
                <w:sz w:val="18"/>
                <w:szCs w:val="18"/>
              </w:rPr>
              <w:t>培育椰子精深加工企业</w:t>
            </w:r>
          </w:p>
        </w:tc>
        <w:tc>
          <w:tcPr>
            <w:tcW w:w="1985" w:type="dxa"/>
            <w:tcBorders>
              <w:top w:val="nil"/>
              <w:left w:val="nil"/>
              <w:bottom w:val="single" w:color="auto" w:sz="4" w:space="0"/>
              <w:right w:val="single" w:color="auto" w:sz="4" w:space="0"/>
            </w:tcBorders>
            <w:vAlign w:val="center"/>
          </w:tcPr>
          <w:p w14:paraId="3CCFA673">
            <w:pPr>
              <w:widowControl/>
              <w:jc w:val="center"/>
              <w:rPr>
                <w:kern w:val="0"/>
                <w:sz w:val="18"/>
                <w:szCs w:val="18"/>
              </w:rPr>
            </w:pPr>
            <w:r>
              <w:rPr>
                <w:kern w:val="0"/>
                <w:sz w:val="18"/>
                <w:szCs w:val="18"/>
              </w:rPr>
              <w:t>——</w:t>
            </w:r>
          </w:p>
        </w:tc>
        <w:tc>
          <w:tcPr>
            <w:tcW w:w="1275" w:type="dxa"/>
            <w:tcBorders>
              <w:top w:val="nil"/>
              <w:left w:val="nil"/>
              <w:bottom w:val="single" w:color="auto" w:sz="4" w:space="0"/>
              <w:right w:val="single" w:color="auto" w:sz="4" w:space="0"/>
            </w:tcBorders>
            <w:vAlign w:val="center"/>
          </w:tcPr>
          <w:p w14:paraId="05315F20">
            <w:pPr>
              <w:widowControl/>
              <w:jc w:val="center"/>
              <w:rPr>
                <w:kern w:val="0"/>
                <w:sz w:val="18"/>
                <w:szCs w:val="18"/>
              </w:rPr>
            </w:pPr>
            <w:r>
              <w:rPr>
                <w:kern w:val="0"/>
                <w:sz w:val="18"/>
                <w:szCs w:val="18"/>
              </w:rPr>
              <w:t>6000</w:t>
            </w:r>
          </w:p>
        </w:tc>
      </w:tr>
      <w:tr w14:paraId="6C4FDEEB">
        <w:tblPrEx>
          <w:tblCellMar>
            <w:top w:w="0" w:type="dxa"/>
            <w:left w:w="108" w:type="dxa"/>
            <w:bottom w:w="0" w:type="dxa"/>
            <w:right w:w="108" w:type="dxa"/>
          </w:tblCellMar>
        </w:tblPrEx>
        <w:trPr>
          <w:trHeight w:val="570" w:hRule="atLeast"/>
        </w:trPr>
        <w:tc>
          <w:tcPr>
            <w:tcW w:w="640" w:type="dxa"/>
            <w:vMerge w:val="continue"/>
            <w:tcBorders>
              <w:top w:val="nil"/>
              <w:left w:val="single" w:color="auto" w:sz="4" w:space="0"/>
              <w:bottom w:val="single" w:color="auto" w:sz="4" w:space="0"/>
              <w:right w:val="single" w:color="auto" w:sz="4" w:space="0"/>
            </w:tcBorders>
            <w:vAlign w:val="center"/>
          </w:tcPr>
          <w:p w14:paraId="7088987C">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34ED185">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41C8BA8D">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4CA987E4">
            <w:pPr>
              <w:widowControl/>
              <w:jc w:val="center"/>
              <w:rPr>
                <w:kern w:val="0"/>
                <w:sz w:val="18"/>
                <w:szCs w:val="18"/>
              </w:rPr>
            </w:pPr>
            <w:r>
              <w:rPr>
                <w:rFonts w:hint="eastAsia" w:ascii="宋体" w:hAnsi="宋体"/>
                <w:kern w:val="0"/>
                <w:sz w:val="18"/>
                <w:szCs w:val="18"/>
              </w:rPr>
              <w:t>培育以天然橡胶生产或初加工为主的龙头企业</w:t>
            </w:r>
          </w:p>
        </w:tc>
        <w:tc>
          <w:tcPr>
            <w:tcW w:w="1985" w:type="dxa"/>
            <w:tcBorders>
              <w:top w:val="nil"/>
              <w:left w:val="nil"/>
              <w:bottom w:val="single" w:color="auto" w:sz="4" w:space="0"/>
              <w:right w:val="single" w:color="auto" w:sz="4" w:space="0"/>
            </w:tcBorders>
            <w:vAlign w:val="center"/>
          </w:tcPr>
          <w:p w14:paraId="1ECF1969">
            <w:pPr>
              <w:widowControl/>
              <w:jc w:val="center"/>
              <w:rPr>
                <w:kern w:val="0"/>
                <w:sz w:val="18"/>
                <w:szCs w:val="18"/>
              </w:rPr>
            </w:pPr>
            <w:r>
              <w:rPr>
                <w:kern w:val="0"/>
                <w:sz w:val="18"/>
                <w:szCs w:val="18"/>
              </w:rPr>
              <w:t>——</w:t>
            </w:r>
          </w:p>
        </w:tc>
        <w:tc>
          <w:tcPr>
            <w:tcW w:w="1275" w:type="dxa"/>
            <w:tcBorders>
              <w:top w:val="nil"/>
              <w:left w:val="nil"/>
              <w:bottom w:val="single" w:color="auto" w:sz="4" w:space="0"/>
              <w:right w:val="single" w:color="auto" w:sz="4" w:space="0"/>
            </w:tcBorders>
            <w:vAlign w:val="center"/>
          </w:tcPr>
          <w:p w14:paraId="0A0E93FC">
            <w:pPr>
              <w:widowControl/>
              <w:jc w:val="center"/>
              <w:rPr>
                <w:kern w:val="0"/>
                <w:sz w:val="18"/>
                <w:szCs w:val="18"/>
              </w:rPr>
            </w:pPr>
            <w:r>
              <w:rPr>
                <w:kern w:val="0"/>
                <w:sz w:val="18"/>
                <w:szCs w:val="18"/>
              </w:rPr>
              <w:t>4000</w:t>
            </w:r>
          </w:p>
        </w:tc>
      </w:tr>
      <w:tr w14:paraId="7089DEC9">
        <w:tblPrEx>
          <w:tblCellMar>
            <w:top w:w="0" w:type="dxa"/>
            <w:left w:w="108" w:type="dxa"/>
            <w:bottom w:w="0" w:type="dxa"/>
            <w:right w:w="108" w:type="dxa"/>
          </w:tblCellMar>
        </w:tblPrEx>
        <w:trPr>
          <w:trHeight w:val="600" w:hRule="atLeast"/>
        </w:trPr>
        <w:tc>
          <w:tcPr>
            <w:tcW w:w="640" w:type="dxa"/>
            <w:vMerge w:val="continue"/>
            <w:tcBorders>
              <w:top w:val="nil"/>
              <w:left w:val="single" w:color="auto" w:sz="4" w:space="0"/>
              <w:bottom w:val="single" w:color="auto" w:sz="4" w:space="0"/>
              <w:right w:val="single" w:color="auto" w:sz="4" w:space="0"/>
            </w:tcBorders>
            <w:vAlign w:val="center"/>
          </w:tcPr>
          <w:p w14:paraId="4F27DC4D">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73B446C">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47BCC3E4">
            <w:pPr>
              <w:widowControl/>
              <w:jc w:val="center"/>
              <w:rPr>
                <w:kern w:val="0"/>
                <w:sz w:val="18"/>
                <w:szCs w:val="18"/>
              </w:rPr>
            </w:pPr>
            <w:r>
              <w:rPr>
                <w:rFonts w:hint="eastAsia" w:ascii="宋体" w:hAnsi="宋体"/>
                <w:kern w:val="0"/>
                <w:sz w:val="18"/>
                <w:szCs w:val="18"/>
              </w:rPr>
              <w:t>（</w:t>
            </w:r>
            <w:r>
              <w:rPr>
                <w:kern w:val="0"/>
                <w:sz w:val="18"/>
                <w:szCs w:val="18"/>
              </w:rPr>
              <w:t>20</w:t>
            </w:r>
            <w:r>
              <w:rPr>
                <w:rFonts w:hint="eastAsia" w:ascii="宋体" w:hAnsi="宋体"/>
                <w:kern w:val="0"/>
                <w:sz w:val="18"/>
                <w:szCs w:val="18"/>
              </w:rPr>
              <w:t>）特色热带水果示范园建设工程</w:t>
            </w:r>
          </w:p>
        </w:tc>
        <w:tc>
          <w:tcPr>
            <w:tcW w:w="2126" w:type="dxa"/>
            <w:tcBorders>
              <w:top w:val="nil"/>
              <w:left w:val="nil"/>
              <w:bottom w:val="single" w:color="auto" w:sz="4" w:space="0"/>
              <w:right w:val="single" w:color="auto" w:sz="4" w:space="0"/>
            </w:tcBorders>
            <w:vAlign w:val="center"/>
          </w:tcPr>
          <w:p w14:paraId="2FB3E7CF">
            <w:pPr>
              <w:widowControl/>
              <w:jc w:val="center"/>
              <w:rPr>
                <w:kern w:val="0"/>
                <w:sz w:val="18"/>
                <w:szCs w:val="18"/>
              </w:rPr>
            </w:pPr>
            <w:r>
              <w:rPr>
                <w:rFonts w:hint="eastAsia" w:ascii="宋体" w:hAnsi="宋体"/>
                <w:kern w:val="0"/>
                <w:sz w:val="18"/>
                <w:szCs w:val="18"/>
              </w:rPr>
              <w:t>特色热带水果示范园</w:t>
            </w:r>
          </w:p>
        </w:tc>
        <w:tc>
          <w:tcPr>
            <w:tcW w:w="1985" w:type="dxa"/>
            <w:tcBorders>
              <w:top w:val="nil"/>
              <w:left w:val="nil"/>
              <w:bottom w:val="single" w:color="auto" w:sz="4" w:space="0"/>
              <w:right w:val="single" w:color="auto" w:sz="4" w:space="0"/>
            </w:tcBorders>
            <w:vAlign w:val="center"/>
          </w:tcPr>
          <w:p w14:paraId="23D0ABD8">
            <w:pPr>
              <w:widowControl/>
              <w:jc w:val="left"/>
              <w:rPr>
                <w:kern w:val="0"/>
                <w:sz w:val="18"/>
                <w:szCs w:val="18"/>
              </w:rPr>
            </w:pPr>
            <w:r>
              <w:rPr>
                <w:kern w:val="0"/>
                <w:sz w:val="18"/>
                <w:szCs w:val="18"/>
              </w:rPr>
              <w:t>　崖州区、海棠区</w:t>
            </w:r>
          </w:p>
        </w:tc>
        <w:tc>
          <w:tcPr>
            <w:tcW w:w="1275" w:type="dxa"/>
            <w:tcBorders>
              <w:top w:val="nil"/>
              <w:left w:val="nil"/>
              <w:bottom w:val="single" w:color="auto" w:sz="4" w:space="0"/>
              <w:right w:val="single" w:color="auto" w:sz="4" w:space="0"/>
            </w:tcBorders>
            <w:vAlign w:val="center"/>
          </w:tcPr>
          <w:p w14:paraId="175D476D">
            <w:pPr>
              <w:widowControl/>
              <w:jc w:val="center"/>
              <w:rPr>
                <w:kern w:val="0"/>
                <w:sz w:val="18"/>
                <w:szCs w:val="18"/>
              </w:rPr>
            </w:pPr>
            <w:r>
              <w:rPr>
                <w:kern w:val="0"/>
                <w:sz w:val="18"/>
                <w:szCs w:val="18"/>
              </w:rPr>
              <w:t>5000</w:t>
            </w:r>
          </w:p>
        </w:tc>
      </w:tr>
      <w:tr w14:paraId="6EFC021D">
        <w:tblPrEx>
          <w:tblCellMar>
            <w:top w:w="0" w:type="dxa"/>
            <w:left w:w="108" w:type="dxa"/>
            <w:bottom w:w="0" w:type="dxa"/>
            <w:right w:w="108" w:type="dxa"/>
          </w:tblCellMar>
        </w:tblPrEx>
        <w:trPr>
          <w:trHeight w:val="570" w:hRule="atLeast"/>
        </w:trPr>
        <w:tc>
          <w:tcPr>
            <w:tcW w:w="640" w:type="dxa"/>
            <w:vMerge w:val="continue"/>
            <w:tcBorders>
              <w:top w:val="nil"/>
              <w:left w:val="single" w:color="auto" w:sz="4" w:space="0"/>
              <w:bottom w:val="single" w:color="auto" w:sz="4" w:space="0"/>
              <w:right w:val="single" w:color="auto" w:sz="4" w:space="0"/>
            </w:tcBorders>
            <w:vAlign w:val="center"/>
          </w:tcPr>
          <w:p w14:paraId="7434BC14">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6203D3C">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3DD9E4EA">
            <w:pPr>
              <w:widowControl/>
              <w:jc w:val="center"/>
              <w:rPr>
                <w:kern w:val="0"/>
                <w:sz w:val="18"/>
                <w:szCs w:val="18"/>
              </w:rPr>
            </w:pPr>
            <w:r>
              <w:rPr>
                <w:rFonts w:hint="eastAsia" w:ascii="宋体" w:hAnsi="宋体"/>
                <w:kern w:val="0"/>
                <w:sz w:val="18"/>
                <w:szCs w:val="18"/>
              </w:rPr>
              <w:t>（</w:t>
            </w:r>
            <w:r>
              <w:rPr>
                <w:kern w:val="0"/>
                <w:sz w:val="18"/>
                <w:szCs w:val="18"/>
              </w:rPr>
              <w:t>21</w:t>
            </w:r>
            <w:r>
              <w:rPr>
                <w:rFonts w:hint="eastAsia" w:ascii="宋体" w:hAnsi="宋体"/>
                <w:kern w:val="0"/>
                <w:sz w:val="18"/>
                <w:szCs w:val="18"/>
              </w:rPr>
              <w:t>）深化一二三产业融合工程</w:t>
            </w:r>
          </w:p>
        </w:tc>
        <w:tc>
          <w:tcPr>
            <w:tcW w:w="2126" w:type="dxa"/>
            <w:tcBorders>
              <w:top w:val="nil"/>
              <w:left w:val="nil"/>
              <w:bottom w:val="single" w:color="auto" w:sz="4" w:space="0"/>
              <w:right w:val="single" w:color="auto" w:sz="4" w:space="0"/>
            </w:tcBorders>
            <w:vAlign w:val="center"/>
          </w:tcPr>
          <w:p w14:paraId="6B2FAEBC">
            <w:pPr>
              <w:widowControl/>
              <w:jc w:val="center"/>
              <w:rPr>
                <w:kern w:val="0"/>
                <w:sz w:val="18"/>
                <w:szCs w:val="18"/>
              </w:rPr>
            </w:pPr>
            <w:r>
              <w:rPr>
                <w:rFonts w:hint="eastAsia" w:ascii="宋体" w:hAnsi="宋体"/>
                <w:kern w:val="0"/>
                <w:sz w:val="18"/>
                <w:szCs w:val="18"/>
              </w:rPr>
              <w:t>以热带水果为主题，多元化发展特色水果</w:t>
            </w:r>
          </w:p>
        </w:tc>
        <w:tc>
          <w:tcPr>
            <w:tcW w:w="1985" w:type="dxa"/>
            <w:tcBorders>
              <w:top w:val="nil"/>
              <w:left w:val="nil"/>
              <w:bottom w:val="single" w:color="auto" w:sz="4" w:space="0"/>
              <w:right w:val="single" w:color="auto" w:sz="4" w:space="0"/>
            </w:tcBorders>
            <w:vAlign w:val="center"/>
          </w:tcPr>
          <w:p w14:paraId="1F4F5850">
            <w:pPr>
              <w:widowControl/>
              <w:jc w:val="center"/>
              <w:rPr>
                <w:kern w:val="0"/>
                <w:sz w:val="18"/>
                <w:szCs w:val="18"/>
              </w:rPr>
            </w:pPr>
            <w:r>
              <w:rPr>
                <w:kern w:val="0"/>
                <w:sz w:val="18"/>
                <w:szCs w:val="18"/>
              </w:rPr>
              <w:t>——</w:t>
            </w:r>
          </w:p>
        </w:tc>
        <w:tc>
          <w:tcPr>
            <w:tcW w:w="1275" w:type="dxa"/>
            <w:tcBorders>
              <w:top w:val="nil"/>
              <w:left w:val="nil"/>
              <w:bottom w:val="single" w:color="auto" w:sz="4" w:space="0"/>
              <w:right w:val="single" w:color="auto" w:sz="4" w:space="0"/>
            </w:tcBorders>
            <w:vAlign w:val="center"/>
          </w:tcPr>
          <w:p w14:paraId="41FBABD6">
            <w:pPr>
              <w:widowControl/>
              <w:jc w:val="center"/>
              <w:rPr>
                <w:kern w:val="0"/>
                <w:sz w:val="18"/>
                <w:szCs w:val="18"/>
              </w:rPr>
            </w:pPr>
            <w:r>
              <w:rPr>
                <w:kern w:val="0"/>
                <w:sz w:val="18"/>
                <w:szCs w:val="18"/>
              </w:rPr>
              <w:t>3000</w:t>
            </w:r>
          </w:p>
        </w:tc>
      </w:tr>
      <w:tr w14:paraId="09DBF53A">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4E9F66A">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E9F1F4B">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29805178">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3AC23E8A">
            <w:pPr>
              <w:widowControl/>
              <w:jc w:val="center"/>
              <w:rPr>
                <w:kern w:val="0"/>
                <w:sz w:val="18"/>
                <w:szCs w:val="18"/>
              </w:rPr>
            </w:pPr>
            <w:r>
              <w:rPr>
                <w:kern w:val="0"/>
                <w:sz w:val="18"/>
                <w:szCs w:val="18"/>
              </w:rPr>
              <w:t>建设以椰子为主题的旅游产业</w:t>
            </w:r>
          </w:p>
        </w:tc>
        <w:tc>
          <w:tcPr>
            <w:tcW w:w="1985" w:type="dxa"/>
            <w:tcBorders>
              <w:top w:val="nil"/>
              <w:left w:val="nil"/>
              <w:bottom w:val="single" w:color="auto" w:sz="4" w:space="0"/>
              <w:right w:val="single" w:color="auto" w:sz="4" w:space="0"/>
            </w:tcBorders>
            <w:vAlign w:val="center"/>
          </w:tcPr>
          <w:p w14:paraId="48E5F4B9">
            <w:pPr>
              <w:widowControl/>
              <w:jc w:val="center"/>
              <w:rPr>
                <w:kern w:val="0"/>
                <w:sz w:val="18"/>
                <w:szCs w:val="18"/>
              </w:rPr>
            </w:pPr>
            <w:r>
              <w:rPr>
                <w:kern w:val="0"/>
                <w:sz w:val="18"/>
                <w:szCs w:val="18"/>
              </w:rPr>
              <w:t>——</w:t>
            </w:r>
          </w:p>
        </w:tc>
        <w:tc>
          <w:tcPr>
            <w:tcW w:w="1275" w:type="dxa"/>
            <w:tcBorders>
              <w:top w:val="nil"/>
              <w:left w:val="nil"/>
              <w:bottom w:val="single" w:color="auto" w:sz="4" w:space="0"/>
              <w:right w:val="single" w:color="auto" w:sz="4" w:space="0"/>
            </w:tcBorders>
            <w:vAlign w:val="center"/>
          </w:tcPr>
          <w:p w14:paraId="38EA26B6">
            <w:pPr>
              <w:widowControl/>
              <w:jc w:val="center"/>
              <w:rPr>
                <w:kern w:val="0"/>
                <w:sz w:val="18"/>
                <w:szCs w:val="18"/>
              </w:rPr>
            </w:pPr>
            <w:r>
              <w:rPr>
                <w:kern w:val="0"/>
                <w:sz w:val="18"/>
                <w:szCs w:val="18"/>
              </w:rPr>
              <w:t>4000</w:t>
            </w:r>
          </w:p>
        </w:tc>
      </w:tr>
      <w:tr w14:paraId="60FC86BE">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65B7521">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DA962A3">
            <w:pPr>
              <w:widowControl/>
              <w:jc w:val="left"/>
              <w:rPr>
                <w:b/>
                <w:bCs/>
                <w:kern w:val="0"/>
                <w:sz w:val="18"/>
                <w:szCs w:val="18"/>
              </w:rPr>
            </w:pPr>
          </w:p>
        </w:tc>
        <w:tc>
          <w:tcPr>
            <w:tcW w:w="6241" w:type="dxa"/>
            <w:gridSpan w:val="3"/>
            <w:tcBorders>
              <w:top w:val="single" w:color="auto" w:sz="4" w:space="0"/>
              <w:left w:val="nil"/>
              <w:bottom w:val="single" w:color="auto" w:sz="4" w:space="0"/>
              <w:right w:val="single" w:color="auto" w:sz="4" w:space="0"/>
            </w:tcBorders>
            <w:vAlign w:val="center"/>
          </w:tcPr>
          <w:p w14:paraId="3639AD0E">
            <w:pPr>
              <w:widowControl/>
              <w:jc w:val="center"/>
              <w:rPr>
                <w:b/>
                <w:bCs/>
                <w:kern w:val="0"/>
                <w:sz w:val="18"/>
                <w:szCs w:val="18"/>
              </w:rPr>
            </w:pPr>
            <w:r>
              <w:rPr>
                <w:rFonts w:hint="eastAsia" w:ascii="宋体" w:hAnsi="宋体"/>
                <w:b/>
                <w:bCs/>
                <w:kern w:val="0"/>
                <w:sz w:val="18"/>
                <w:szCs w:val="18"/>
              </w:rPr>
              <w:t>小计</w:t>
            </w:r>
          </w:p>
        </w:tc>
        <w:tc>
          <w:tcPr>
            <w:tcW w:w="1275" w:type="dxa"/>
            <w:tcBorders>
              <w:top w:val="nil"/>
              <w:left w:val="nil"/>
              <w:bottom w:val="single" w:color="auto" w:sz="4" w:space="0"/>
              <w:right w:val="single" w:color="auto" w:sz="4" w:space="0"/>
            </w:tcBorders>
            <w:vAlign w:val="center"/>
          </w:tcPr>
          <w:p w14:paraId="5DB0C182">
            <w:pPr>
              <w:widowControl/>
              <w:jc w:val="center"/>
              <w:rPr>
                <w:b/>
                <w:bCs/>
                <w:kern w:val="0"/>
                <w:sz w:val="18"/>
                <w:szCs w:val="18"/>
              </w:rPr>
            </w:pPr>
            <w:r>
              <w:rPr>
                <w:b/>
                <w:bCs/>
                <w:kern w:val="0"/>
                <w:sz w:val="18"/>
                <w:szCs w:val="18"/>
              </w:rPr>
              <w:t>123500</w:t>
            </w:r>
          </w:p>
        </w:tc>
      </w:tr>
      <w:tr w14:paraId="643F36A6">
        <w:tblPrEx>
          <w:tblCellMar>
            <w:top w:w="0" w:type="dxa"/>
            <w:left w:w="108" w:type="dxa"/>
            <w:bottom w:w="0" w:type="dxa"/>
            <w:right w:w="108" w:type="dxa"/>
          </w:tblCellMar>
        </w:tblPrEx>
        <w:trPr>
          <w:trHeight w:val="315" w:hRule="atLeast"/>
        </w:trPr>
        <w:tc>
          <w:tcPr>
            <w:tcW w:w="640" w:type="dxa"/>
            <w:vMerge w:val="restart"/>
            <w:tcBorders>
              <w:top w:val="nil"/>
              <w:left w:val="single" w:color="auto" w:sz="4" w:space="0"/>
              <w:bottom w:val="single" w:color="auto" w:sz="4" w:space="0"/>
              <w:right w:val="single" w:color="auto" w:sz="4" w:space="0"/>
            </w:tcBorders>
            <w:vAlign w:val="center"/>
          </w:tcPr>
          <w:p w14:paraId="52CA2427">
            <w:pPr>
              <w:widowControl/>
              <w:jc w:val="center"/>
              <w:rPr>
                <w:kern w:val="0"/>
                <w:sz w:val="18"/>
                <w:szCs w:val="18"/>
              </w:rPr>
            </w:pPr>
            <w:r>
              <w:rPr>
                <w:kern w:val="0"/>
                <w:sz w:val="18"/>
                <w:szCs w:val="18"/>
              </w:rPr>
              <w:t>5</w:t>
            </w:r>
          </w:p>
        </w:tc>
        <w:tc>
          <w:tcPr>
            <w:tcW w:w="1200" w:type="dxa"/>
            <w:vMerge w:val="restart"/>
            <w:tcBorders>
              <w:top w:val="nil"/>
              <w:left w:val="single" w:color="auto" w:sz="4" w:space="0"/>
              <w:bottom w:val="single" w:color="auto" w:sz="4" w:space="0"/>
              <w:right w:val="single" w:color="auto" w:sz="4" w:space="0"/>
            </w:tcBorders>
            <w:vAlign w:val="center"/>
          </w:tcPr>
          <w:p w14:paraId="2FD9D30C">
            <w:pPr>
              <w:widowControl/>
              <w:jc w:val="center"/>
              <w:rPr>
                <w:b/>
                <w:bCs/>
                <w:kern w:val="0"/>
                <w:sz w:val="18"/>
                <w:szCs w:val="18"/>
              </w:rPr>
            </w:pPr>
            <w:r>
              <w:rPr>
                <w:rFonts w:hint="eastAsia" w:ascii="宋体" w:hAnsi="宋体"/>
                <w:b/>
                <w:bCs/>
                <w:kern w:val="0"/>
                <w:sz w:val="18"/>
                <w:szCs w:val="18"/>
              </w:rPr>
              <w:t>林下经济产业</w:t>
            </w:r>
          </w:p>
        </w:tc>
        <w:tc>
          <w:tcPr>
            <w:tcW w:w="2130" w:type="dxa"/>
            <w:tcBorders>
              <w:top w:val="nil"/>
              <w:left w:val="nil"/>
              <w:bottom w:val="single" w:color="auto" w:sz="4" w:space="0"/>
              <w:right w:val="single" w:color="auto" w:sz="4" w:space="0"/>
            </w:tcBorders>
            <w:vAlign w:val="center"/>
          </w:tcPr>
          <w:p w14:paraId="528235E5">
            <w:pPr>
              <w:widowControl/>
              <w:jc w:val="center"/>
              <w:rPr>
                <w:kern w:val="0"/>
                <w:sz w:val="18"/>
                <w:szCs w:val="18"/>
              </w:rPr>
            </w:pPr>
            <w:r>
              <w:rPr>
                <w:rFonts w:hint="eastAsia" w:ascii="宋体" w:hAnsi="宋体"/>
                <w:kern w:val="0"/>
                <w:sz w:val="18"/>
                <w:szCs w:val="18"/>
              </w:rPr>
              <w:t>（</w:t>
            </w:r>
            <w:r>
              <w:rPr>
                <w:kern w:val="0"/>
                <w:sz w:val="18"/>
                <w:szCs w:val="18"/>
              </w:rPr>
              <w:t>22</w:t>
            </w:r>
            <w:r>
              <w:rPr>
                <w:rFonts w:hint="eastAsia" w:ascii="宋体" w:hAnsi="宋体"/>
                <w:kern w:val="0"/>
                <w:sz w:val="18"/>
                <w:szCs w:val="18"/>
              </w:rPr>
              <w:t>）林下经济研究中心</w:t>
            </w:r>
          </w:p>
        </w:tc>
        <w:tc>
          <w:tcPr>
            <w:tcW w:w="2126" w:type="dxa"/>
            <w:tcBorders>
              <w:top w:val="nil"/>
              <w:left w:val="nil"/>
              <w:bottom w:val="single" w:color="auto" w:sz="4" w:space="0"/>
              <w:right w:val="single" w:color="auto" w:sz="4" w:space="0"/>
            </w:tcBorders>
            <w:vAlign w:val="center"/>
          </w:tcPr>
          <w:p w14:paraId="685A776B">
            <w:pPr>
              <w:widowControl/>
              <w:jc w:val="center"/>
              <w:rPr>
                <w:kern w:val="0"/>
                <w:sz w:val="18"/>
                <w:szCs w:val="18"/>
              </w:rPr>
            </w:pPr>
            <w:r>
              <w:rPr>
                <w:rFonts w:hint="eastAsia" w:ascii="宋体" w:hAnsi="宋体"/>
                <w:kern w:val="0"/>
                <w:sz w:val="18"/>
                <w:szCs w:val="18"/>
              </w:rPr>
              <w:t>林下经济研究中心</w:t>
            </w:r>
          </w:p>
        </w:tc>
        <w:tc>
          <w:tcPr>
            <w:tcW w:w="1985" w:type="dxa"/>
            <w:tcBorders>
              <w:top w:val="nil"/>
              <w:left w:val="nil"/>
              <w:bottom w:val="single" w:color="auto" w:sz="4" w:space="0"/>
              <w:right w:val="single" w:color="auto" w:sz="4" w:space="0"/>
            </w:tcBorders>
            <w:vAlign w:val="center"/>
          </w:tcPr>
          <w:p w14:paraId="71A42CEB">
            <w:pPr>
              <w:widowControl/>
              <w:jc w:val="center"/>
              <w:rPr>
                <w:kern w:val="0"/>
                <w:sz w:val="18"/>
                <w:szCs w:val="18"/>
              </w:rPr>
            </w:pPr>
            <w:r>
              <w:rPr>
                <w:kern w:val="0"/>
                <w:sz w:val="18"/>
                <w:szCs w:val="18"/>
              </w:rPr>
              <w:t>市林科院</w:t>
            </w:r>
          </w:p>
        </w:tc>
        <w:tc>
          <w:tcPr>
            <w:tcW w:w="1275" w:type="dxa"/>
            <w:tcBorders>
              <w:top w:val="nil"/>
              <w:left w:val="nil"/>
              <w:bottom w:val="single" w:color="auto" w:sz="4" w:space="0"/>
              <w:right w:val="single" w:color="auto" w:sz="4" w:space="0"/>
            </w:tcBorders>
            <w:vAlign w:val="center"/>
          </w:tcPr>
          <w:p w14:paraId="425C2689">
            <w:pPr>
              <w:widowControl/>
              <w:jc w:val="center"/>
              <w:rPr>
                <w:kern w:val="0"/>
                <w:sz w:val="18"/>
                <w:szCs w:val="18"/>
              </w:rPr>
            </w:pPr>
            <w:r>
              <w:rPr>
                <w:kern w:val="0"/>
                <w:sz w:val="18"/>
                <w:szCs w:val="18"/>
              </w:rPr>
              <w:t>1000</w:t>
            </w:r>
          </w:p>
        </w:tc>
      </w:tr>
      <w:tr w14:paraId="5AD821DD">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6820792F">
            <w:pPr>
              <w:widowControl/>
              <w:jc w:val="left"/>
              <w:rPr>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0D5FC15">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6C347CB4">
            <w:pPr>
              <w:widowControl/>
              <w:jc w:val="center"/>
              <w:rPr>
                <w:kern w:val="0"/>
                <w:sz w:val="18"/>
                <w:szCs w:val="18"/>
              </w:rPr>
            </w:pPr>
            <w:r>
              <w:rPr>
                <w:rFonts w:hint="eastAsia" w:ascii="宋体" w:hAnsi="宋体"/>
                <w:kern w:val="0"/>
                <w:sz w:val="18"/>
                <w:szCs w:val="18"/>
              </w:rPr>
              <w:t>（</w:t>
            </w:r>
            <w:r>
              <w:rPr>
                <w:kern w:val="0"/>
                <w:sz w:val="18"/>
                <w:szCs w:val="18"/>
              </w:rPr>
              <w:t>23</w:t>
            </w:r>
            <w:r>
              <w:rPr>
                <w:rFonts w:hint="eastAsia" w:ascii="宋体" w:hAnsi="宋体"/>
                <w:kern w:val="0"/>
                <w:sz w:val="18"/>
                <w:szCs w:val="18"/>
              </w:rPr>
              <w:t>）现代林下经济产业示范基地</w:t>
            </w:r>
          </w:p>
        </w:tc>
        <w:tc>
          <w:tcPr>
            <w:tcW w:w="2126" w:type="dxa"/>
            <w:tcBorders>
              <w:top w:val="nil"/>
              <w:left w:val="nil"/>
              <w:bottom w:val="single" w:color="auto" w:sz="4" w:space="0"/>
              <w:right w:val="single" w:color="auto" w:sz="4" w:space="0"/>
            </w:tcBorders>
            <w:vAlign w:val="center"/>
          </w:tcPr>
          <w:p w14:paraId="34A105BE">
            <w:pPr>
              <w:widowControl/>
              <w:jc w:val="center"/>
              <w:rPr>
                <w:kern w:val="0"/>
                <w:sz w:val="18"/>
                <w:szCs w:val="18"/>
              </w:rPr>
            </w:pPr>
            <w:r>
              <w:rPr>
                <w:rFonts w:hint="eastAsia" w:ascii="宋体" w:hAnsi="宋体"/>
                <w:kern w:val="0"/>
                <w:sz w:val="18"/>
                <w:szCs w:val="18"/>
              </w:rPr>
              <w:t>国家农村产业融合发展示范园</w:t>
            </w:r>
          </w:p>
        </w:tc>
        <w:tc>
          <w:tcPr>
            <w:tcW w:w="1985" w:type="dxa"/>
            <w:tcBorders>
              <w:top w:val="nil"/>
              <w:left w:val="nil"/>
              <w:bottom w:val="single" w:color="auto" w:sz="4" w:space="0"/>
              <w:right w:val="single" w:color="auto" w:sz="4" w:space="0"/>
            </w:tcBorders>
            <w:vAlign w:val="center"/>
          </w:tcPr>
          <w:p w14:paraId="206629B6">
            <w:pPr>
              <w:widowControl/>
              <w:jc w:val="center"/>
              <w:rPr>
                <w:kern w:val="0"/>
                <w:sz w:val="18"/>
                <w:szCs w:val="18"/>
              </w:rPr>
            </w:pPr>
            <w:r>
              <w:rPr>
                <w:kern w:val="0"/>
                <w:sz w:val="18"/>
                <w:szCs w:val="18"/>
              </w:rPr>
              <w:t>育才生态区</w:t>
            </w:r>
          </w:p>
        </w:tc>
        <w:tc>
          <w:tcPr>
            <w:tcW w:w="1275" w:type="dxa"/>
            <w:tcBorders>
              <w:top w:val="nil"/>
              <w:left w:val="nil"/>
              <w:bottom w:val="single" w:color="auto" w:sz="4" w:space="0"/>
              <w:right w:val="single" w:color="auto" w:sz="4" w:space="0"/>
            </w:tcBorders>
            <w:vAlign w:val="center"/>
          </w:tcPr>
          <w:p w14:paraId="0A5ADCE0">
            <w:pPr>
              <w:widowControl/>
              <w:jc w:val="center"/>
              <w:rPr>
                <w:kern w:val="0"/>
                <w:sz w:val="18"/>
                <w:szCs w:val="18"/>
              </w:rPr>
            </w:pPr>
            <w:r>
              <w:rPr>
                <w:kern w:val="0"/>
                <w:sz w:val="18"/>
                <w:szCs w:val="18"/>
              </w:rPr>
              <w:t>3000</w:t>
            </w:r>
          </w:p>
        </w:tc>
      </w:tr>
      <w:tr w14:paraId="37805CAB">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309806BC">
            <w:pPr>
              <w:widowControl/>
              <w:jc w:val="left"/>
              <w:rPr>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53471FE8">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6A9FD74D">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1113A4E1">
            <w:pPr>
              <w:widowControl/>
              <w:jc w:val="center"/>
              <w:rPr>
                <w:kern w:val="0"/>
                <w:sz w:val="18"/>
                <w:szCs w:val="18"/>
              </w:rPr>
            </w:pPr>
            <w:r>
              <w:rPr>
                <w:rFonts w:hint="eastAsia" w:ascii="宋体" w:hAnsi="宋体"/>
                <w:kern w:val="0"/>
                <w:sz w:val="18"/>
                <w:szCs w:val="18"/>
              </w:rPr>
              <w:t>现代林下经济产业示范基地</w:t>
            </w:r>
          </w:p>
        </w:tc>
        <w:tc>
          <w:tcPr>
            <w:tcW w:w="1985" w:type="dxa"/>
            <w:tcBorders>
              <w:top w:val="nil"/>
              <w:left w:val="nil"/>
              <w:bottom w:val="single" w:color="auto" w:sz="4" w:space="0"/>
              <w:right w:val="single" w:color="auto" w:sz="4" w:space="0"/>
            </w:tcBorders>
            <w:vAlign w:val="center"/>
          </w:tcPr>
          <w:p w14:paraId="39A9018A">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23ACCEA5">
            <w:pPr>
              <w:widowControl/>
              <w:jc w:val="center"/>
              <w:rPr>
                <w:kern w:val="0"/>
                <w:sz w:val="18"/>
                <w:szCs w:val="18"/>
              </w:rPr>
            </w:pPr>
            <w:r>
              <w:rPr>
                <w:kern w:val="0"/>
                <w:sz w:val="18"/>
                <w:szCs w:val="18"/>
              </w:rPr>
              <w:t>13400</w:t>
            </w:r>
          </w:p>
        </w:tc>
      </w:tr>
      <w:tr w14:paraId="24693D24">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26FE5F6">
            <w:pPr>
              <w:widowControl/>
              <w:jc w:val="left"/>
              <w:rPr>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29D5E00A">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0D00B907">
            <w:pPr>
              <w:widowControl/>
              <w:jc w:val="center"/>
              <w:rPr>
                <w:kern w:val="0"/>
                <w:sz w:val="18"/>
                <w:szCs w:val="18"/>
              </w:rPr>
            </w:pPr>
            <w:r>
              <w:rPr>
                <w:rFonts w:hint="eastAsia" w:ascii="宋体" w:hAnsi="宋体"/>
                <w:kern w:val="0"/>
                <w:sz w:val="18"/>
                <w:szCs w:val="18"/>
              </w:rPr>
              <w:t>（</w:t>
            </w:r>
            <w:r>
              <w:rPr>
                <w:kern w:val="0"/>
                <w:sz w:val="18"/>
                <w:szCs w:val="18"/>
              </w:rPr>
              <w:t>24</w:t>
            </w:r>
            <w:r>
              <w:rPr>
                <w:rFonts w:hint="eastAsia" w:ascii="宋体" w:hAnsi="宋体"/>
                <w:kern w:val="0"/>
                <w:sz w:val="18"/>
                <w:szCs w:val="18"/>
              </w:rPr>
              <w:t>）发展林下经济旅游产业</w:t>
            </w:r>
          </w:p>
        </w:tc>
        <w:tc>
          <w:tcPr>
            <w:tcW w:w="2126" w:type="dxa"/>
            <w:tcBorders>
              <w:top w:val="nil"/>
              <w:left w:val="nil"/>
              <w:bottom w:val="single" w:color="auto" w:sz="4" w:space="0"/>
              <w:right w:val="single" w:color="auto" w:sz="4" w:space="0"/>
            </w:tcBorders>
            <w:vAlign w:val="center"/>
          </w:tcPr>
          <w:p w14:paraId="6FC6E967">
            <w:pPr>
              <w:widowControl/>
              <w:jc w:val="center"/>
              <w:rPr>
                <w:kern w:val="0"/>
                <w:sz w:val="18"/>
                <w:szCs w:val="18"/>
              </w:rPr>
            </w:pPr>
            <w:r>
              <w:rPr>
                <w:rFonts w:hint="eastAsia" w:ascii="宋体" w:hAnsi="宋体"/>
                <w:kern w:val="0"/>
                <w:sz w:val="18"/>
                <w:szCs w:val="18"/>
              </w:rPr>
              <w:t>发展林下经济旅游产业</w:t>
            </w:r>
          </w:p>
        </w:tc>
        <w:tc>
          <w:tcPr>
            <w:tcW w:w="1985" w:type="dxa"/>
            <w:tcBorders>
              <w:top w:val="nil"/>
              <w:left w:val="nil"/>
              <w:bottom w:val="single" w:color="auto" w:sz="4" w:space="0"/>
              <w:right w:val="single" w:color="auto" w:sz="4" w:space="0"/>
            </w:tcBorders>
            <w:vAlign w:val="center"/>
          </w:tcPr>
          <w:p w14:paraId="3CF50689">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1F0881D3">
            <w:pPr>
              <w:widowControl/>
              <w:jc w:val="center"/>
              <w:rPr>
                <w:kern w:val="0"/>
                <w:sz w:val="18"/>
                <w:szCs w:val="18"/>
              </w:rPr>
            </w:pPr>
            <w:r>
              <w:rPr>
                <w:kern w:val="0"/>
                <w:sz w:val="18"/>
                <w:szCs w:val="18"/>
              </w:rPr>
              <w:t>1000</w:t>
            </w:r>
          </w:p>
        </w:tc>
      </w:tr>
      <w:tr w14:paraId="7D5BDAEF">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745B5E79">
            <w:pPr>
              <w:widowControl/>
              <w:jc w:val="left"/>
              <w:rPr>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70444456">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05FE852A">
            <w:pPr>
              <w:widowControl/>
              <w:jc w:val="center"/>
              <w:rPr>
                <w:kern w:val="0"/>
                <w:sz w:val="18"/>
                <w:szCs w:val="18"/>
              </w:rPr>
            </w:pPr>
            <w:r>
              <w:rPr>
                <w:rFonts w:hint="eastAsia" w:ascii="宋体" w:hAnsi="宋体"/>
                <w:kern w:val="0"/>
                <w:sz w:val="18"/>
                <w:szCs w:val="18"/>
              </w:rPr>
              <w:t>（</w:t>
            </w:r>
            <w:r>
              <w:rPr>
                <w:kern w:val="0"/>
                <w:sz w:val="18"/>
                <w:szCs w:val="18"/>
              </w:rPr>
              <w:t>25</w:t>
            </w:r>
            <w:r>
              <w:rPr>
                <w:rFonts w:hint="eastAsia" w:ascii="宋体" w:hAnsi="宋体"/>
                <w:kern w:val="0"/>
                <w:sz w:val="18"/>
                <w:szCs w:val="18"/>
              </w:rPr>
              <w:t>）培育新型林业经营主体</w:t>
            </w:r>
            <w:r>
              <w:rPr>
                <w:kern w:val="0"/>
                <w:sz w:val="18"/>
                <w:szCs w:val="18"/>
              </w:rPr>
              <w:t xml:space="preserve"> </w:t>
            </w:r>
          </w:p>
        </w:tc>
        <w:tc>
          <w:tcPr>
            <w:tcW w:w="2126" w:type="dxa"/>
            <w:tcBorders>
              <w:top w:val="nil"/>
              <w:left w:val="nil"/>
              <w:bottom w:val="single" w:color="auto" w:sz="4" w:space="0"/>
              <w:right w:val="single" w:color="auto" w:sz="4" w:space="0"/>
            </w:tcBorders>
            <w:vAlign w:val="center"/>
          </w:tcPr>
          <w:p w14:paraId="104761B8">
            <w:pPr>
              <w:widowControl/>
              <w:jc w:val="center"/>
              <w:rPr>
                <w:kern w:val="0"/>
                <w:sz w:val="18"/>
                <w:szCs w:val="18"/>
              </w:rPr>
            </w:pPr>
            <w:r>
              <w:rPr>
                <w:rFonts w:hint="eastAsia" w:ascii="宋体" w:hAnsi="宋体"/>
                <w:kern w:val="0"/>
                <w:sz w:val="18"/>
                <w:szCs w:val="18"/>
              </w:rPr>
              <w:t>培育新型林业经营主体</w:t>
            </w:r>
            <w:r>
              <w:rPr>
                <w:b/>
                <w:bCs/>
                <w:kern w:val="0"/>
                <w:sz w:val="18"/>
                <w:szCs w:val="18"/>
              </w:rPr>
              <w:t xml:space="preserve"> </w:t>
            </w:r>
          </w:p>
        </w:tc>
        <w:tc>
          <w:tcPr>
            <w:tcW w:w="1985" w:type="dxa"/>
            <w:tcBorders>
              <w:top w:val="nil"/>
              <w:left w:val="nil"/>
              <w:bottom w:val="single" w:color="auto" w:sz="4" w:space="0"/>
              <w:right w:val="single" w:color="auto" w:sz="4" w:space="0"/>
            </w:tcBorders>
            <w:vAlign w:val="center"/>
          </w:tcPr>
          <w:p w14:paraId="1D7C91EF">
            <w:pPr>
              <w:widowControl/>
              <w:jc w:val="center"/>
              <w:rPr>
                <w:kern w:val="0"/>
                <w:sz w:val="18"/>
                <w:szCs w:val="18"/>
              </w:rPr>
            </w:pPr>
            <w:r>
              <w:rPr>
                <w:kern w:val="0"/>
                <w:sz w:val="18"/>
                <w:szCs w:val="18"/>
              </w:rPr>
              <w:t>育才生态区</w:t>
            </w:r>
          </w:p>
        </w:tc>
        <w:tc>
          <w:tcPr>
            <w:tcW w:w="1275" w:type="dxa"/>
            <w:tcBorders>
              <w:top w:val="nil"/>
              <w:left w:val="nil"/>
              <w:bottom w:val="single" w:color="auto" w:sz="4" w:space="0"/>
              <w:right w:val="single" w:color="auto" w:sz="4" w:space="0"/>
            </w:tcBorders>
            <w:vAlign w:val="center"/>
          </w:tcPr>
          <w:p w14:paraId="4EF7393E">
            <w:pPr>
              <w:widowControl/>
              <w:jc w:val="center"/>
              <w:rPr>
                <w:kern w:val="0"/>
                <w:sz w:val="18"/>
                <w:szCs w:val="18"/>
              </w:rPr>
            </w:pPr>
            <w:r>
              <w:rPr>
                <w:kern w:val="0"/>
                <w:sz w:val="18"/>
                <w:szCs w:val="18"/>
              </w:rPr>
              <w:t>5000</w:t>
            </w:r>
          </w:p>
        </w:tc>
      </w:tr>
      <w:tr w14:paraId="7EBC2753">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47EAF3BE">
            <w:pPr>
              <w:widowControl/>
              <w:jc w:val="left"/>
              <w:rPr>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B958FAD">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53B5968B">
            <w:pPr>
              <w:widowControl/>
              <w:jc w:val="center"/>
              <w:rPr>
                <w:kern w:val="0"/>
                <w:sz w:val="18"/>
                <w:szCs w:val="18"/>
              </w:rPr>
            </w:pPr>
            <w:r>
              <w:rPr>
                <w:rFonts w:hint="eastAsia" w:ascii="宋体" w:hAnsi="宋体"/>
                <w:kern w:val="0"/>
                <w:sz w:val="18"/>
                <w:szCs w:val="18"/>
              </w:rPr>
              <w:t>（</w:t>
            </w:r>
            <w:r>
              <w:rPr>
                <w:kern w:val="0"/>
                <w:sz w:val="18"/>
                <w:szCs w:val="18"/>
              </w:rPr>
              <w:t>3</w:t>
            </w:r>
            <w:r>
              <w:rPr>
                <w:rFonts w:hint="eastAsia" w:ascii="宋体" w:hAnsi="宋体"/>
                <w:kern w:val="0"/>
                <w:sz w:val="18"/>
                <w:szCs w:val="18"/>
              </w:rPr>
              <w:t>）培育壮大林业龙头企业</w:t>
            </w:r>
          </w:p>
        </w:tc>
        <w:tc>
          <w:tcPr>
            <w:tcW w:w="2126" w:type="dxa"/>
            <w:tcBorders>
              <w:top w:val="nil"/>
              <w:left w:val="nil"/>
              <w:bottom w:val="single" w:color="auto" w:sz="4" w:space="0"/>
              <w:right w:val="single" w:color="auto" w:sz="4" w:space="0"/>
            </w:tcBorders>
            <w:vAlign w:val="center"/>
          </w:tcPr>
          <w:p w14:paraId="785D4343">
            <w:pPr>
              <w:widowControl/>
              <w:jc w:val="center"/>
              <w:rPr>
                <w:kern w:val="0"/>
                <w:sz w:val="18"/>
                <w:szCs w:val="18"/>
              </w:rPr>
            </w:pPr>
            <w:r>
              <w:rPr>
                <w:rFonts w:hint="eastAsia" w:ascii="宋体" w:hAnsi="宋体"/>
                <w:kern w:val="0"/>
                <w:sz w:val="18"/>
                <w:szCs w:val="18"/>
              </w:rPr>
              <w:t>培育壮大林业龙头企业</w:t>
            </w:r>
          </w:p>
        </w:tc>
        <w:tc>
          <w:tcPr>
            <w:tcW w:w="1985" w:type="dxa"/>
            <w:tcBorders>
              <w:top w:val="nil"/>
              <w:left w:val="nil"/>
              <w:bottom w:val="single" w:color="auto" w:sz="4" w:space="0"/>
              <w:right w:val="single" w:color="auto" w:sz="4" w:space="0"/>
            </w:tcBorders>
            <w:vAlign w:val="center"/>
          </w:tcPr>
          <w:p w14:paraId="2CEA4958">
            <w:pPr>
              <w:widowControl/>
              <w:jc w:val="center"/>
              <w:rPr>
                <w:kern w:val="0"/>
                <w:sz w:val="18"/>
                <w:szCs w:val="18"/>
              </w:rPr>
            </w:pPr>
            <w:r>
              <w:rPr>
                <w:kern w:val="0"/>
                <w:sz w:val="18"/>
                <w:szCs w:val="18"/>
              </w:rPr>
              <w:t>育才生态区、天涯区</w:t>
            </w:r>
          </w:p>
        </w:tc>
        <w:tc>
          <w:tcPr>
            <w:tcW w:w="1275" w:type="dxa"/>
            <w:tcBorders>
              <w:top w:val="nil"/>
              <w:left w:val="nil"/>
              <w:bottom w:val="single" w:color="auto" w:sz="4" w:space="0"/>
              <w:right w:val="single" w:color="auto" w:sz="4" w:space="0"/>
            </w:tcBorders>
            <w:vAlign w:val="center"/>
          </w:tcPr>
          <w:p w14:paraId="330C6CF1">
            <w:pPr>
              <w:widowControl/>
              <w:jc w:val="center"/>
              <w:rPr>
                <w:kern w:val="0"/>
                <w:sz w:val="18"/>
                <w:szCs w:val="18"/>
              </w:rPr>
            </w:pPr>
            <w:r>
              <w:rPr>
                <w:kern w:val="0"/>
                <w:sz w:val="18"/>
                <w:szCs w:val="18"/>
              </w:rPr>
              <w:t>4000</w:t>
            </w:r>
          </w:p>
        </w:tc>
      </w:tr>
      <w:tr w14:paraId="1CC6C2E6">
        <w:tblPrEx>
          <w:tblCellMar>
            <w:top w:w="0" w:type="dxa"/>
            <w:left w:w="108" w:type="dxa"/>
            <w:bottom w:w="0" w:type="dxa"/>
            <w:right w:w="108" w:type="dxa"/>
          </w:tblCellMar>
        </w:tblPrEx>
        <w:trPr>
          <w:trHeight w:val="600" w:hRule="atLeast"/>
        </w:trPr>
        <w:tc>
          <w:tcPr>
            <w:tcW w:w="640" w:type="dxa"/>
            <w:vMerge w:val="continue"/>
            <w:tcBorders>
              <w:top w:val="nil"/>
              <w:left w:val="single" w:color="auto" w:sz="4" w:space="0"/>
              <w:bottom w:val="single" w:color="auto" w:sz="4" w:space="0"/>
              <w:right w:val="single" w:color="auto" w:sz="4" w:space="0"/>
            </w:tcBorders>
            <w:vAlign w:val="center"/>
          </w:tcPr>
          <w:p w14:paraId="133D89D3">
            <w:pPr>
              <w:widowControl/>
              <w:jc w:val="left"/>
              <w:rPr>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ADD2211">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5070CBC7">
            <w:pPr>
              <w:widowControl/>
              <w:jc w:val="center"/>
              <w:rPr>
                <w:kern w:val="0"/>
                <w:sz w:val="18"/>
                <w:szCs w:val="18"/>
              </w:rPr>
            </w:pPr>
            <w:r>
              <w:rPr>
                <w:rFonts w:hint="eastAsia" w:ascii="宋体" w:hAnsi="宋体"/>
                <w:kern w:val="0"/>
                <w:sz w:val="18"/>
                <w:szCs w:val="18"/>
              </w:rPr>
              <w:t>（</w:t>
            </w:r>
            <w:r>
              <w:rPr>
                <w:kern w:val="0"/>
                <w:sz w:val="18"/>
                <w:szCs w:val="18"/>
              </w:rPr>
              <w:t>26</w:t>
            </w:r>
            <w:r>
              <w:rPr>
                <w:rFonts w:hint="eastAsia" w:ascii="宋体" w:hAnsi="宋体"/>
                <w:kern w:val="0"/>
                <w:sz w:val="18"/>
                <w:szCs w:val="18"/>
              </w:rPr>
              <w:t>）建立特色南药、黎药展销中心</w:t>
            </w:r>
          </w:p>
        </w:tc>
        <w:tc>
          <w:tcPr>
            <w:tcW w:w="2126" w:type="dxa"/>
            <w:tcBorders>
              <w:top w:val="nil"/>
              <w:left w:val="nil"/>
              <w:bottom w:val="single" w:color="auto" w:sz="4" w:space="0"/>
              <w:right w:val="single" w:color="auto" w:sz="4" w:space="0"/>
            </w:tcBorders>
            <w:vAlign w:val="center"/>
          </w:tcPr>
          <w:p w14:paraId="124676D3">
            <w:pPr>
              <w:widowControl/>
              <w:jc w:val="center"/>
              <w:rPr>
                <w:kern w:val="0"/>
                <w:sz w:val="18"/>
                <w:szCs w:val="18"/>
              </w:rPr>
            </w:pPr>
            <w:r>
              <w:rPr>
                <w:rFonts w:hint="eastAsia" w:ascii="宋体" w:hAnsi="宋体"/>
                <w:kern w:val="0"/>
                <w:sz w:val="18"/>
                <w:szCs w:val="18"/>
              </w:rPr>
              <w:t>建立特色南药、黎药展销中心</w:t>
            </w:r>
          </w:p>
        </w:tc>
        <w:tc>
          <w:tcPr>
            <w:tcW w:w="1985" w:type="dxa"/>
            <w:tcBorders>
              <w:top w:val="nil"/>
              <w:left w:val="nil"/>
              <w:bottom w:val="single" w:color="auto" w:sz="4" w:space="0"/>
              <w:right w:val="single" w:color="auto" w:sz="4" w:space="0"/>
            </w:tcBorders>
            <w:vAlign w:val="center"/>
          </w:tcPr>
          <w:p w14:paraId="344934D9">
            <w:pPr>
              <w:widowControl/>
              <w:jc w:val="center"/>
              <w:rPr>
                <w:kern w:val="0"/>
                <w:sz w:val="18"/>
                <w:szCs w:val="18"/>
              </w:rPr>
            </w:pPr>
            <w:r>
              <w:rPr>
                <w:kern w:val="0"/>
                <w:sz w:val="18"/>
                <w:szCs w:val="18"/>
              </w:rPr>
              <w:t>天涯区</w:t>
            </w:r>
          </w:p>
        </w:tc>
        <w:tc>
          <w:tcPr>
            <w:tcW w:w="1275" w:type="dxa"/>
            <w:tcBorders>
              <w:top w:val="nil"/>
              <w:left w:val="nil"/>
              <w:bottom w:val="single" w:color="auto" w:sz="4" w:space="0"/>
              <w:right w:val="single" w:color="auto" w:sz="4" w:space="0"/>
            </w:tcBorders>
            <w:vAlign w:val="center"/>
          </w:tcPr>
          <w:p w14:paraId="777D4B82">
            <w:pPr>
              <w:widowControl/>
              <w:jc w:val="center"/>
              <w:rPr>
                <w:kern w:val="0"/>
                <w:sz w:val="18"/>
                <w:szCs w:val="18"/>
              </w:rPr>
            </w:pPr>
            <w:r>
              <w:rPr>
                <w:kern w:val="0"/>
                <w:sz w:val="18"/>
                <w:szCs w:val="18"/>
              </w:rPr>
              <w:t>1800</w:t>
            </w:r>
          </w:p>
        </w:tc>
      </w:tr>
      <w:tr w14:paraId="0C26DD46">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102FB106">
            <w:pPr>
              <w:widowControl/>
              <w:jc w:val="left"/>
              <w:rPr>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0A6E0E4">
            <w:pPr>
              <w:widowControl/>
              <w:jc w:val="left"/>
              <w:rPr>
                <w:b/>
                <w:bCs/>
                <w:kern w:val="0"/>
                <w:sz w:val="18"/>
                <w:szCs w:val="18"/>
              </w:rPr>
            </w:pPr>
          </w:p>
        </w:tc>
        <w:tc>
          <w:tcPr>
            <w:tcW w:w="6241" w:type="dxa"/>
            <w:gridSpan w:val="3"/>
            <w:tcBorders>
              <w:top w:val="single" w:color="auto" w:sz="4" w:space="0"/>
              <w:left w:val="nil"/>
              <w:bottom w:val="single" w:color="auto" w:sz="4" w:space="0"/>
              <w:right w:val="single" w:color="auto" w:sz="4" w:space="0"/>
            </w:tcBorders>
            <w:vAlign w:val="center"/>
          </w:tcPr>
          <w:p w14:paraId="6D0E36A9">
            <w:pPr>
              <w:widowControl/>
              <w:jc w:val="center"/>
              <w:rPr>
                <w:b/>
                <w:bCs/>
                <w:kern w:val="0"/>
                <w:sz w:val="18"/>
                <w:szCs w:val="18"/>
              </w:rPr>
            </w:pPr>
            <w:r>
              <w:rPr>
                <w:rFonts w:hint="eastAsia" w:ascii="宋体" w:hAnsi="宋体"/>
                <w:b/>
                <w:bCs/>
                <w:kern w:val="0"/>
                <w:sz w:val="18"/>
                <w:szCs w:val="18"/>
              </w:rPr>
              <w:t>小计</w:t>
            </w:r>
          </w:p>
        </w:tc>
        <w:tc>
          <w:tcPr>
            <w:tcW w:w="1275" w:type="dxa"/>
            <w:tcBorders>
              <w:top w:val="nil"/>
              <w:left w:val="nil"/>
              <w:bottom w:val="single" w:color="auto" w:sz="4" w:space="0"/>
              <w:right w:val="single" w:color="auto" w:sz="4" w:space="0"/>
            </w:tcBorders>
            <w:vAlign w:val="center"/>
          </w:tcPr>
          <w:p w14:paraId="5553D533">
            <w:pPr>
              <w:widowControl/>
              <w:jc w:val="center"/>
              <w:rPr>
                <w:b/>
                <w:bCs/>
                <w:kern w:val="0"/>
                <w:sz w:val="18"/>
                <w:szCs w:val="18"/>
              </w:rPr>
            </w:pPr>
            <w:r>
              <w:rPr>
                <w:b/>
                <w:bCs/>
                <w:kern w:val="0"/>
                <w:sz w:val="18"/>
                <w:szCs w:val="18"/>
              </w:rPr>
              <w:t>29200</w:t>
            </w:r>
          </w:p>
        </w:tc>
      </w:tr>
      <w:tr w14:paraId="7E8EA68C">
        <w:tblPrEx>
          <w:tblCellMar>
            <w:top w:w="0" w:type="dxa"/>
            <w:left w:w="108" w:type="dxa"/>
            <w:bottom w:w="0" w:type="dxa"/>
            <w:right w:w="108" w:type="dxa"/>
          </w:tblCellMar>
        </w:tblPrEx>
        <w:trPr>
          <w:trHeight w:val="315" w:hRule="atLeast"/>
        </w:trPr>
        <w:tc>
          <w:tcPr>
            <w:tcW w:w="640" w:type="dxa"/>
            <w:vMerge w:val="restart"/>
            <w:tcBorders>
              <w:top w:val="nil"/>
              <w:left w:val="single" w:color="auto" w:sz="4" w:space="0"/>
              <w:bottom w:val="single" w:color="auto" w:sz="4" w:space="0"/>
              <w:right w:val="single" w:color="auto" w:sz="4" w:space="0"/>
            </w:tcBorders>
            <w:vAlign w:val="center"/>
          </w:tcPr>
          <w:p w14:paraId="4A036E71">
            <w:pPr>
              <w:widowControl/>
              <w:jc w:val="center"/>
              <w:rPr>
                <w:b/>
                <w:bCs/>
                <w:kern w:val="0"/>
                <w:sz w:val="18"/>
                <w:szCs w:val="18"/>
              </w:rPr>
            </w:pPr>
            <w:r>
              <w:rPr>
                <w:b/>
                <w:bCs/>
                <w:kern w:val="0"/>
                <w:sz w:val="18"/>
                <w:szCs w:val="18"/>
              </w:rPr>
              <w:t>6</w:t>
            </w:r>
          </w:p>
        </w:tc>
        <w:tc>
          <w:tcPr>
            <w:tcW w:w="1200" w:type="dxa"/>
            <w:vMerge w:val="restart"/>
            <w:tcBorders>
              <w:top w:val="nil"/>
              <w:left w:val="single" w:color="auto" w:sz="4" w:space="0"/>
              <w:bottom w:val="single" w:color="auto" w:sz="4" w:space="0"/>
              <w:right w:val="single" w:color="auto" w:sz="4" w:space="0"/>
            </w:tcBorders>
            <w:vAlign w:val="center"/>
          </w:tcPr>
          <w:p w14:paraId="00B0BEBE">
            <w:pPr>
              <w:widowControl/>
              <w:jc w:val="center"/>
              <w:rPr>
                <w:b/>
                <w:bCs/>
                <w:kern w:val="0"/>
                <w:sz w:val="18"/>
                <w:szCs w:val="18"/>
              </w:rPr>
            </w:pPr>
            <w:r>
              <w:rPr>
                <w:rFonts w:hint="eastAsia" w:ascii="宋体" w:hAnsi="宋体"/>
                <w:b/>
                <w:bCs/>
                <w:kern w:val="0"/>
                <w:sz w:val="18"/>
                <w:szCs w:val="18"/>
              </w:rPr>
              <w:t>生态保护与修复产业</w:t>
            </w:r>
          </w:p>
        </w:tc>
        <w:tc>
          <w:tcPr>
            <w:tcW w:w="2130" w:type="dxa"/>
            <w:vMerge w:val="restart"/>
            <w:tcBorders>
              <w:top w:val="nil"/>
              <w:left w:val="single" w:color="auto" w:sz="4" w:space="0"/>
              <w:bottom w:val="single" w:color="auto" w:sz="4" w:space="0"/>
              <w:right w:val="single" w:color="auto" w:sz="4" w:space="0"/>
            </w:tcBorders>
            <w:vAlign w:val="center"/>
          </w:tcPr>
          <w:p w14:paraId="179242C3">
            <w:pPr>
              <w:widowControl/>
              <w:jc w:val="center"/>
              <w:rPr>
                <w:kern w:val="0"/>
                <w:sz w:val="18"/>
                <w:szCs w:val="18"/>
              </w:rPr>
            </w:pPr>
            <w:r>
              <w:rPr>
                <w:rFonts w:hint="eastAsia" w:ascii="宋体" w:hAnsi="宋体"/>
                <w:kern w:val="0"/>
                <w:sz w:val="18"/>
                <w:szCs w:val="18"/>
              </w:rPr>
              <w:t>（</w:t>
            </w:r>
            <w:r>
              <w:rPr>
                <w:kern w:val="0"/>
                <w:sz w:val="18"/>
                <w:szCs w:val="18"/>
              </w:rPr>
              <w:t>27</w:t>
            </w:r>
            <w:r>
              <w:rPr>
                <w:rFonts w:hint="eastAsia" w:ascii="宋体" w:hAnsi="宋体"/>
                <w:kern w:val="0"/>
                <w:sz w:val="18"/>
                <w:szCs w:val="18"/>
              </w:rPr>
              <w:t>）湿地保护与修复建设工程</w:t>
            </w:r>
          </w:p>
        </w:tc>
        <w:tc>
          <w:tcPr>
            <w:tcW w:w="2126" w:type="dxa"/>
            <w:tcBorders>
              <w:top w:val="nil"/>
              <w:left w:val="nil"/>
              <w:bottom w:val="single" w:color="auto" w:sz="4" w:space="0"/>
              <w:right w:val="single" w:color="auto" w:sz="4" w:space="0"/>
            </w:tcBorders>
            <w:vAlign w:val="center"/>
          </w:tcPr>
          <w:p w14:paraId="6117EE1C">
            <w:pPr>
              <w:widowControl/>
              <w:jc w:val="center"/>
              <w:rPr>
                <w:kern w:val="0"/>
                <w:sz w:val="18"/>
                <w:szCs w:val="18"/>
              </w:rPr>
            </w:pPr>
            <w:r>
              <w:rPr>
                <w:rFonts w:hint="eastAsia" w:ascii="宋体" w:hAnsi="宋体"/>
                <w:kern w:val="0"/>
                <w:sz w:val="18"/>
                <w:szCs w:val="18"/>
              </w:rPr>
              <w:t>湿地资源调查更新</w:t>
            </w:r>
          </w:p>
        </w:tc>
        <w:tc>
          <w:tcPr>
            <w:tcW w:w="1985" w:type="dxa"/>
            <w:vMerge w:val="restart"/>
            <w:tcBorders>
              <w:top w:val="nil"/>
              <w:left w:val="single" w:color="auto" w:sz="4" w:space="0"/>
              <w:bottom w:val="single" w:color="auto" w:sz="4" w:space="0"/>
              <w:right w:val="single" w:color="auto" w:sz="4" w:space="0"/>
            </w:tcBorders>
            <w:vAlign w:val="center"/>
          </w:tcPr>
          <w:p w14:paraId="6E168126">
            <w:pPr>
              <w:widowControl/>
              <w:jc w:val="center"/>
              <w:rPr>
                <w:kern w:val="0"/>
                <w:sz w:val="18"/>
                <w:szCs w:val="18"/>
              </w:rPr>
            </w:pPr>
            <w:r>
              <w:rPr>
                <w:rFonts w:hint="eastAsia" w:ascii="宋体" w:hAnsi="宋体"/>
                <w:kern w:val="0"/>
                <w:sz w:val="18"/>
                <w:szCs w:val="18"/>
              </w:rPr>
              <w:t>红树林自然保护区等</w:t>
            </w:r>
          </w:p>
        </w:tc>
        <w:tc>
          <w:tcPr>
            <w:tcW w:w="1275" w:type="dxa"/>
            <w:tcBorders>
              <w:top w:val="nil"/>
              <w:left w:val="nil"/>
              <w:bottom w:val="single" w:color="auto" w:sz="4" w:space="0"/>
              <w:right w:val="single" w:color="auto" w:sz="4" w:space="0"/>
            </w:tcBorders>
            <w:vAlign w:val="center"/>
          </w:tcPr>
          <w:p w14:paraId="70657035">
            <w:pPr>
              <w:widowControl/>
              <w:jc w:val="center"/>
              <w:rPr>
                <w:kern w:val="0"/>
                <w:sz w:val="18"/>
                <w:szCs w:val="18"/>
              </w:rPr>
            </w:pPr>
            <w:r>
              <w:rPr>
                <w:kern w:val="0"/>
                <w:sz w:val="18"/>
                <w:szCs w:val="18"/>
              </w:rPr>
              <w:t>500</w:t>
            </w:r>
          </w:p>
        </w:tc>
      </w:tr>
      <w:tr w14:paraId="6A9B78E8">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41984E75">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B06B340">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1B176270">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6B282166">
            <w:pPr>
              <w:widowControl/>
              <w:jc w:val="center"/>
              <w:rPr>
                <w:kern w:val="0"/>
                <w:sz w:val="18"/>
                <w:szCs w:val="18"/>
              </w:rPr>
            </w:pPr>
            <w:r>
              <w:rPr>
                <w:rFonts w:hint="eastAsia" w:ascii="宋体" w:hAnsi="宋体"/>
                <w:kern w:val="0"/>
                <w:sz w:val="18"/>
                <w:szCs w:val="18"/>
              </w:rPr>
              <w:t>湿地保护与修复体系</w:t>
            </w:r>
          </w:p>
        </w:tc>
        <w:tc>
          <w:tcPr>
            <w:tcW w:w="1985" w:type="dxa"/>
            <w:vMerge w:val="continue"/>
            <w:tcBorders>
              <w:top w:val="nil"/>
              <w:left w:val="single" w:color="auto" w:sz="4" w:space="0"/>
              <w:bottom w:val="single" w:color="auto" w:sz="4" w:space="0"/>
              <w:right w:val="single" w:color="auto" w:sz="4" w:space="0"/>
            </w:tcBorders>
            <w:vAlign w:val="center"/>
          </w:tcPr>
          <w:p w14:paraId="7D964787">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09430174">
            <w:pPr>
              <w:widowControl/>
              <w:jc w:val="center"/>
              <w:rPr>
                <w:kern w:val="0"/>
                <w:sz w:val="18"/>
                <w:szCs w:val="18"/>
              </w:rPr>
            </w:pPr>
            <w:r>
              <w:rPr>
                <w:kern w:val="0"/>
                <w:sz w:val="18"/>
                <w:szCs w:val="18"/>
              </w:rPr>
              <w:t>6000</w:t>
            </w:r>
          </w:p>
        </w:tc>
      </w:tr>
      <w:tr w14:paraId="4F3413FB">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697A5E34">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67CEFBF">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520639B8">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53E11EAF">
            <w:pPr>
              <w:widowControl/>
              <w:jc w:val="center"/>
              <w:rPr>
                <w:kern w:val="0"/>
                <w:sz w:val="18"/>
                <w:szCs w:val="18"/>
              </w:rPr>
            </w:pPr>
            <w:r>
              <w:rPr>
                <w:rFonts w:hint="eastAsia" w:ascii="宋体" w:hAnsi="宋体"/>
                <w:kern w:val="0"/>
                <w:sz w:val="18"/>
                <w:szCs w:val="18"/>
              </w:rPr>
              <w:t>红树林保护与修复</w:t>
            </w:r>
          </w:p>
        </w:tc>
        <w:tc>
          <w:tcPr>
            <w:tcW w:w="1985" w:type="dxa"/>
            <w:vMerge w:val="continue"/>
            <w:tcBorders>
              <w:top w:val="nil"/>
              <w:left w:val="single" w:color="auto" w:sz="4" w:space="0"/>
              <w:bottom w:val="single" w:color="auto" w:sz="4" w:space="0"/>
              <w:right w:val="single" w:color="auto" w:sz="4" w:space="0"/>
            </w:tcBorders>
            <w:vAlign w:val="center"/>
          </w:tcPr>
          <w:p w14:paraId="7E630D6A">
            <w:pPr>
              <w:widowControl/>
              <w:jc w:val="left"/>
              <w:rPr>
                <w:kern w:val="0"/>
                <w:sz w:val="18"/>
                <w:szCs w:val="18"/>
              </w:rPr>
            </w:pPr>
          </w:p>
        </w:tc>
        <w:tc>
          <w:tcPr>
            <w:tcW w:w="1275" w:type="dxa"/>
            <w:tcBorders>
              <w:top w:val="nil"/>
              <w:left w:val="nil"/>
              <w:bottom w:val="single" w:color="auto" w:sz="4" w:space="0"/>
              <w:right w:val="single" w:color="auto" w:sz="4" w:space="0"/>
            </w:tcBorders>
            <w:vAlign w:val="center"/>
          </w:tcPr>
          <w:p w14:paraId="3906A6A7">
            <w:pPr>
              <w:widowControl/>
              <w:jc w:val="center"/>
              <w:rPr>
                <w:kern w:val="0"/>
                <w:sz w:val="18"/>
                <w:szCs w:val="18"/>
              </w:rPr>
            </w:pPr>
            <w:r>
              <w:rPr>
                <w:kern w:val="0"/>
                <w:sz w:val="18"/>
                <w:szCs w:val="18"/>
              </w:rPr>
              <w:t>24200</w:t>
            </w:r>
          </w:p>
        </w:tc>
      </w:tr>
      <w:tr w14:paraId="3AE4FD4B">
        <w:tblPrEx>
          <w:tblCellMar>
            <w:top w:w="0" w:type="dxa"/>
            <w:left w:w="108" w:type="dxa"/>
            <w:bottom w:w="0" w:type="dxa"/>
            <w:right w:w="108" w:type="dxa"/>
          </w:tblCellMar>
        </w:tblPrEx>
        <w:trPr>
          <w:trHeight w:val="600" w:hRule="atLeast"/>
        </w:trPr>
        <w:tc>
          <w:tcPr>
            <w:tcW w:w="640" w:type="dxa"/>
            <w:vMerge w:val="continue"/>
            <w:tcBorders>
              <w:top w:val="nil"/>
              <w:left w:val="single" w:color="auto" w:sz="4" w:space="0"/>
              <w:bottom w:val="single" w:color="auto" w:sz="4" w:space="0"/>
              <w:right w:val="single" w:color="auto" w:sz="4" w:space="0"/>
            </w:tcBorders>
            <w:vAlign w:val="center"/>
          </w:tcPr>
          <w:p w14:paraId="1BEF70AF">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4BC29DA6">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0426CC5D">
            <w:pPr>
              <w:widowControl/>
              <w:jc w:val="center"/>
              <w:rPr>
                <w:kern w:val="0"/>
                <w:sz w:val="18"/>
                <w:szCs w:val="18"/>
              </w:rPr>
            </w:pPr>
            <w:r>
              <w:rPr>
                <w:rFonts w:hint="eastAsia" w:ascii="宋体" w:hAnsi="宋体"/>
                <w:kern w:val="0"/>
                <w:sz w:val="18"/>
                <w:szCs w:val="18"/>
              </w:rPr>
              <w:t>（</w:t>
            </w:r>
            <w:r>
              <w:rPr>
                <w:kern w:val="0"/>
                <w:sz w:val="18"/>
                <w:szCs w:val="18"/>
              </w:rPr>
              <w:t>28</w:t>
            </w:r>
            <w:r>
              <w:rPr>
                <w:rFonts w:hint="eastAsia" w:ascii="宋体" w:hAnsi="宋体"/>
                <w:kern w:val="0"/>
                <w:sz w:val="18"/>
                <w:szCs w:val="18"/>
              </w:rPr>
              <w:t>）极小种群植物拯救保护建设工程</w:t>
            </w:r>
          </w:p>
        </w:tc>
        <w:tc>
          <w:tcPr>
            <w:tcW w:w="2126" w:type="dxa"/>
            <w:tcBorders>
              <w:top w:val="nil"/>
              <w:left w:val="nil"/>
              <w:bottom w:val="single" w:color="auto" w:sz="4" w:space="0"/>
              <w:right w:val="single" w:color="auto" w:sz="4" w:space="0"/>
            </w:tcBorders>
            <w:vAlign w:val="center"/>
          </w:tcPr>
          <w:p w14:paraId="5F7AC434">
            <w:pPr>
              <w:widowControl/>
              <w:jc w:val="center"/>
              <w:rPr>
                <w:kern w:val="0"/>
                <w:sz w:val="18"/>
                <w:szCs w:val="18"/>
              </w:rPr>
            </w:pPr>
            <w:r>
              <w:rPr>
                <w:rFonts w:hint="eastAsia" w:ascii="宋体" w:hAnsi="宋体"/>
                <w:kern w:val="0"/>
                <w:sz w:val="18"/>
                <w:szCs w:val="18"/>
              </w:rPr>
              <w:t>极小种群植物拯救保护建设工程</w:t>
            </w:r>
          </w:p>
        </w:tc>
        <w:tc>
          <w:tcPr>
            <w:tcW w:w="1985" w:type="dxa"/>
            <w:tcBorders>
              <w:top w:val="nil"/>
              <w:left w:val="nil"/>
              <w:bottom w:val="single" w:color="auto" w:sz="4" w:space="0"/>
              <w:right w:val="single" w:color="auto" w:sz="4" w:space="0"/>
            </w:tcBorders>
            <w:noWrap/>
            <w:vAlign w:val="center"/>
          </w:tcPr>
          <w:p w14:paraId="03C5F67B">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5C8D7C43">
            <w:pPr>
              <w:widowControl/>
              <w:jc w:val="center"/>
              <w:rPr>
                <w:kern w:val="0"/>
                <w:sz w:val="18"/>
                <w:szCs w:val="18"/>
              </w:rPr>
            </w:pPr>
            <w:r>
              <w:rPr>
                <w:kern w:val="0"/>
                <w:sz w:val="18"/>
                <w:szCs w:val="18"/>
              </w:rPr>
              <w:t>1000</w:t>
            </w:r>
          </w:p>
        </w:tc>
      </w:tr>
      <w:tr w14:paraId="198D48BA">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7DD5EFBF">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35B79DC">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375EAFFC">
            <w:pPr>
              <w:widowControl/>
              <w:jc w:val="center"/>
              <w:rPr>
                <w:kern w:val="0"/>
                <w:sz w:val="18"/>
                <w:szCs w:val="18"/>
              </w:rPr>
            </w:pPr>
            <w:r>
              <w:rPr>
                <w:rFonts w:hint="eastAsia" w:ascii="宋体" w:hAnsi="宋体"/>
                <w:kern w:val="0"/>
                <w:sz w:val="18"/>
                <w:szCs w:val="18"/>
              </w:rPr>
              <w:t>（</w:t>
            </w:r>
            <w:r>
              <w:rPr>
                <w:kern w:val="0"/>
                <w:sz w:val="18"/>
                <w:szCs w:val="18"/>
              </w:rPr>
              <w:t>29</w:t>
            </w:r>
            <w:r>
              <w:rPr>
                <w:rFonts w:hint="eastAsia" w:ascii="宋体" w:hAnsi="宋体"/>
                <w:kern w:val="0"/>
                <w:sz w:val="18"/>
                <w:szCs w:val="18"/>
              </w:rPr>
              <w:t>）古树名木保护与复壮</w:t>
            </w:r>
          </w:p>
        </w:tc>
        <w:tc>
          <w:tcPr>
            <w:tcW w:w="2126" w:type="dxa"/>
            <w:tcBorders>
              <w:top w:val="nil"/>
              <w:left w:val="nil"/>
              <w:bottom w:val="single" w:color="auto" w:sz="4" w:space="0"/>
              <w:right w:val="single" w:color="auto" w:sz="4" w:space="0"/>
            </w:tcBorders>
            <w:vAlign w:val="center"/>
          </w:tcPr>
          <w:p w14:paraId="46921FD4">
            <w:pPr>
              <w:widowControl/>
              <w:jc w:val="center"/>
              <w:rPr>
                <w:kern w:val="0"/>
                <w:sz w:val="18"/>
                <w:szCs w:val="18"/>
              </w:rPr>
            </w:pPr>
            <w:r>
              <w:rPr>
                <w:rFonts w:hint="eastAsia" w:ascii="宋体" w:hAnsi="宋体"/>
                <w:kern w:val="0"/>
                <w:sz w:val="18"/>
                <w:szCs w:val="18"/>
              </w:rPr>
              <w:t>古树名木保护与复壮</w:t>
            </w:r>
          </w:p>
        </w:tc>
        <w:tc>
          <w:tcPr>
            <w:tcW w:w="1985" w:type="dxa"/>
            <w:tcBorders>
              <w:top w:val="nil"/>
              <w:left w:val="nil"/>
              <w:bottom w:val="single" w:color="auto" w:sz="4" w:space="0"/>
              <w:right w:val="single" w:color="auto" w:sz="4" w:space="0"/>
            </w:tcBorders>
            <w:noWrap/>
            <w:vAlign w:val="center"/>
          </w:tcPr>
          <w:p w14:paraId="6EDBD437">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026937C6">
            <w:pPr>
              <w:widowControl/>
              <w:jc w:val="center"/>
              <w:rPr>
                <w:kern w:val="0"/>
                <w:sz w:val="18"/>
                <w:szCs w:val="18"/>
              </w:rPr>
            </w:pPr>
            <w:r>
              <w:rPr>
                <w:kern w:val="0"/>
                <w:sz w:val="18"/>
                <w:szCs w:val="18"/>
              </w:rPr>
              <w:t>8700</w:t>
            </w:r>
          </w:p>
        </w:tc>
      </w:tr>
      <w:tr w14:paraId="0D9D825E">
        <w:tblPrEx>
          <w:tblCellMar>
            <w:top w:w="0" w:type="dxa"/>
            <w:left w:w="108" w:type="dxa"/>
            <w:bottom w:w="0" w:type="dxa"/>
            <w:right w:w="108" w:type="dxa"/>
          </w:tblCellMar>
        </w:tblPrEx>
        <w:trPr>
          <w:trHeight w:val="285" w:hRule="atLeast"/>
        </w:trPr>
        <w:tc>
          <w:tcPr>
            <w:tcW w:w="640" w:type="dxa"/>
            <w:vMerge w:val="continue"/>
            <w:tcBorders>
              <w:top w:val="nil"/>
              <w:left w:val="single" w:color="auto" w:sz="4" w:space="0"/>
              <w:bottom w:val="single" w:color="auto" w:sz="4" w:space="0"/>
              <w:right w:val="single" w:color="auto" w:sz="4" w:space="0"/>
            </w:tcBorders>
            <w:vAlign w:val="center"/>
          </w:tcPr>
          <w:p w14:paraId="5C2BB7FA">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43DC957">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2161C814">
            <w:pPr>
              <w:widowControl/>
              <w:jc w:val="center"/>
              <w:rPr>
                <w:kern w:val="0"/>
                <w:sz w:val="18"/>
                <w:szCs w:val="18"/>
              </w:rPr>
            </w:pPr>
            <w:r>
              <w:rPr>
                <w:rFonts w:hint="eastAsia" w:ascii="宋体" w:hAnsi="宋体"/>
                <w:kern w:val="0"/>
                <w:sz w:val="18"/>
                <w:szCs w:val="18"/>
              </w:rPr>
              <w:t>（</w:t>
            </w:r>
            <w:r>
              <w:rPr>
                <w:kern w:val="0"/>
                <w:sz w:val="18"/>
                <w:szCs w:val="18"/>
              </w:rPr>
              <w:t>30</w:t>
            </w:r>
            <w:r>
              <w:rPr>
                <w:rFonts w:hint="eastAsia" w:ascii="宋体" w:hAnsi="宋体"/>
                <w:kern w:val="0"/>
                <w:sz w:val="18"/>
                <w:szCs w:val="18"/>
              </w:rPr>
              <w:t>）有害生物防治</w:t>
            </w:r>
          </w:p>
        </w:tc>
        <w:tc>
          <w:tcPr>
            <w:tcW w:w="2126" w:type="dxa"/>
            <w:tcBorders>
              <w:top w:val="nil"/>
              <w:left w:val="nil"/>
              <w:bottom w:val="single" w:color="auto" w:sz="4" w:space="0"/>
              <w:right w:val="single" w:color="auto" w:sz="4" w:space="0"/>
            </w:tcBorders>
            <w:vAlign w:val="center"/>
          </w:tcPr>
          <w:p w14:paraId="3F4566F4">
            <w:pPr>
              <w:widowControl/>
              <w:jc w:val="center"/>
              <w:rPr>
                <w:kern w:val="0"/>
                <w:sz w:val="18"/>
                <w:szCs w:val="18"/>
              </w:rPr>
            </w:pPr>
            <w:r>
              <w:rPr>
                <w:rFonts w:hint="eastAsia" w:ascii="宋体" w:hAnsi="宋体"/>
                <w:kern w:val="0"/>
                <w:sz w:val="18"/>
                <w:szCs w:val="18"/>
              </w:rPr>
              <w:t>有害生物防治</w:t>
            </w:r>
          </w:p>
        </w:tc>
        <w:tc>
          <w:tcPr>
            <w:tcW w:w="1985" w:type="dxa"/>
            <w:tcBorders>
              <w:top w:val="nil"/>
              <w:left w:val="nil"/>
              <w:bottom w:val="single" w:color="auto" w:sz="4" w:space="0"/>
              <w:right w:val="single" w:color="auto" w:sz="4" w:space="0"/>
            </w:tcBorders>
            <w:noWrap/>
            <w:vAlign w:val="center"/>
          </w:tcPr>
          <w:p w14:paraId="648B879D">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57DE7E3B">
            <w:pPr>
              <w:widowControl/>
              <w:jc w:val="center"/>
              <w:rPr>
                <w:kern w:val="0"/>
                <w:sz w:val="18"/>
                <w:szCs w:val="18"/>
              </w:rPr>
            </w:pPr>
            <w:r>
              <w:rPr>
                <w:kern w:val="0"/>
                <w:sz w:val="18"/>
                <w:szCs w:val="18"/>
              </w:rPr>
              <w:t>7500</w:t>
            </w:r>
          </w:p>
        </w:tc>
      </w:tr>
      <w:tr w14:paraId="545A6023">
        <w:tblPrEx>
          <w:tblCellMar>
            <w:top w:w="0" w:type="dxa"/>
            <w:left w:w="108" w:type="dxa"/>
            <w:bottom w:w="0" w:type="dxa"/>
            <w:right w:w="108" w:type="dxa"/>
          </w:tblCellMar>
        </w:tblPrEx>
        <w:trPr>
          <w:trHeight w:val="285" w:hRule="atLeast"/>
        </w:trPr>
        <w:tc>
          <w:tcPr>
            <w:tcW w:w="640" w:type="dxa"/>
            <w:vMerge w:val="continue"/>
            <w:tcBorders>
              <w:top w:val="nil"/>
              <w:left w:val="single" w:color="auto" w:sz="4" w:space="0"/>
              <w:bottom w:val="single" w:color="auto" w:sz="4" w:space="0"/>
              <w:right w:val="single" w:color="auto" w:sz="4" w:space="0"/>
            </w:tcBorders>
            <w:vAlign w:val="center"/>
          </w:tcPr>
          <w:p w14:paraId="6E9EF6F5">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637518A7">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1E3F9E0E">
            <w:pPr>
              <w:widowControl/>
              <w:jc w:val="center"/>
              <w:rPr>
                <w:kern w:val="0"/>
                <w:sz w:val="18"/>
                <w:szCs w:val="18"/>
              </w:rPr>
            </w:pPr>
            <w:r>
              <w:rPr>
                <w:rFonts w:hint="eastAsia" w:ascii="宋体" w:hAnsi="宋体"/>
                <w:kern w:val="0"/>
                <w:sz w:val="18"/>
                <w:szCs w:val="18"/>
              </w:rPr>
              <w:t>（</w:t>
            </w:r>
            <w:r>
              <w:rPr>
                <w:kern w:val="0"/>
                <w:sz w:val="18"/>
                <w:szCs w:val="18"/>
              </w:rPr>
              <w:t>31</w:t>
            </w:r>
            <w:r>
              <w:rPr>
                <w:rFonts w:hint="eastAsia" w:ascii="宋体" w:hAnsi="宋体"/>
                <w:kern w:val="0"/>
                <w:sz w:val="18"/>
                <w:szCs w:val="18"/>
              </w:rPr>
              <w:t>）智慧林业</w:t>
            </w:r>
          </w:p>
        </w:tc>
        <w:tc>
          <w:tcPr>
            <w:tcW w:w="2126" w:type="dxa"/>
            <w:tcBorders>
              <w:top w:val="nil"/>
              <w:left w:val="nil"/>
              <w:bottom w:val="single" w:color="auto" w:sz="4" w:space="0"/>
              <w:right w:val="single" w:color="auto" w:sz="4" w:space="0"/>
            </w:tcBorders>
            <w:vAlign w:val="center"/>
          </w:tcPr>
          <w:p w14:paraId="099F3B55">
            <w:pPr>
              <w:widowControl/>
              <w:jc w:val="center"/>
              <w:rPr>
                <w:kern w:val="0"/>
                <w:sz w:val="18"/>
                <w:szCs w:val="18"/>
              </w:rPr>
            </w:pPr>
            <w:r>
              <w:rPr>
                <w:rFonts w:hint="eastAsia" w:ascii="宋体" w:hAnsi="宋体"/>
                <w:kern w:val="0"/>
                <w:sz w:val="18"/>
                <w:szCs w:val="18"/>
              </w:rPr>
              <w:t>智慧林业</w:t>
            </w:r>
          </w:p>
        </w:tc>
        <w:tc>
          <w:tcPr>
            <w:tcW w:w="1985" w:type="dxa"/>
            <w:tcBorders>
              <w:top w:val="nil"/>
              <w:left w:val="nil"/>
              <w:bottom w:val="single" w:color="auto" w:sz="4" w:space="0"/>
              <w:right w:val="single" w:color="auto" w:sz="4" w:space="0"/>
            </w:tcBorders>
            <w:vAlign w:val="center"/>
          </w:tcPr>
          <w:p w14:paraId="3CB3E0DB">
            <w:pPr>
              <w:widowControl/>
              <w:jc w:val="center"/>
              <w:rPr>
                <w:kern w:val="0"/>
                <w:sz w:val="18"/>
                <w:szCs w:val="18"/>
              </w:rPr>
            </w:pPr>
            <w:r>
              <w:rPr>
                <w:rFonts w:hint="eastAsia" w:ascii="宋体" w:hAnsi="宋体"/>
                <w:kern w:val="0"/>
                <w:sz w:val="18"/>
                <w:szCs w:val="18"/>
              </w:rPr>
              <w:t>育才生态区</w:t>
            </w:r>
          </w:p>
        </w:tc>
        <w:tc>
          <w:tcPr>
            <w:tcW w:w="1275" w:type="dxa"/>
            <w:tcBorders>
              <w:top w:val="nil"/>
              <w:left w:val="nil"/>
              <w:bottom w:val="single" w:color="auto" w:sz="4" w:space="0"/>
              <w:right w:val="single" w:color="auto" w:sz="4" w:space="0"/>
            </w:tcBorders>
            <w:vAlign w:val="center"/>
          </w:tcPr>
          <w:p w14:paraId="5BC5F524">
            <w:pPr>
              <w:widowControl/>
              <w:jc w:val="center"/>
              <w:rPr>
                <w:kern w:val="0"/>
                <w:sz w:val="18"/>
                <w:szCs w:val="18"/>
              </w:rPr>
            </w:pPr>
            <w:r>
              <w:rPr>
                <w:kern w:val="0"/>
                <w:sz w:val="18"/>
                <w:szCs w:val="18"/>
              </w:rPr>
              <w:t>12300</w:t>
            </w:r>
          </w:p>
        </w:tc>
      </w:tr>
      <w:tr w14:paraId="4BE565B1">
        <w:tblPrEx>
          <w:tblCellMar>
            <w:top w:w="0" w:type="dxa"/>
            <w:left w:w="108" w:type="dxa"/>
            <w:bottom w:w="0" w:type="dxa"/>
            <w:right w:w="108" w:type="dxa"/>
          </w:tblCellMar>
        </w:tblPrEx>
        <w:trPr>
          <w:trHeight w:val="285" w:hRule="atLeast"/>
        </w:trPr>
        <w:tc>
          <w:tcPr>
            <w:tcW w:w="640" w:type="dxa"/>
            <w:vMerge w:val="continue"/>
            <w:tcBorders>
              <w:top w:val="nil"/>
              <w:left w:val="single" w:color="auto" w:sz="4" w:space="0"/>
              <w:bottom w:val="single" w:color="auto" w:sz="4" w:space="0"/>
              <w:right w:val="single" w:color="auto" w:sz="4" w:space="0"/>
            </w:tcBorders>
            <w:vAlign w:val="center"/>
          </w:tcPr>
          <w:p w14:paraId="2A26F46F">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337C185F">
            <w:pPr>
              <w:widowControl/>
              <w:jc w:val="left"/>
              <w:rPr>
                <w:b/>
                <w:bCs/>
                <w:kern w:val="0"/>
                <w:sz w:val="18"/>
                <w:szCs w:val="18"/>
              </w:rPr>
            </w:pPr>
          </w:p>
        </w:tc>
        <w:tc>
          <w:tcPr>
            <w:tcW w:w="2130" w:type="dxa"/>
            <w:vMerge w:val="restart"/>
            <w:tcBorders>
              <w:top w:val="nil"/>
              <w:left w:val="single" w:color="auto" w:sz="4" w:space="0"/>
              <w:bottom w:val="single" w:color="auto" w:sz="4" w:space="0"/>
              <w:right w:val="single" w:color="auto" w:sz="4" w:space="0"/>
            </w:tcBorders>
            <w:vAlign w:val="center"/>
          </w:tcPr>
          <w:p w14:paraId="3ABFCA61">
            <w:pPr>
              <w:widowControl/>
              <w:jc w:val="center"/>
              <w:rPr>
                <w:kern w:val="0"/>
                <w:sz w:val="18"/>
                <w:szCs w:val="18"/>
              </w:rPr>
            </w:pPr>
            <w:r>
              <w:rPr>
                <w:rFonts w:hint="eastAsia" w:ascii="宋体" w:hAnsi="宋体"/>
                <w:kern w:val="0"/>
                <w:sz w:val="18"/>
                <w:szCs w:val="18"/>
              </w:rPr>
              <w:t>（</w:t>
            </w:r>
            <w:r>
              <w:rPr>
                <w:kern w:val="0"/>
                <w:sz w:val="18"/>
                <w:szCs w:val="18"/>
              </w:rPr>
              <w:t>32</w:t>
            </w:r>
            <w:r>
              <w:rPr>
                <w:rFonts w:hint="eastAsia" w:ascii="宋体" w:hAnsi="宋体"/>
                <w:kern w:val="0"/>
                <w:sz w:val="18"/>
                <w:szCs w:val="18"/>
              </w:rPr>
              <w:t>）野生动植物保护</w:t>
            </w:r>
          </w:p>
        </w:tc>
        <w:tc>
          <w:tcPr>
            <w:tcW w:w="2126" w:type="dxa"/>
            <w:tcBorders>
              <w:top w:val="nil"/>
              <w:left w:val="nil"/>
              <w:bottom w:val="single" w:color="auto" w:sz="4" w:space="0"/>
              <w:right w:val="single" w:color="auto" w:sz="4" w:space="0"/>
            </w:tcBorders>
            <w:vAlign w:val="center"/>
          </w:tcPr>
          <w:p w14:paraId="6AC3CB38">
            <w:pPr>
              <w:widowControl/>
              <w:jc w:val="center"/>
              <w:rPr>
                <w:kern w:val="0"/>
                <w:sz w:val="18"/>
                <w:szCs w:val="18"/>
              </w:rPr>
            </w:pPr>
            <w:r>
              <w:rPr>
                <w:rFonts w:hint="eastAsia" w:ascii="宋体" w:hAnsi="宋体"/>
                <w:kern w:val="0"/>
                <w:sz w:val="18"/>
                <w:szCs w:val="18"/>
              </w:rPr>
              <w:t>生物多样性资源本底调查</w:t>
            </w:r>
          </w:p>
        </w:tc>
        <w:tc>
          <w:tcPr>
            <w:tcW w:w="1985" w:type="dxa"/>
            <w:tcBorders>
              <w:top w:val="nil"/>
              <w:left w:val="nil"/>
              <w:bottom w:val="single" w:color="auto" w:sz="4" w:space="0"/>
              <w:right w:val="single" w:color="auto" w:sz="4" w:space="0"/>
            </w:tcBorders>
            <w:noWrap/>
            <w:vAlign w:val="center"/>
          </w:tcPr>
          <w:p w14:paraId="74581754">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7283F89C">
            <w:pPr>
              <w:widowControl/>
              <w:jc w:val="center"/>
              <w:rPr>
                <w:kern w:val="0"/>
                <w:sz w:val="18"/>
                <w:szCs w:val="18"/>
              </w:rPr>
            </w:pPr>
            <w:r>
              <w:rPr>
                <w:kern w:val="0"/>
                <w:sz w:val="18"/>
                <w:szCs w:val="18"/>
              </w:rPr>
              <w:t>1500</w:t>
            </w:r>
          </w:p>
        </w:tc>
      </w:tr>
      <w:tr w14:paraId="1F780BA0">
        <w:tblPrEx>
          <w:tblCellMar>
            <w:top w:w="0" w:type="dxa"/>
            <w:left w:w="108" w:type="dxa"/>
            <w:bottom w:w="0" w:type="dxa"/>
            <w:right w:w="108" w:type="dxa"/>
          </w:tblCellMar>
        </w:tblPrEx>
        <w:trPr>
          <w:trHeight w:val="285" w:hRule="atLeast"/>
        </w:trPr>
        <w:tc>
          <w:tcPr>
            <w:tcW w:w="640" w:type="dxa"/>
            <w:vMerge w:val="continue"/>
            <w:tcBorders>
              <w:top w:val="nil"/>
              <w:left w:val="single" w:color="auto" w:sz="4" w:space="0"/>
              <w:bottom w:val="single" w:color="auto" w:sz="4" w:space="0"/>
              <w:right w:val="single" w:color="auto" w:sz="4" w:space="0"/>
            </w:tcBorders>
            <w:vAlign w:val="center"/>
          </w:tcPr>
          <w:p w14:paraId="3A7B1C3B">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1FF6D09D">
            <w:pPr>
              <w:widowControl/>
              <w:jc w:val="left"/>
              <w:rPr>
                <w:b/>
                <w:bCs/>
                <w:kern w:val="0"/>
                <w:sz w:val="18"/>
                <w:szCs w:val="18"/>
              </w:rPr>
            </w:pPr>
          </w:p>
        </w:tc>
        <w:tc>
          <w:tcPr>
            <w:tcW w:w="2130" w:type="dxa"/>
            <w:vMerge w:val="continue"/>
            <w:tcBorders>
              <w:top w:val="nil"/>
              <w:left w:val="single" w:color="auto" w:sz="4" w:space="0"/>
              <w:bottom w:val="single" w:color="auto" w:sz="4" w:space="0"/>
              <w:right w:val="single" w:color="auto" w:sz="4" w:space="0"/>
            </w:tcBorders>
            <w:vAlign w:val="center"/>
          </w:tcPr>
          <w:p w14:paraId="5AADCDF5">
            <w:pPr>
              <w:widowControl/>
              <w:jc w:val="left"/>
              <w:rPr>
                <w:kern w:val="0"/>
                <w:sz w:val="18"/>
                <w:szCs w:val="18"/>
              </w:rPr>
            </w:pPr>
          </w:p>
        </w:tc>
        <w:tc>
          <w:tcPr>
            <w:tcW w:w="2126" w:type="dxa"/>
            <w:tcBorders>
              <w:top w:val="nil"/>
              <w:left w:val="nil"/>
              <w:bottom w:val="single" w:color="auto" w:sz="4" w:space="0"/>
              <w:right w:val="single" w:color="auto" w:sz="4" w:space="0"/>
            </w:tcBorders>
            <w:vAlign w:val="center"/>
          </w:tcPr>
          <w:p w14:paraId="58C30F50">
            <w:pPr>
              <w:widowControl/>
              <w:jc w:val="center"/>
              <w:rPr>
                <w:kern w:val="0"/>
                <w:sz w:val="18"/>
                <w:szCs w:val="18"/>
              </w:rPr>
            </w:pPr>
            <w:r>
              <w:rPr>
                <w:rFonts w:hint="eastAsia" w:ascii="宋体" w:hAnsi="宋体"/>
                <w:kern w:val="0"/>
                <w:sz w:val="18"/>
                <w:szCs w:val="18"/>
              </w:rPr>
              <w:t>生物多样性监测体系</w:t>
            </w:r>
          </w:p>
        </w:tc>
        <w:tc>
          <w:tcPr>
            <w:tcW w:w="1985" w:type="dxa"/>
            <w:tcBorders>
              <w:top w:val="nil"/>
              <w:left w:val="nil"/>
              <w:bottom w:val="single" w:color="auto" w:sz="4" w:space="0"/>
              <w:right w:val="single" w:color="auto" w:sz="4" w:space="0"/>
            </w:tcBorders>
            <w:noWrap/>
            <w:vAlign w:val="center"/>
          </w:tcPr>
          <w:p w14:paraId="4E2F4BB3">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0777F17D">
            <w:pPr>
              <w:widowControl/>
              <w:jc w:val="center"/>
              <w:rPr>
                <w:kern w:val="0"/>
                <w:sz w:val="18"/>
                <w:szCs w:val="18"/>
              </w:rPr>
            </w:pPr>
            <w:r>
              <w:rPr>
                <w:kern w:val="0"/>
                <w:sz w:val="18"/>
                <w:szCs w:val="18"/>
              </w:rPr>
              <w:t>3000</w:t>
            </w:r>
          </w:p>
        </w:tc>
      </w:tr>
      <w:tr w14:paraId="5B775E48">
        <w:tblPrEx>
          <w:tblCellMar>
            <w:top w:w="0" w:type="dxa"/>
            <w:left w:w="108" w:type="dxa"/>
            <w:bottom w:w="0" w:type="dxa"/>
            <w:right w:w="108" w:type="dxa"/>
          </w:tblCellMar>
        </w:tblPrEx>
        <w:trPr>
          <w:trHeight w:val="315" w:hRule="atLeast"/>
        </w:trPr>
        <w:tc>
          <w:tcPr>
            <w:tcW w:w="640" w:type="dxa"/>
            <w:vMerge w:val="continue"/>
            <w:tcBorders>
              <w:top w:val="nil"/>
              <w:left w:val="single" w:color="auto" w:sz="4" w:space="0"/>
              <w:bottom w:val="single" w:color="auto" w:sz="4" w:space="0"/>
              <w:right w:val="single" w:color="auto" w:sz="4" w:space="0"/>
            </w:tcBorders>
            <w:vAlign w:val="center"/>
          </w:tcPr>
          <w:p w14:paraId="5B62A9FA">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731FC624">
            <w:pPr>
              <w:widowControl/>
              <w:jc w:val="left"/>
              <w:rPr>
                <w:b/>
                <w:bCs/>
                <w:kern w:val="0"/>
                <w:sz w:val="18"/>
                <w:szCs w:val="18"/>
              </w:rPr>
            </w:pPr>
          </w:p>
        </w:tc>
        <w:tc>
          <w:tcPr>
            <w:tcW w:w="2130" w:type="dxa"/>
            <w:tcBorders>
              <w:top w:val="nil"/>
              <w:left w:val="nil"/>
              <w:bottom w:val="single" w:color="auto" w:sz="4" w:space="0"/>
              <w:right w:val="single" w:color="auto" w:sz="4" w:space="0"/>
            </w:tcBorders>
            <w:vAlign w:val="center"/>
          </w:tcPr>
          <w:p w14:paraId="2501499E">
            <w:pPr>
              <w:widowControl/>
              <w:jc w:val="center"/>
              <w:rPr>
                <w:kern w:val="0"/>
                <w:sz w:val="18"/>
                <w:szCs w:val="18"/>
              </w:rPr>
            </w:pPr>
            <w:r>
              <w:rPr>
                <w:rFonts w:hint="eastAsia" w:ascii="宋体" w:hAnsi="宋体"/>
                <w:kern w:val="0"/>
                <w:sz w:val="18"/>
                <w:szCs w:val="18"/>
              </w:rPr>
              <w:t>（</w:t>
            </w:r>
            <w:r>
              <w:rPr>
                <w:kern w:val="0"/>
                <w:sz w:val="18"/>
                <w:szCs w:val="18"/>
              </w:rPr>
              <w:t>33</w:t>
            </w:r>
            <w:r>
              <w:rPr>
                <w:rFonts w:hint="eastAsia" w:ascii="宋体" w:hAnsi="宋体"/>
                <w:kern w:val="0"/>
                <w:sz w:val="18"/>
                <w:szCs w:val="18"/>
              </w:rPr>
              <w:t>）林业碳汇</w:t>
            </w:r>
          </w:p>
        </w:tc>
        <w:tc>
          <w:tcPr>
            <w:tcW w:w="2126" w:type="dxa"/>
            <w:tcBorders>
              <w:top w:val="nil"/>
              <w:left w:val="nil"/>
              <w:bottom w:val="single" w:color="auto" w:sz="4" w:space="0"/>
              <w:right w:val="single" w:color="auto" w:sz="4" w:space="0"/>
            </w:tcBorders>
            <w:vAlign w:val="center"/>
          </w:tcPr>
          <w:p w14:paraId="3D71F3A9">
            <w:pPr>
              <w:widowControl/>
              <w:jc w:val="center"/>
              <w:rPr>
                <w:kern w:val="0"/>
                <w:sz w:val="18"/>
                <w:szCs w:val="18"/>
              </w:rPr>
            </w:pPr>
            <w:r>
              <w:rPr>
                <w:rFonts w:hint="eastAsia" w:ascii="宋体" w:hAnsi="宋体"/>
                <w:kern w:val="0"/>
                <w:sz w:val="18"/>
                <w:szCs w:val="18"/>
              </w:rPr>
              <w:t>林业碳汇</w:t>
            </w:r>
          </w:p>
        </w:tc>
        <w:tc>
          <w:tcPr>
            <w:tcW w:w="1985" w:type="dxa"/>
            <w:tcBorders>
              <w:top w:val="nil"/>
              <w:left w:val="nil"/>
              <w:bottom w:val="single" w:color="auto" w:sz="4" w:space="0"/>
              <w:right w:val="single" w:color="auto" w:sz="4" w:space="0"/>
            </w:tcBorders>
            <w:noWrap/>
            <w:vAlign w:val="center"/>
          </w:tcPr>
          <w:p w14:paraId="579D7C40">
            <w:pPr>
              <w:widowControl/>
              <w:jc w:val="center"/>
              <w:rPr>
                <w:kern w:val="0"/>
                <w:sz w:val="18"/>
                <w:szCs w:val="18"/>
              </w:rPr>
            </w:pPr>
            <w:r>
              <w:rPr>
                <w:rFonts w:hint="eastAsia" w:ascii="宋体" w:hAnsi="宋体"/>
                <w:kern w:val="0"/>
                <w:sz w:val="18"/>
                <w:szCs w:val="18"/>
              </w:rPr>
              <w:t>全市范围</w:t>
            </w:r>
          </w:p>
        </w:tc>
        <w:tc>
          <w:tcPr>
            <w:tcW w:w="1275" w:type="dxa"/>
            <w:tcBorders>
              <w:top w:val="nil"/>
              <w:left w:val="nil"/>
              <w:bottom w:val="single" w:color="auto" w:sz="4" w:space="0"/>
              <w:right w:val="single" w:color="auto" w:sz="4" w:space="0"/>
            </w:tcBorders>
            <w:vAlign w:val="center"/>
          </w:tcPr>
          <w:p w14:paraId="4FB485A1">
            <w:pPr>
              <w:widowControl/>
              <w:jc w:val="center"/>
              <w:rPr>
                <w:kern w:val="0"/>
                <w:sz w:val="18"/>
                <w:szCs w:val="18"/>
              </w:rPr>
            </w:pPr>
            <w:r>
              <w:rPr>
                <w:kern w:val="0"/>
                <w:sz w:val="18"/>
                <w:szCs w:val="18"/>
              </w:rPr>
              <w:t>180000</w:t>
            </w:r>
          </w:p>
        </w:tc>
      </w:tr>
      <w:tr w14:paraId="3A46811A">
        <w:tblPrEx>
          <w:tblCellMar>
            <w:top w:w="0" w:type="dxa"/>
            <w:left w:w="108" w:type="dxa"/>
            <w:bottom w:w="0" w:type="dxa"/>
            <w:right w:w="108" w:type="dxa"/>
          </w:tblCellMar>
        </w:tblPrEx>
        <w:trPr>
          <w:trHeight w:val="285" w:hRule="atLeast"/>
        </w:trPr>
        <w:tc>
          <w:tcPr>
            <w:tcW w:w="640" w:type="dxa"/>
            <w:vMerge w:val="continue"/>
            <w:tcBorders>
              <w:top w:val="nil"/>
              <w:left w:val="single" w:color="auto" w:sz="4" w:space="0"/>
              <w:bottom w:val="single" w:color="auto" w:sz="4" w:space="0"/>
              <w:right w:val="single" w:color="auto" w:sz="4" w:space="0"/>
            </w:tcBorders>
            <w:vAlign w:val="center"/>
          </w:tcPr>
          <w:p w14:paraId="0D68E679">
            <w:pPr>
              <w:widowControl/>
              <w:jc w:val="left"/>
              <w:rPr>
                <w:b/>
                <w:bCs/>
                <w:kern w:val="0"/>
                <w:sz w:val="18"/>
                <w:szCs w:val="18"/>
              </w:rPr>
            </w:pPr>
          </w:p>
        </w:tc>
        <w:tc>
          <w:tcPr>
            <w:tcW w:w="1200" w:type="dxa"/>
            <w:vMerge w:val="continue"/>
            <w:tcBorders>
              <w:top w:val="nil"/>
              <w:left w:val="single" w:color="auto" w:sz="4" w:space="0"/>
              <w:bottom w:val="single" w:color="auto" w:sz="4" w:space="0"/>
              <w:right w:val="single" w:color="auto" w:sz="4" w:space="0"/>
            </w:tcBorders>
            <w:vAlign w:val="center"/>
          </w:tcPr>
          <w:p w14:paraId="0C5E5C2B">
            <w:pPr>
              <w:widowControl/>
              <w:jc w:val="left"/>
              <w:rPr>
                <w:b/>
                <w:bCs/>
                <w:kern w:val="0"/>
                <w:sz w:val="18"/>
                <w:szCs w:val="18"/>
              </w:rPr>
            </w:pPr>
          </w:p>
        </w:tc>
        <w:tc>
          <w:tcPr>
            <w:tcW w:w="6241" w:type="dxa"/>
            <w:gridSpan w:val="3"/>
            <w:tcBorders>
              <w:top w:val="single" w:color="auto" w:sz="4" w:space="0"/>
              <w:left w:val="nil"/>
              <w:bottom w:val="single" w:color="auto" w:sz="4" w:space="0"/>
              <w:right w:val="single" w:color="auto" w:sz="4" w:space="0"/>
            </w:tcBorders>
            <w:vAlign w:val="center"/>
          </w:tcPr>
          <w:p w14:paraId="1B02978B">
            <w:pPr>
              <w:widowControl/>
              <w:jc w:val="center"/>
              <w:rPr>
                <w:b/>
                <w:bCs/>
                <w:kern w:val="0"/>
                <w:sz w:val="18"/>
                <w:szCs w:val="18"/>
              </w:rPr>
            </w:pPr>
            <w:r>
              <w:rPr>
                <w:rFonts w:hint="eastAsia" w:ascii="宋体" w:hAnsi="宋体"/>
                <w:b/>
                <w:bCs/>
                <w:kern w:val="0"/>
                <w:sz w:val="18"/>
                <w:szCs w:val="18"/>
              </w:rPr>
              <w:t>小计</w:t>
            </w:r>
          </w:p>
        </w:tc>
        <w:tc>
          <w:tcPr>
            <w:tcW w:w="1275" w:type="dxa"/>
            <w:tcBorders>
              <w:top w:val="nil"/>
              <w:left w:val="nil"/>
              <w:bottom w:val="single" w:color="auto" w:sz="4" w:space="0"/>
              <w:right w:val="single" w:color="auto" w:sz="4" w:space="0"/>
            </w:tcBorders>
            <w:noWrap/>
            <w:vAlign w:val="center"/>
          </w:tcPr>
          <w:p w14:paraId="4D7C72A2">
            <w:pPr>
              <w:widowControl/>
              <w:jc w:val="center"/>
              <w:rPr>
                <w:b/>
                <w:bCs/>
                <w:kern w:val="0"/>
                <w:sz w:val="18"/>
                <w:szCs w:val="18"/>
              </w:rPr>
            </w:pPr>
            <w:r>
              <w:rPr>
                <w:b/>
                <w:bCs/>
                <w:kern w:val="0"/>
                <w:sz w:val="18"/>
                <w:szCs w:val="18"/>
              </w:rPr>
              <w:t>244700</w:t>
            </w:r>
          </w:p>
        </w:tc>
      </w:tr>
    </w:tbl>
    <w:p w14:paraId="3DD38A87">
      <w:pPr>
        <w:spacing w:line="360" w:lineRule="auto"/>
        <w:rPr>
          <w:rFonts w:eastAsia="仿宋_GB2312"/>
          <w:sz w:val="32"/>
          <w:szCs w:val="32"/>
        </w:rPr>
        <w:sectPr>
          <w:pgSz w:w="11906" w:h="16838"/>
          <w:pgMar w:top="1440" w:right="1800" w:bottom="1440" w:left="1800" w:header="851" w:footer="992" w:gutter="0"/>
          <w:cols w:space="720" w:num="1"/>
          <w:docGrid w:type="lines" w:linePitch="312" w:charSpace="0"/>
        </w:sectPr>
      </w:pPr>
    </w:p>
    <w:p w14:paraId="77762CD7">
      <w:pPr>
        <w:pStyle w:val="15"/>
        <w:spacing w:before="0"/>
        <w:rPr>
          <w:rFonts w:ascii="黑体" w:hAnsi="黑体" w:eastAsia="黑体"/>
          <w:sz w:val="36"/>
        </w:rPr>
      </w:pPr>
      <w:bookmarkStart w:id="61" w:name="_Toc82546075"/>
      <w:r>
        <w:rPr>
          <w:rFonts w:ascii="黑体" w:hAnsi="黑体" w:eastAsia="黑体"/>
          <w:sz w:val="36"/>
        </w:rPr>
        <w:t>第</w:t>
      </w:r>
      <w:r>
        <w:rPr>
          <w:rFonts w:hint="eastAsia" w:ascii="黑体" w:hAnsi="黑体" w:eastAsia="黑体"/>
          <w:sz w:val="36"/>
        </w:rPr>
        <w:t>六</w:t>
      </w:r>
      <w:r>
        <w:rPr>
          <w:rFonts w:ascii="黑体" w:hAnsi="黑体" w:eastAsia="黑体"/>
          <w:sz w:val="36"/>
        </w:rPr>
        <w:t>章 森林旅游与森林康养产业规划</w:t>
      </w:r>
      <w:bookmarkEnd w:id="61"/>
    </w:p>
    <w:p w14:paraId="0BA31F1B">
      <w:pPr>
        <w:pStyle w:val="3"/>
        <w:spacing w:before="312" w:beforeLines="100" w:after="0" w:line="240" w:lineRule="auto"/>
        <w:rPr>
          <w:rFonts w:ascii="Times New Roman" w:hAnsi="Times New Roman" w:eastAsia="黑体"/>
        </w:rPr>
      </w:pPr>
      <w:bookmarkStart w:id="62" w:name="_Toc82546076"/>
      <w:r>
        <w:rPr>
          <w:rFonts w:hint="eastAsia" w:ascii="Times New Roman" w:hAnsi="Times New Roman" w:eastAsia="黑体"/>
        </w:rPr>
        <w:t>6</w:t>
      </w:r>
      <w:r>
        <w:rPr>
          <w:rFonts w:ascii="Times New Roman" w:hAnsi="Times New Roman" w:eastAsia="黑体"/>
        </w:rPr>
        <w:t>.1 产业现状</w:t>
      </w:r>
      <w:bookmarkEnd w:id="62"/>
      <w:r>
        <w:rPr>
          <w:rFonts w:hint="eastAsia" w:ascii="Times New Roman" w:hAnsi="Times New Roman" w:eastAsia="黑体"/>
        </w:rPr>
        <w:t xml:space="preserve">  </w:t>
      </w:r>
    </w:p>
    <w:p w14:paraId="0BED10F9">
      <w:pPr>
        <w:spacing w:line="360" w:lineRule="auto"/>
        <w:ind w:firstLine="640" w:firstLineChars="200"/>
        <w:rPr>
          <w:rFonts w:hint="eastAsia" w:eastAsia="仿宋_GB2312"/>
          <w:sz w:val="32"/>
          <w:szCs w:val="32"/>
        </w:rPr>
      </w:pPr>
      <w:r>
        <w:rPr>
          <w:rFonts w:hint="eastAsia" w:eastAsia="仿宋_GB2312"/>
          <w:sz w:val="32"/>
          <w:szCs w:val="32"/>
        </w:rPr>
        <w:t>森林旅游是生活在现代文明社会的人们对孕育人类文明大自然的回归，已成为林业经营中新的经济增长点，具有较强的自然性、真实性、观赏性，也是与当地经济发展密切联系的、也是提高经济效益和实现可持续发展的目的。</w:t>
      </w:r>
    </w:p>
    <w:p w14:paraId="20B0E2D9">
      <w:pPr>
        <w:spacing w:line="360" w:lineRule="auto"/>
        <w:ind w:firstLine="640" w:firstLineChars="200"/>
        <w:rPr>
          <w:rFonts w:hint="eastAsia" w:eastAsia="仿宋_GB2312"/>
          <w:sz w:val="32"/>
          <w:szCs w:val="32"/>
        </w:rPr>
      </w:pPr>
      <w:r>
        <w:rPr>
          <w:rFonts w:eastAsia="仿宋_GB2312"/>
          <w:sz w:val="32"/>
          <w:szCs w:val="32"/>
        </w:rPr>
        <w:t>三亚市森林旅游资源包括热带雨林、低地雨林、城市公园、海洋湿地类等。迄今，</w:t>
      </w:r>
      <w:r>
        <w:rPr>
          <w:rFonts w:hint="eastAsia" w:eastAsia="仿宋_GB2312"/>
          <w:sz w:val="32"/>
          <w:szCs w:val="32"/>
        </w:rPr>
        <w:t>三亚市</w:t>
      </w:r>
      <w:r>
        <w:rPr>
          <w:rFonts w:eastAsia="仿宋_GB2312"/>
          <w:sz w:val="32"/>
          <w:szCs w:val="32"/>
        </w:rPr>
        <w:t>自然保护区公园7个，包括海洋湿地类型的自然保护区、野生动植物自然保护区和森林生态系统自然保护区三种类型，总面积3939.7 hm</w:t>
      </w:r>
      <w:r>
        <w:rPr>
          <w:rFonts w:eastAsia="仿宋_GB2312"/>
          <w:sz w:val="32"/>
          <w:szCs w:val="32"/>
          <w:vertAlign w:val="superscript"/>
        </w:rPr>
        <w:t>2</w:t>
      </w:r>
      <w:r>
        <w:rPr>
          <w:rFonts w:hint="eastAsia" w:eastAsia="仿宋_GB2312"/>
          <w:sz w:val="32"/>
          <w:szCs w:val="32"/>
        </w:rPr>
        <w:t>，</w:t>
      </w:r>
      <w:r>
        <w:rPr>
          <w:rFonts w:eastAsia="仿宋_GB2312"/>
          <w:sz w:val="32"/>
          <w:szCs w:val="32"/>
        </w:rPr>
        <w:t>以保护为主，未计产值</w:t>
      </w:r>
      <w:r>
        <w:rPr>
          <w:rFonts w:hint="eastAsia" w:eastAsia="仿宋_GB2312"/>
          <w:sz w:val="32"/>
          <w:szCs w:val="32"/>
        </w:rPr>
        <w:t>。据统计，</w:t>
      </w:r>
      <w:r>
        <w:rPr>
          <w:rFonts w:eastAsia="仿宋_GB2312"/>
          <w:sz w:val="32"/>
          <w:szCs w:val="32"/>
        </w:rPr>
        <w:t>三亚市森林公园共有</w:t>
      </w:r>
      <w:r>
        <w:rPr>
          <w:rFonts w:hint="eastAsia" w:eastAsia="仿宋_GB2312"/>
          <w:sz w:val="32"/>
          <w:szCs w:val="32"/>
        </w:rPr>
        <w:t>6</w:t>
      </w:r>
      <w:r>
        <w:rPr>
          <w:rFonts w:eastAsia="仿宋_GB2312"/>
          <w:sz w:val="32"/>
          <w:szCs w:val="32"/>
        </w:rPr>
        <w:t>处，总面积</w:t>
      </w:r>
      <w:r>
        <w:rPr>
          <w:rFonts w:hint="eastAsia" w:eastAsia="仿宋_GB2312"/>
          <w:sz w:val="32"/>
          <w:szCs w:val="32"/>
        </w:rPr>
        <w:t>8041.8</w:t>
      </w:r>
      <w:r>
        <w:rPr>
          <w:rFonts w:eastAsia="仿宋_GB2312"/>
          <w:sz w:val="32"/>
          <w:szCs w:val="32"/>
        </w:rPr>
        <w:t xml:space="preserve"> hm</w:t>
      </w:r>
      <w:r>
        <w:rPr>
          <w:rFonts w:eastAsia="仿宋_GB2312"/>
          <w:sz w:val="32"/>
          <w:szCs w:val="32"/>
          <w:vertAlign w:val="superscript"/>
        </w:rPr>
        <w:t>2</w:t>
      </w:r>
      <w:r>
        <w:rPr>
          <w:rFonts w:eastAsia="仿宋_GB2312"/>
          <w:sz w:val="32"/>
          <w:szCs w:val="32"/>
        </w:rPr>
        <w:t>，</w:t>
      </w:r>
      <w:r>
        <w:rPr>
          <w:rFonts w:hint="eastAsia" w:eastAsia="仿宋_GB2312"/>
          <w:sz w:val="32"/>
          <w:szCs w:val="32"/>
        </w:rPr>
        <w:t>2020年</w:t>
      </w:r>
      <w:r>
        <w:rPr>
          <w:rFonts w:eastAsia="仿宋_GB2312"/>
          <w:sz w:val="32"/>
          <w:szCs w:val="32"/>
        </w:rPr>
        <w:t>游客量高达</w:t>
      </w:r>
      <w:r>
        <w:rPr>
          <w:rFonts w:hint="eastAsia" w:eastAsia="仿宋_GB2312"/>
          <w:sz w:val="32"/>
          <w:szCs w:val="32"/>
        </w:rPr>
        <w:t>237.6万人次，</w:t>
      </w:r>
      <w:r>
        <w:rPr>
          <w:rFonts w:eastAsia="仿宋_GB2312"/>
          <w:sz w:val="32"/>
          <w:szCs w:val="32"/>
        </w:rPr>
        <w:t>产值43712万元</w:t>
      </w:r>
      <w:r>
        <w:rPr>
          <w:rFonts w:hint="eastAsia" w:eastAsia="仿宋_GB2312"/>
          <w:sz w:val="32"/>
          <w:szCs w:val="32"/>
        </w:rPr>
        <w:t>，</w:t>
      </w:r>
      <w:r>
        <w:rPr>
          <w:rFonts w:eastAsia="仿宋_GB2312"/>
          <w:sz w:val="32"/>
          <w:szCs w:val="32"/>
        </w:rPr>
        <w:t>占</w:t>
      </w:r>
      <w:r>
        <w:rPr>
          <w:rFonts w:hint="eastAsia" w:eastAsia="仿宋_GB2312"/>
          <w:sz w:val="32"/>
          <w:szCs w:val="32"/>
        </w:rPr>
        <w:t>2020年林业总产值9.1%。</w:t>
      </w:r>
      <w:r>
        <w:rPr>
          <w:rFonts w:eastAsia="仿宋_GB2312"/>
          <w:sz w:val="32"/>
          <w:szCs w:val="32"/>
        </w:rPr>
        <w:t>三亚市湿地总面积约8930.1 hm</w:t>
      </w:r>
      <w:r>
        <w:rPr>
          <w:rFonts w:eastAsia="仿宋_GB2312"/>
          <w:sz w:val="32"/>
          <w:szCs w:val="32"/>
          <w:vertAlign w:val="superscript"/>
        </w:rPr>
        <w:t>2</w:t>
      </w:r>
      <w:r>
        <w:rPr>
          <w:rFonts w:hint="eastAsia" w:eastAsia="仿宋_GB2312"/>
          <w:sz w:val="32"/>
          <w:szCs w:val="32"/>
        </w:rPr>
        <w:t>（数据来源于《三亚市湿地资源调查专题报告》、《三亚湿地保护专题片》等材料）</w:t>
      </w:r>
      <w:r>
        <w:rPr>
          <w:rFonts w:eastAsia="仿宋_GB2312"/>
          <w:sz w:val="32"/>
          <w:szCs w:val="32"/>
        </w:rPr>
        <w:t>，</w:t>
      </w:r>
      <w:r>
        <w:rPr>
          <w:rFonts w:hint="eastAsia" w:eastAsia="仿宋_GB2312"/>
          <w:sz w:val="32"/>
          <w:szCs w:val="32"/>
        </w:rPr>
        <w:t>含</w:t>
      </w:r>
      <w:r>
        <w:rPr>
          <w:rFonts w:eastAsia="仿宋_GB2312"/>
          <w:sz w:val="32"/>
          <w:szCs w:val="32"/>
        </w:rPr>
        <w:t>水稻田</w:t>
      </w:r>
      <w:r>
        <w:rPr>
          <w:rFonts w:hint="eastAsia" w:eastAsia="仿宋_GB2312"/>
          <w:sz w:val="32"/>
          <w:szCs w:val="32"/>
        </w:rPr>
        <w:t>、</w:t>
      </w:r>
      <w:r>
        <w:rPr>
          <w:rFonts w:eastAsia="仿宋_GB2312"/>
          <w:sz w:val="32"/>
          <w:szCs w:val="32"/>
        </w:rPr>
        <w:t>自然湿地和人工湿地</w:t>
      </w:r>
      <w:r>
        <w:rPr>
          <w:rFonts w:hint="eastAsia" w:eastAsia="仿宋_GB2312"/>
          <w:sz w:val="32"/>
          <w:szCs w:val="32"/>
        </w:rPr>
        <w:t>。</w:t>
      </w:r>
      <w:r>
        <w:rPr>
          <w:rFonts w:eastAsia="仿宋_GB2312"/>
          <w:sz w:val="32"/>
          <w:szCs w:val="32"/>
        </w:rPr>
        <w:t>森林康养建设项目有海南南岛国家森林康养基地和天使·净心谷森林康养</w:t>
      </w:r>
      <w:r>
        <w:rPr>
          <w:rFonts w:hint="eastAsia" w:eastAsia="仿宋_GB2312"/>
          <w:sz w:val="32"/>
          <w:szCs w:val="32"/>
        </w:rPr>
        <w:t>2个</w:t>
      </w:r>
      <w:r>
        <w:rPr>
          <w:rFonts w:eastAsia="仿宋_GB2312"/>
          <w:sz w:val="32"/>
          <w:szCs w:val="32"/>
        </w:rPr>
        <w:t>基地</w:t>
      </w:r>
      <w:r>
        <w:rPr>
          <w:rFonts w:hint="eastAsia" w:eastAsia="仿宋_GB2312"/>
          <w:sz w:val="32"/>
          <w:szCs w:val="32"/>
        </w:rPr>
        <w:t>。</w:t>
      </w:r>
    </w:p>
    <w:p w14:paraId="3CFB4FC3">
      <w:pPr>
        <w:spacing w:line="360" w:lineRule="auto"/>
        <w:ind w:firstLine="643" w:firstLineChars="200"/>
        <w:rPr>
          <w:rFonts w:eastAsia="仿宋_GB2312"/>
          <w:b/>
          <w:sz w:val="32"/>
          <w:szCs w:val="32"/>
        </w:rPr>
      </w:pPr>
      <w:r>
        <w:rPr>
          <w:rFonts w:eastAsia="仿宋_GB2312"/>
          <w:b/>
          <w:sz w:val="32"/>
          <w:szCs w:val="32"/>
        </w:rPr>
        <w:t>（1）公共绿地或城市公园</w:t>
      </w:r>
    </w:p>
    <w:p w14:paraId="102FB6C5">
      <w:pPr>
        <w:spacing w:line="360" w:lineRule="auto"/>
        <w:ind w:firstLine="640" w:firstLineChars="200"/>
        <w:rPr>
          <w:rFonts w:hint="eastAsia" w:eastAsia="仿宋_GB2312"/>
          <w:sz w:val="32"/>
          <w:szCs w:val="32"/>
        </w:rPr>
      </w:pPr>
      <w:r>
        <w:rPr>
          <w:rFonts w:eastAsia="仿宋_GB2312"/>
          <w:sz w:val="32"/>
          <w:szCs w:val="32"/>
        </w:rPr>
        <w:t>三亚市公共绿地发展迅速，城区绿化覆盖率</w:t>
      </w:r>
      <w:r>
        <w:rPr>
          <w:rFonts w:hint="eastAsia" w:eastAsia="仿宋_GB2312"/>
          <w:sz w:val="32"/>
          <w:szCs w:val="32"/>
        </w:rPr>
        <w:t>42.34</w:t>
      </w:r>
      <w:r>
        <w:rPr>
          <w:rFonts w:eastAsia="仿宋_GB2312"/>
          <w:sz w:val="32"/>
          <w:szCs w:val="32"/>
        </w:rPr>
        <w:t>%，城区树冠覆盖率38.9%，人均公园绿地面积</w:t>
      </w:r>
      <w:r>
        <w:rPr>
          <w:rFonts w:hint="eastAsia" w:eastAsia="仿宋_GB2312"/>
          <w:sz w:val="32"/>
          <w:szCs w:val="32"/>
        </w:rPr>
        <w:t xml:space="preserve">13.87 </w:t>
      </w:r>
      <w:r>
        <w:rPr>
          <w:rFonts w:eastAsia="仿宋_GB2312"/>
          <w:sz w:val="32"/>
          <w:szCs w:val="32"/>
        </w:rPr>
        <w:t>m</w:t>
      </w:r>
      <w:r>
        <w:rPr>
          <w:rFonts w:eastAsia="仿宋_GB2312"/>
          <w:sz w:val="32"/>
          <w:szCs w:val="32"/>
          <w:vertAlign w:val="superscript"/>
        </w:rPr>
        <w:t>2</w:t>
      </w:r>
      <w:r>
        <w:rPr>
          <w:rFonts w:eastAsia="仿宋_GB2312"/>
          <w:sz w:val="32"/>
          <w:szCs w:val="32"/>
        </w:rPr>
        <w:t>。城市公共绿地或城市公园均属于公益性游憩公园，未计产值。目前，已建成了东岸湿地公园、红树林生态公园等集生态、游憩、观光功能于一体的大型公园绿地，建成月川生态绿道公园和多个生态公园带等，形成了“两河七园”城市中心公园带，还建有新岸湿地公园、棕榈滩滨河公园等公园以及广场绿地、社区公园等。</w:t>
      </w:r>
    </w:p>
    <w:p w14:paraId="11836F9F">
      <w:pPr>
        <w:spacing w:line="360" w:lineRule="auto"/>
        <w:ind w:firstLine="643" w:firstLineChars="200"/>
        <w:rPr>
          <w:rFonts w:eastAsia="仿宋_GB2312"/>
          <w:b/>
          <w:sz w:val="32"/>
          <w:szCs w:val="32"/>
        </w:rPr>
      </w:pPr>
      <w:r>
        <w:rPr>
          <w:rFonts w:eastAsia="仿宋_GB2312"/>
          <w:b/>
          <w:sz w:val="32"/>
          <w:szCs w:val="32"/>
        </w:rPr>
        <w:t>（2）自然保护区</w:t>
      </w:r>
    </w:p>
    <w:p w14:paraId="7A5DE83F">
      <w:pPr>
        <w:spacing w:line="360" w:lineRule="auto"/>
        <w:ind w:firstLine="640" w:firstLineChars="200"/>
        <w:rPr>
          <w:rFonts w:eastAsia="仿宋_GB2312"/>
          <w:sz w:val="32"/>
          <w:szCs w:val="32"/>
        </w:rPr>
      </w:pPr>
      <w:r>
        <w:rPr>
          <w:rFonts w:eastAsia="仿宋_GB2312"/>
          <w:sz w:val="32"/>
          <w:szCs w:val="32"/>
        </w:rPr>
        <w:t>海洋湿地类型以保护珊瑚礁、红树林湿地生态系统为目的，集生态保护、科学研究及宣传教育等于一体，如三亚国家级珊瑚礁自然保护区、三亚铁炉港红树林保护区、亚龙湾青梅港红树林保护区、三亚河红树林保护区。野生动植物保护类型是以保护森林植物与野生动物及其生境共同形成的热带森林生态系统为目的，如三亚六道市级自然保护区</w:t>
      </w:r>
      <w:r>
        <w:rPr>
          <w:rFonts w:hint="eastAsia" w:eastAsia="仿宋_GB2312"/>
          <w:sz w:val="32"/>
          <w:szCs w:val="32"/>
        </w:rPr>
        <w:t>。</w:t>
      </w:r>
      <w:r>
        <w:rPr>
          <w:rFonts w:eastAsia="仿宋_GB2312"/>
          <w:sz w:val="32"/>
          <w:szCs w:val="32"/>
        </w:rPr>
        <w:t>三亚甘什岭无翼坡垒自然保护区是以保护无翼坡垒种群及其生境为目的，集生态保护、科学研究、宣传教育及可持续利用等</w:t>
      </w:r>
      <w:r>
        <w:rPr>
          <w:rFonts w:hint="eastAsia" w:eastAsia="仿宋_GB2312"/>
          <w:sz w:val="32"/>
          <w:szCs w:val="32"/>
        </w:rPr>
        <w:t>于</w:t>
      </w:r>
      <w:r>
        <w:rPr>
          <w:rFonts w:eastAsia="仿宋_GB2312"/>
          <w:sz w:val="32"/>
          <w:szCs w:val="32"/>
        </w:rPr>
        <w:t>一体的自然保护区。</w:t>
      </w:r>
    </w:p>
    <w:p w14:paraId="7FA3AFA5">
      <w:pPr>
        <w:spacing w:line="360" w:lineRule="auto"/>
        <w:ind w:firstLine="643" w:firstLineChars="200"/>
        <w:rPr>
          <w:rFonts w:eastAsia="仿宋_GB2312"/>
          <w:b/>
          <w:sz w:val="32"/>
          <w:szCs w:val="32"/>
        </w:rPr>
      </w:pPr>
      <w:r>
        <w:rPr>
          <w:rFonts w:eastAsia="仿宋_GB2312"/>
          <w:b/>
          <w:sz w:val="32"/>
          <w:szCs w:val="32"/>
        </w:rPr>
        <w:t>（3）森林公园</w:t>
      </w:r>
    </w:p>
    <w:p w14:paraId="45964966">
      <w:pPr>
        <w:spacing w:line="360" w:lineRule="auto"/>
        <w:ind w:firstLine="640" w:firstLineChars="200"/>
        <w:rPr>
          <w:rFonts w:hint="eastAsia" w:eastAsia="仿宋_GB2312"/>
          <w:sz w:val="32"/>
          <w:szCs w:val="32"/>
        </w:rPr>
      </w:pPr>
      <w:r>
        <w:rPr>
          <w:rFonts w:eastAsia="仿宋_GB2312"/>
          <w:sz w:val="32"/>
          <w:szCs w:val="32"/>
        </w:rPr>
        <w:t>亚龙湾热带天堂森林公园位于三亚市吉阳区，面积1506 hm</w:t>
      </w:r>
      <w:r>
        <w:rPr>
          <w:rFonts w:eastAsia="仿宋_GB2312"/>
          <w:sz w:val="32"/>
          <w:szCs w:val="32"/>
          <w:vertAlign w:val="superscript"/>
        </w:rPr>
        <w:t>2</w:t>
      </w:r>
      <w:r>
        <w:rPr>
          <w:rFonts w:eastAsia="仿宋_GB2312"/>
          <w:sz w:val="32"/>
          <w:szCs w:val="32"/>
        </w:rPr>
        <w:t>，是海南省第一座滨海山地生态观光兼生态度假型森林公园，</w:t>
      </w:r>
      <w:r>
        <w:rPr>
          <w:rFonts w:hint="eastAsia" w:eastAsia="仿宋_GB2312"/>
          <w:sz w:val="32"/>
          <w:szCs w:val="32"/>
        </w:rPr>
        <w:t>2020</w:t>
      </w:r>
      <w:r>
        <w:rPr>
          <w:rFonts w:eastAsia="仿宋_GB2312"/>
          <w:sz w:val="32"/>
          <w:szCs w:val="32"/>
        </w:rPr>
        <w:t>年接待游客达207万人次，年营业额42773万元，占森林旅游产值</w:t>
      </w:r>
      <w:r>
        <w:rPr>
          <w:rFonts w:hint="eastAsia" w:eastAsia="仿宋_GB2312"/>
          <w:sz w:val="32"/>
          <w:szCs w:val="32"/>
        </w:rPr>
        <w:t>97.9%。</w:t>
      </w:r>
      <w:r>
        <w:rPr>
          <w:rFonts w:eastAsia="仿宋_GB2312"/>
          <w:sz w:val="32"/>
          <w:szCs w:val="32"/>
        </w:rPr>
        <w:t>三亚抱龙森林公园位于三亚市天涯区北部的省级森林公园，面积2884.3 hm</w:t>
      </w:r>
      <w:r>
        <w:rPr>
          <w:rFonts w:eastAsia="仿宋_GB2312"/>
          <w:sz w:val="32"/>
          <w:szCs w:val="32"/>
          <w:vertAlign w:val="superscript"/>
        </w:rPr>
        <w:t>2</w:t>
      </w:r>
      <w:r>
        <w:rPr>
          <w:rFonts w:eastAsia="仿宋_GB2312"/>
          <w:sz w:val="32"/>
          <w:szCs w:val="32"/>
        </w:rPr>
        <w:t>，年接待游客0.6万人次，年营业额139万元</w:t>
      </w:r>
      <w:r>
        <w:rPr>
          <w:rFonts w:hint="eastAsia" w:eastAsia="仿宋_GB2312"/>
          <w:sz w:val="32"/>
          <w:szCs w:val="32"/>
        </w:rPr>
        <w:t>，</w:t>
      </w:r>
      <w:r>
        <w:rPr>
          <w:rFonts w:eastAsia="仿宋_GB2312"/>
          <w:sz w:val="32"/>
          <w:szCs w:val="32"/>
        </w:rPr>
        <w:t>占森林旅游产值</w:t>
      </w:r>
      <w:r>
        <w:rPr>
          <w:rFonts w:hint="eastAsia" w:eastAsia="仿宋_GB2312"/>
          <w:sz w:val="32"/>
          <w:szCs w:val="32"/>
        </w:rPr>
        <w:t>0.3%</w:t>
      </w:r>
      <w:r>
        <w:rPr>
          <w:rFonts w:eastAsia="仿宋_GB2312"/>
          <w:sz w:val="32"/>
          <w:szCs w:val="32"/>
        </w:rPr>
        <w:t>。凤凰岭</w:t>
      </w:r>
      <w:r>
        <w:rPr>
          <w:rFonts w:hint="eastAsia" w:eastAsia="仿宋_GB2312"/>
          <w:sz w:val="32"/>
          <w:szCs w:val="32"/>
        </w:rPr>
        <w:t>城市</w:t>
      </w:r>
      <w:r>
        <w:rPr>
          <w:rFonts w:eastAsia="仿宋_GB2312"/>
          <w:sz w:val="32"/>
          <w:szCs w:val="32"/>
        </w:rPr>
        <w:t>公园位于市中心，面积586.49 hm</w:t>
      </w:r>
      <w:r>
        <w:rPr>
          <w:rFonts w:eastAsia="仿宋_GB2312"/>
          <w:sz w:val="32"/>
          <w:szCs w:val="32"/>
          <w:vertAlign w:val="superscript"/>
        </w:rPr>
        <w:t>2</w:t>
      </w:r>
      <w:r>
        <w:rPr>
          <w:rFonts w:eastAsia="仿宋_GB2312"/>
          <w:sz w:val="32"/>
          <w:szCs w:val="32"/>
        </w:rPr>
        <w:t>，年接待游人</w:t>
      </w:r>
      <w:r>
        <w:rPr>
          <w:rFonts w:hint="eastAsia" w:eastAsia="仿宋_GB2312"/>
          <w:sz w:val="32"/>
          <w:szCs w:val="32"/>
        </w:rPr>
        <w:t>2</w:t>
      </w:r>
      <w:r>
        <w:rPr>
          <w:rFonts w:eastAsia="仿宋_GB2312"/>
          <w:sz w:val="32"/>
          <w:szCs w:val="32"/>
        </w:rPr>
        <w:t>0万人次，年营业额</w:t>
      </w:r>
      <w:r>
        <w:rPr>
          <w:rFonts w:hint="eastAsia" w:eastAsia="仿宋_GB2312"/>
          <w:sz w:val="32"/>
          <w:szCs w:val="32"/>
        </w:rPr>
        <w:t>12</w:t>
      </w:r>
      <w:r>
        <w:rPr>
          <w:rFonts w:eastAsia="仿宋_GB2312"/>
          <w:sz w:val="32"/>
          <w:szCs w:val="32"/>
        </w:rPr>
        <w:t>00万元</w:t>
      </w:r>
      <w:r>
        <w:rPr>
          <w:rFonts w:hint="eastAsia" w:eastAsia="仿宋_GB2312"/>
          <w:sz w:val="32"/>
          <w:szCs w:val="32"/>
        </w:rPr>
        <w:t>，</w:t>
      </w:r>
      <w:r>
        <w:rPr>
          <w:rFonts w:eastAsia="仿宋_GB2312"/>
          <w:sz w:val="32"/>
          <w:szCs w:val="32"/>
        </w:rPr>
        <w:t>占森林旅游产值</w:t>
      </w:r>
      <w:r>
        <w:rPr>
          <w:rFonts w:hint="eastAsia" w:eastAsia="仿宋_GB2312"/>
          <w:sz w:val="32"/>
          <w:szCs w:val="32"/>
        </w:rPr>
        <w:t>2.7%</w:t>
      </w:r>
      <w:r>
        <w:rPr>
          <w:rFonts w:eastAsia="仿宋_GB2312"/>
          <w:sz w:val="32"/>
          <w:szCs w:val="32"/>
        </w:rPr>
        <w:t>。临春岭森林公园为公众服务的开放式、公益性城市森林公园，年入园20万人次。</w:t>
      </w:r>
    </w:p>
    <w:p w14:paraId="318A9CA8">
      <w:pPr>
        <w:spacing w:line="360" w:lineRule="auto"/>
        <w:ind w:firstLine="643" w:firstLineChars="200"/>
        <w:rPr>
          <w:rFonts w:eastAsia="仿宋_GB2312"/>
          <w:b/>
          <w:sz w:val="32"/>
          <w:szCs w:val="32"/>
        </w:rPr>
      </w:pPr>
      <w:r>
        <w:rPr>
          <w:rFonts w:eastAsia="仿宋_GB2312"/>
          <w:b/>
          <w:sz w:val="32"/>
          <w:szCs w:val="32"/>
        </w:rPr>
        <w:t>（4）湿地资源</w:t>
      </w:r>
    </w:p>
    <w:p w14:paraId="2DA8A143">
      <w:pPr>
        <w:spacing w:line="360" w:lineRule="auto"/>
        <w:ind w:firstLine="640" w:firstLineChars="200"/>
        <w:rPr>
          <w:rFonts w:eastAsia="仿宋_GB2312"/>
          <w:sz w:val="32"/>
          <w:szCs w:val="32"/>
        </w:rPr>
      </w:pPr>
      <w:r>
        <w:rPr>
          <w:rFonts w:eastAsia="仿宋_GB2312"/>
          <w:sz w:val="32"/>
          <w:szCs w:val="32"/>
        </w:rPr>
        <w:t>三亚市自然湿地有红树林、河流湿地、湖泊湿地和沼泽湿地；人工湿地包括水田、水库、养殖塘、盐田等</w:t>
      </w:r>
      <w:r>
        <w:rPr>
          <w:rFonts w:hint="eastAsia" w:eastAsia="仿宋_GB2312"/>
          <w:sz w:val="32"/>
          <w:szCs w:val="32"/>
        </w:rPr>
        <w:t>，</w:t>
      </w:r>
      <w:r>
        <w:rPr>
          <w:rFonts w:eastAsia="仿宋_GB2312"/>
          <w:sz w:val="32"/>
          <w:szCs w:val="32"/>
        </w:rPr>
        <w:t>总面积约8930.1 hm</w:t>
      </w:r>
      <w:r>
        <w:rPr>
          <w:rFonts w:eastAsia="仿宋_GB2312"/>
          <w:sz w:val="32"/>
          <w:szCs w:val="32"/>
          <w:vertAlign w:val="superscript"/>
        </w:rPr>
        <w:t>2</w:t>
      </w:r>
      <w:r>
        <w:rPr>
          <w:rFonts w:hint="eastAsia" w:eastAsia="仿宋_GB2312"/>
          <w:sz w:val="32"/>
          <w:szCs w:val="32"/>
        </w:rPr>
        <w:t>（数据来源于《三亚市湿地资源调查专题报告》《三亚湿地保护专题片》等材料）。</w:t>
      </w:r>
      <w:r>
        <w:rPr>
          <w:rFonts w:eastAsia="仿宋_GB2312"/>
          <w:sz w:val="32"/>
          <w:szCs w:val="32"/>
        </w:rPr>
        <w:t>湿地资源的分布呈现以下特点：湿地类型多样，分布不均。三亚市红树林是我国分布最南的红树林，具有成林历史较长，植株高大，嗜热型种类多，典型性强等特点。在三亚市沿海淤泥较深的河流海口和海湾滩涂广泛分布，物种种类相对较多，植株生长旺盛。目前主要集中分布地为铁炉港、青梅港、三亚河-临春河与榆林港等河岸及入海口，</w:t>
      </w:r>
      <w:r>
        <w:rPr>
          <w:rFonts w:hint="eastAsia" w:eastAsia="仿宋_GB2312"/>
          <w:sz w:val="32"/>
          <w:szCs w:val="32"/>
        </w:rPr>
        <w:t>红树林湿地面积为</w:t>
      </w:r>
      <w:r>
        <w:rPr>
          <w:rFonts w:eastAsia="仿宋_GB2312"/>
          <w:sz w:val="32"/>
          <w:szCs w:val="32"/>
        </w:rPr>
        <w:t>27</w:t>
      </w:r>
      <w:r>
        <w:rPr>
          <w:rFonts w:hint="eastAsia" w:eastAsia="仿宋_GB2312"/>
          <w:sz w:val="32"/>
          <w:szCs w:val="32"/>
        </w:rPr>
        <w:t>2 hm</w:t>
      </w:r>
      <w:r>
        <w:rPr>
          <w:rFonts w:hint="eastAsia" w:eastAsia="仿宋_GB2312"/>
          <w:sz w:val="32"/>
          <w:szCs w:val="32"/>
          <w:vertAlign w:val="superscript"/>
        </w:rPr>
        <w:t>2</w:t>
      </w:r>
      <w:r>
        <w:rPr>
          <w:rFonts w:hint="eastAsia" w:eastAsia="仿宋_GB2312"/>
          <w:sz w:val="32"/>
          <w:szCs w:val="32"/>
        </w:rPr>
        <w:t>（数据来源于</w:t>
      </w:r>
      <w:r>
        <w:rPr>
          <w:rFonts w:eastAsia="仿宋_GB2312"/>
          <w:sz w:val="32"/>
          <w:szCs w:val="32"/>
        </w:rPr>
        <w:t>2021</w:t>
      </w:r>
      <w:r>
        <w:rPr>
          <w:rFonts w:hint="eastAsia" w:eastAsia="仿宋_GB2312"/>
          <w:sz w:val="32"/>
          <w:szCs w:val="32"/>
        </w:rPr>
        <w:t>年三亚市森林资源二类调查成果）</w:t>
      </w:r>
      <w:r>
        <w:rPr>
          <w:rFonts w:eastAsia="仿宋_GB2312"/>
          <w:sz w:val="32"/>
          <w:szCs w:val="32"/>
        </w:rPr>
        <w:t>。</w:t>
      </w:r>
    </w:p>
    <w:p w14:paraId="393F6513">
      <w:pPr>
        <w:spacing w:line="360" w:lineRule="auto"/>
        <w:ind w:firstLine="643" w:firstLineChars="200"/>
        <w:rPr>
          <w:rFonts w:eastAsia="仿宋_GB2312"/>
          <w:b/>
          <w:sz w:val="32"/>
          <w:szCs w:val="32"/>
        </w:rPr>
      </w:pPr>
      <w:r>
        <w:rPr>
          <w:rFonts w:eastAsia="仿宋_GB2312"/>
          <w:b/>
          <w:sz w:val="32"/>
          <w:szCs w:val="32"/>
        </w:rPr>
        <w:t>（5）风景名胜区</w:t>
      </w:r>
    </w:p>
    <w:p w14:paraId="50156CA8">
      <w:pPr>
        <w:spacing w:line="360" w:lineRule="auto"/>
        <w:ind w:firstLine="640" w:firstLineChars="200"/>
        <w:rPr>
          <w:rFonts w:eastAsia="仿宋_GB2312"/>
          <w:sz w:val="32"/>
          <w:szCs w:val="32"/>
        </w:rPr>
      </w:pPr>
      <w:r>
        <w:rPr>
          <w:rFonts w:hint="eastAsia" w:eastAsia="仿宋_GB2312"/>
          <w:sz w:val="32"/>
          <w:szCs w:val="32"/>
        </w:rPr>
        <w:t>三亚风景名胜区由“三区（天涯海角、亚龙湾、南山-大小洞天）、四点（鹿回头、椰子洲、落笔洞、崖州古城）构成，</w:t>
      </w:r>
      <w:r>
        <w:rPr>
          <w:rFonts w:eastAsia="仿宋_GB2312"/>
          <w:sz w:val="32"/>
          <w:szCs w:val="32"/>
        </w:rPr>
        <w:t>这些景区</w:t>
      </w:r>
      <w:r>
        <w:rPr>
          <w:rFonts w:hint="eastAsia" w:eastAsia="仿宋_GB2312"/>
          <w:sz w:val="32"/>
          <w:szCs w:val="32"/>
        </w:rPr>
        <w:t>2020</w:t>
      </w:r>
      <w:r>
        <w:rPr>
          <w:rFonts w:eastAsia="仿宋_GB2312"/>
          <w:sz w:val="32"/>
          <w:szCs w:val="32"/>
        </w:rPr>
        <w:t>年游客量1</w:t>
      </w:r>
      <w:r>
        <w:rPr>
          <w:rFonts w:hint="eastAsia" w:eastAsia="仿宋_GB2312"/>
          <w:sz w:val="32"/>
          <w:szCs w:val="32"/>
        </w:rPr>
        <w:t>535</w:t>
      </w:r>
      <w:r>
        <w:rPr>
          <w:rFonts w:eastAsia="仿宋_GB2312"/>
          <w:sz w:val="32"/>
          <w:szCs w:val="32"/>
        </w:rPr>
        <w:t>万人次。</w:t>
      </w:r>
    </w:p>
    <w:p w14:paraId="60F6524E">
      <w:pPr>
        <w:spacing w:line="360" w:lineRule="auto"/>
        <w:ind w:firstLine="643" w:firstLineChars="200"/>
        <w:rPr>
          <w:rFonts w:eastAsia="仿宋_GB2312"/>
          <w:b/>
          <w:sz w:val="32"/>
          <w:szCs w:val="32"/>
        </w:rPr>
      </w:pPr>
      <w:r>
        <w:rPr>
          <w:rFonts w:eastAsia="仿宋_GB2312"/>
          <w:b/>
          <w:sz w:val="32"/>
          <w:szCs w:val="32"/>
        </w:rPr>
        <w:t>（6）森林康养</w:t>
      </w:r>
      <w:r>
        <w:rPr>
          <w:rFonts w:hint="eastAsia" w:eastAsia="仿宋_GB2312"/>
          <w:b/>
          <w:sz w:val="32"/>
          <w:szCs w:val="32"/>
        </w:rPr>
        <w:t xml:space="preserve"> </w:t>
      </w:r>
    </w:p>
    <w:p w14:paraId="64C05C0A">
      <w:pPr>
        <w:spacing w:line="360" w:lineRule="auto"/>
        <w:ind w:firstLine="640" w:firstLineChars="200"/>
        <w:rPr>
          <w:rFonts w:hint="eastAsia" w:eastAsia="仿宋_GB2312"/>
          <w:sz w:val="32"/>
          <w:szCs w:val="32"/>
        </w:rPr>
      </w:pPr>
      <w:r>
        <w:rPr>
          <w:rFonts w:hint="eastAsia" w:eastAsia="仿宋_GB2312"/>
          <w:sz w:val="32"/>
          <w:szCs w:val="32"/>
        </w:rPr>
        <w:t>发展森林康养是科学、合理利用森林资源，践行绿水青山就是金山银山理念的有效途径，是实施健康中国战略、  乡村振兴战略的重要措施。</w:t>
      </w:r>
      <w:r>
        <w:rPr>
          <w:rFonts w:eastAsia="仿宋_GB2312"/>
          <w:sz w:val="32"/>
          <w:szCs w:val="32"/>
        </w:rPr>
        <w:t>森林康养作为</w:t>
      </w:r>
      <w:r>
        <w:rPr>
          <w:rFonts w:hint="eastAsia" w:ascii="仿宋_GB2312" w:hAnsi="仿宋_GB2312" w:eastAsia="仿宋_GB2312" w:cs="仿宋_GB2312"/>
          <w:bCs/>
          <w:sz w:val="32"/>
          <w:szCs w:val="32"/>
        </w:rPr>
        <w:t>作为林业生态建设和健康服务的新业态，</w:t>
      </w:r>
      <w:r>
        <w:rPr>
          <w:rFonts w:eastAsia="仿宋_GB2312"/>
          <w:sz w:val="32"/>
          <w:szCs w:val="32"/>
        </w:rPr>
        <w:t>三亚</w:t>
      </w:r>
      <w:r>
        <w:rPr>
          <w:rFonts w:hint="eastAsia" w:ascii="仿宋_GB2312" w:hAnsi="仿宋_GB2312" w:eastAsia="仿宋_GB2312" w:cs="仿宋_GB2312"/>
          <w:bCs/>
          <w:sz w:val="32"/>
          <w:szCs w:val="32"/>
        </w:rPr>
        <w:t>市森林康养基地建设发展处于初级阶段</w:t>
      </w:r>
      <w:r>
        <w:rPr>
          <w:rFonts w:hint="eastAsia" w:eastAsia="仿宋_GB2312"/>
          <w:sz w:val="32"/>
          <w:szCs w:val="32"/>
        </w:rPr>
        <w:t>。目前建设试点为</w:t>
      </w:r>
      <w:r>
        <w:rPr>
          <w:rFonts w:eastAsia="仿宋_GB2312"/>
          <w:sz w:val="32"/>
          <w:szCs w:val="32"/>
        </w:rPr>
        <w:t>海南南岛国家森林康养基地和天使·净心谷森林康养基地。海南南岛国家森林康养基地建设单位为海南融盛置业有限公司，</w:t>
      </w:r>
      <w:r>
        <w:rPr>
          <w:rFonts w:hint="eastAsia" w:eastAsia="仿宋_GB2312"/>
          <w:sz w:val="32"/>
          <w:szCs w:val="32"/>
        </w:rPr>
        <w:t>建设</w:t>
      </w:r>
      <w:r>
        <w:rPr>
          <w:rFonts w:eastAsia="仿宋_GB2312"/>
          <w:sz w:val="32"/>
          <w:szCs w:val="32"/>
        </w:rPr>
        <w:t>面积</w:t>
      </w:r>
      <w:r>
        <w:rPr>
          <w:rFonts w:hint="eastAsia" w:eastAsia="仿宋_GB2312"/>
          <w:sz w:val="32"/>
          <w:szCs w:val="32"/>
        </w:rPr>
        <w:t>1385.35</w:t>
      </w:r>
      <w:r>
        <w:rPr>
          <w:rFonts w:eastAsia="仿宋_GB2312"/>
          <w:sz w:val="32"/>
          <w:szCs w:val="32"/>
        </w:rPr>
        <w:t xml:space="preserve"> hm</w:t>
      </w:r>
      <w:r>
        <w:rPr>
          <w:rFonts w:eastAsia="仿宋_GB2312"/>
          <w:sz w:val="32"/>
          <w:szCs w:val="32"/>
          <w:vertAlign w:val="superscript"/>
        </w:rPr>
        <w:t>2</w:t>
      </w:r>
      <w:r>
        <w:rPr>
          <w:rFonts w:eastAsia="仿宋_GB2312"/>
          <w:sz w:val="32"/>
          <w:szCs w:val="32"/>
        </w:rPr>
        <w:t>。“天使·净心谷”森林康养基地项目由三亚三隆旅游投资开发有限公司投资，</w:t>
      </w:r>
      <w:r>
        <w:rPr>
          <w:rFonts w:hint="eastAsia" w:eastAsia="仿宋_GB2312"/>
          <w:sz w:val="32"/>
          <w:szCs w:val="32"/>
        </w:rPr>
        <w:t>建设</w:t>
      </w:r>
      <w:r>
        <w:rPr>
          <w:rFonts w:eastAsia="仿宋_GB2312"/>
          <w:sz w:val="32"/>
          <w:szCs w:val="32"/>
        </w:rPr>
        <w:t>面积66.</w:t>
      </w:r>
      <w:r>
        <w:rPr>
          <w:rFonts w:hint="eastAsia" w:eastAsia="仿宋_GB2312"/>
          <w:sz w:val="32"/>
          <w:szCs w:val="32"/>
        </w:rPr>
        <w:t xml:space="preserve">23 </w:t>
      </w:r>
      <w:r>
        <w:rPr>
          <w:rFonts w:eastAsia="仿宋_GB2312"/>
          <w:sz w:val="32"/>
          <w:szCs w:val="32"/>
        </w:rPr>
        <w:t>hm</w:t>
      </w:r>
      <w:r>
        <w:rPr>
          <w:rFonts w:eastAsia="仿宋_GB2312"/>
          <w:sz w:val="32"/>
          <w:szCs w:val="32"/>
          <w:vertAlign w:val="superscript"/>
        </w:rPr>
        <w:t>2</w:t>
      </w:r>
      <w:r>
        <w:rPr>
          <w:rFonts w:eastAsia="仿宋_GB2312"/>
          <w:sz w:val="32"/>
          <w:szCs w:val="32"/>
        </w:rPr>
        <w:t>。</w:t>
      </w:r>
    </w:p>
    <w:p w14:paraId="4297E671">
      <w:pPr>
        <w:pStyle w:val="3"/>
        <w:spacing w:before="0" w:after="0" w:line="240" w:lineRule="auto"/>
        <w:rPr>
          <w:rFonts w:ascii="Times New Roman" w:hAnsi="Times New Roman" w:eastAsia="黑体"/>
        </w:rPr>
      </w:pPr>
      <w:bookmarkStart w:id="63" w:name="_Toc82546077"/>
      <w:r>
        <w:rPr>
          <w:rFonts w:hint="eastAsia" w:ascii="Times New Roman" w:hAnsi="Times New Roman" w:eastAsia="黑体"/>
        </w:rPr>
        <w:t>6</w:t>
      </w:r>
      <w:r>
        <w:rPr>
          <w:rFonts w:ascii="Times New Roman" w:hAnsi="Times New Roman" w:eastAsia="黑体"/>
        </w:rPr>
        <w:t>.2 存在的主要问题</w:t>
      </w:r>
      <w:bookmarkEnd w:id="63"/>
    </w:p>
    <w:p w14:paraId="58704BB9">
      <w:pPr>
        <w:spacing w:line="360" w:lineRule="auto"/>
        <w:ind w:firstLine="640" w:firstLineChars="200"/>
        <w:rPr>
          <w:rFonts w:eastAsia="仿宋_GB2312"/>
          <w:sz w:val="32"/>
          <w:szCs w:val="32"/>
        </w:rPr>
      </w:pPr>
      <w:r>
        <w:rPr>
          <w:rFonts w:eastAsia="仿宋_GB2312"/>
          <w:sz w:val="32"/>
          <w:szCs w:val="32"/>
        </w:rPr>
        <w:t>（1）从现状绿地统计数据来看，各项指标均为优良，但考虑三亚市旅游城市的发展定位，日均瞬时游客量达10万人次以上，对城市绿化环境和质量提出更高要求。老城区社区公园、游园数量不足，公园绿地面积不足，在一定程度上加剧了“城市热岛”效应。</w:t>
      </w:r>
    </w:p>
    <w:p w14:paraId="6715EDC4">
      <w:pPr>
        <w:spacing w:line="360" w:lineRule="auto"/>
        <w:ind w:firstLine="640" w:firstLineChars="200"/>
        <w:rPr>
          <w:rFonts w:eastAsia="仿宋_GB2312"/>
          <w:sz w:val="32"/>
          <w:szCs w:val="32"/>
        </w:rPr>
      </w:pPr>
      <w:r>
        <w:rPr>
          <w:rFonts w:eastAsia="仿宋_GB2312"/>
          <w:sz w:val="32"/>
          <w:szCs w:val="32"/>
        </w:rPr>
        <w:t>（2）生态保护压力巨大。随着海南自由贸易港的深入推进及林长制的全面推行，经济建设发展的用地需要不断增加，全市自然资源的保护和管理等方面的压力骤增。盗伐滥伐林木、乱捕乱猎野生动物等破坏生态环境的违法犯罪行为时有发生，古树名木保护受建设影响、</w:t>
      </w:r>
      <w:r>
        <w:rPr>
          <w:rFonts w:hint="eastAsia" w:eastAsia="仿宋_GB2312"/>
          <w:sz w:val="32"/>
          <w:szCs w:val="32"/>
        </w:rPr>
        <w:t>经济林</w:t>
      </w:r>
      <w:r>
        <w:rPr>
          <w:rFonts w:eastAsia="仿宋_GB2312"/>
          <w:sz w:val="32"/>
          <w:szCs w:val="32"/>
        </w:rPr>
        <w:t>改生态林难度大、个别区域毁林开垦或蚕食天然林的现象依然存在，森林及自然资源的保护与恢复同社会经济发展、城市建设之间的矛盾突出，林地保护管理任务重，生态保护压力空前巨大。</w:t>
      </w:r>
    </w:p>
    <w:p w14:paraId="4F4F782E">
      <w:pPr>
        <w:spacing w:line="360" w:lineRule="auto"/>
        <w:ind w:firstLine="640" w:firstLineChars="200"/>
        <w:rPr>
          <w:rFonts w:eastAsia="仿宋_GB2312"/>
          <w:sz w:val="32"/>
          <w:szCs w:val="32"/>
        </w:rPr>
      </w:pPr>
      <w:r>
        <w:rPr>
          <w:rFonts w:eastAsia="仿宋_GB2312"/>
          <w:sz w:val="32"/>
          <w:szCs w:val="32"/>
        </w:rPr>
        <w:t>（3）区位条件制约，人力资源短缺，专业人才缺乏。优质的森林旅游资源集中于较为原生态的地理区域，三亚市大多数森林旅游景区由于区位因素，人力资源不足且难以吸引和留住专业人才。原来从事传统林业生产的职工转型为森林旅游的经营管理或服务人员，缺少必要的森林旅游开发基础知识和专业技能，森林康养管理、教育、研发、生产和贸易等专业人才队伍极其缺乏，培育和开发森林旅游市场以及宣传营销的意识不强，导游服务人员缺乏森林生态保护专业知识，旅游服务品质低。从知识层次来看，森林旅游从业工作人员大多学历低，高层次复合型管理人才极其匮乏。</w:t>
      </w:r>
    </w:p>
    <w:p w14:paraId="36C25FD8">
      <w:pPr>
        <w:spacing w:line="360" w:lineRule="auto"/>
        <w:ind w:firstLine="640" w:firstLineChars="200"/>
        <w:rPr>
          <w:rFonts w:eastAsia="仿宋_GB2312"/>
          <w:sz w:val="32"/>
          <w:szCs w:val="32"/>
        </w:rPr>
      </w:pPr>
      <w:r>
        <w:rPr>
          <w:rFonts w:eastAsia="仿宋_GB2312"/>
          <w:sz w:val="32"/>
          <w:szCs w:val="32"/>
        </w:rPr>
        <w:t>（4）三亚市海滨旅游集中在热带海滨风景名胜区，景区发展成熟，已形成较完善的产品体系，但仍存在旅游产品老化，缺乏创新性和竞争力等问题。</w:t>
      </w:r>
    </w:p>
    <w:p w14:paraId="59E3A0DB">
      <w:pPr>
        <w:spacing w:line="360" w:lineRule="auto"/>
        <w:ind w:firstLine="640" w:firstLineChars="200"/>
        <w:rPr>
          <w:rFonts w:eastAsia="仿宋_GB2312"/>
          <w:sz w:val="32"/>
          <w:szCs w:val="32"/>
        </w:rPr>
      </w:pPr>
      <w:r>
        <w:rPr>
          <w:rFonts w:eastAsia="仿宋_GB2312"/>
          <w:sz w:val="32"/>
          <w:szCs w:val="32"/>
        </w:rPr>
        <w:t>（5）森林康养基础设施不足</w:t>
      </w:r>
      <w:r>
        <w:rPr>
          <w:rFonts w:hint="eastAsia" w:eastAsia="仿宋_GB2312"/>
          <w:sz w:val="32"/>
          <w:szCs w:val="32"/>
        </w:rPr>
        <w:t>，</w:t>
      </w:r>
      <w:r>
        <w:rPr>
          <w:rFonts w:eastAsia="仿宋_GB2312"/>
          <w:sz w:val="32"/>
          <w:szCs w:val="32"/>
        </w:rPr>
        <w:t>行业标准和产业体系还不成熟</w:t>
      </w:r>
      <w:r>
        <w:rPr>
          <w:rFonts w:hint="eastAsia" w:eastAsia="仿宋_GB2312"/>
          <w:sz w:val="32"/>
          <w:szCs w:val="32"/>
        </w:rPr>
        <w:t>。</w:t>
      </w:r>
      <w:r>
        <w:rPr>
          <w:rFonts w:eastAsia="仿宋_GB2312"/>
          <w:sz w:val="32"/>
          <w:szCs w:val="32"/>
        </w:rPr>
        <w:t>现有在建的森林康养基地“最后一公里”道路等基础设施建设滞后，可进入性差。基地内部森林康养步道等交通路网未形成体系，吃、住、行、游、购、娱、养老、医疗、健身等森林康养要素不配套</w:t>
      </w:r>
      <w:r>
        <w:rPr>
          <w:rFonts w:hint="eastAsia" w:eastAsia="仿宋_GB2312"/>
          <w:sz w:val="32"/>
          <w:szCs w:val="32"/>
        </w:rPr>
        <w:t>。</w:t>
      </w:r>
      <w:r>
        <w:rPr>
          <w:rFonts w:eastAsia="仿宋_GB2312"/>
          <w:sz w:val="32"/>
          <w:szCs w:val="32"/>
        </w:rPr>
        <w:t>同时</w:t>
      </w:r>
      <w:r>
        <w:rPr>
          <w:rFonts w:hint="eastAsia" w:eastAsia="仿宋_GB2312"/>
          <w:sz w:val="32"/>
          <w:szCs w:val="32"/>
        </w:rPr>
        <w:t>，</w:t>
      </w:r>
      <w:r>
        <w:rPr>
          <w:rFonts w:eastAsia="仿宋_GB2312"/>
          <w:sz w:val="32"/>
          <w:szCs w:val="32"/>
        </w:rPr>
        <w:t>森林康养基地标准、规范、技术与评价体系等还在不断完善中</w:t>
      </w:r>
      <w:r>
        <w:rPr>
          <w:rFonts w:hint="eastAsia" w:eastAsia="仿宋_GB2312"/>
          <w:sz w:val="32"/>
          <w:szCs w:val="32"/>
        </w:rPr>
        <w:t>，</w:t>
      </w:r>
      <w:r>
        <w:rPr>
          <w:rFonts w:eastAsia="仿宋_GB2312"/>
          <w:sz w:val="32"/>
          <w:szCs w:val="32"/>
        </w:rPr>
        <w:t>在发掘和宣传森林康养文化方面做的不够。</w:t>
      </w:r>
    </w:p>
    <w:p w14:paraId="0C9EE507">
      <w:pPr>
        <w:pStyle w:val="3"/>
        <w:spacing w:before="0" w:after="0" w:line="240" w:lineRule="auto"/>
        <w:rPr>
          <w:rFonts w:ascii="Times New Roman" w:hAnsi="Times New Roman" w:eastAsia="黑体"/>
        </w:rPr>
      </w:pPr>
      <w:bookmarkStart w:id="64" w:name="_Toc82546078"/>
      <w:r>
        <w:rPr>
          <w:rFonts w:hint="eastAsia" w:ascii="Times New Roman" w:hAnsi="Times New Roman" w:eastAsia="黑体"/>
        </w:rPr>
        <w:t>6</w:t>
      </w:r>
      <w:r>
        <w:rPr>
          <w:rFonts w:ascii="Times New Roman" w:hAnsi="Times New Roman" w:eastAsia="黑体"/>
        </w:rPr>
        <w:t>.3 总体布局与规划目标</w:t>
      </w:r>
      <w:bookmarkEnd w:id="64"/>
    </w:p>
    <w:p w14:paraId="46C4ED7F">
      <w:pPr>
        <w:spacing w:line="360" w:lineRule="auto"/>
        <w:ind w:firstLine="643" w:firstLineChars="200"/>
        <w:rPr>
          <w:rFonts w:eastAsia="仿宋_GB2312"/>
          <w:b/>
          <w:sz w:val="32"/>
          <w:szCs w:val="32"/>
        </w:rPr>
      </w:pPr>
      <w:r>
        <w:rPr>
          <w:rFonts w:eastAsia="仿宋_GB2312"/>
          <w:b/>
          <w:sz w:val="32"/>
          <w:szCs w:val="32"/>
        </w:rPr>
        <w:t>（1）总体布局</w:t>
      </w:r>
    </w:p>
    <w:p w14:paraId="0BD80492">
      <w:pPr>
        <w:spacing w:line="360" w:lineRule="auto"/>
        <w:ind w:firstLine="640" w:firstLineChars="200"/>
        <w:rPr>
          <w:rFonts w:eastAsia="仿宋_GB2312"/>
          <w:sz w:val="32"/>
          <w:szCs w:val="32"/>
        </w:rPr>
      </w:pPr>
      <w:r>
        <w:rPr>
          <w:rFonts w:eastAsia="仿宋_GB2312"/>
          <w:sz w:val="32"/>
          <w:szCs w:val="32"/>
        </w:rPr>
        <w:t>坚持生态导向，以天然林保护和恢复热带常绿阔叶林、湿地保护与修复为基础，扩大、完善和新建一批国家级、省级森林公园和湿地公园，切实强化退化森林和湿地生态系统的保护，提高景观美学价值，提升保护和接待能力，促进森林和湿地资源恢复和生态旅游业的健康发展。依托森林生态环境为基础、林业为主体，农业、工业、旅游业、商业、医药、体育产业和健康服务业等相关产业相互交融延伸的森林康养新业态。</w:t>
      </w:r>
    </w:p>
    <w:p w14:paraId="793409EF">
      <w:pPr>
        <w:spacing w:line="360" w:lineRule="auto"/>
        <w:ind w:firstLine="640" w:firstLineChars="200"/>
        <w:rPr>
          <w:rFonts w:hint="eastAsia" w:eastAsia="仿宋_GB2312"/>
          <w:sz w:val="32"/>
          <w:szCs w:val="32"/>
        </w:rPr>
      </w:pPr>
      <w:r>
        <w:rPr>
          <w:rFonts w:eastAsia="仿宋_GB2312"/>
          <w:sz w:val="32"/>
          <w:szCs w:val="32"/>
        </w:rPr>
        <w:t>到2035年末，</w:t>
      </w:r>
      <w:r>
        <w:rPr>
          <w:rFonts w:hint="eastAsia" w:eastAsia="仿宋_GB2312"/>
          <w:sz w:val="32"/>
          <w:szCs w:val="32"/>
        </w:rPr>
        <w:t>形式</w:t>
      </w:r>
      <w:r>
        <w:rPr>
          <w:rFonts w:eastAsia="仿宋_GB2312"/>
          <w:sz w:val="32"/>
          <w:szCs w:val="32"/>
        </w:rPr>
        <w:t>多节点、多元化形成布局合理、质量较高的具有区域代表性的骨干森林、湿地生态系统和森林与湿地资源监测管理体系，构建以国有林、自然湿地为基础的生物多样性保护基地和生态旅游目的地。发掘利用自然景观、森林环境、农林产品、休闲养生等资源，</w:t>
      </w:r>
      <w:r>
        <w:rPr>
          <w:rFonts w:hint="eastAsia" w:eastAsia="仿宋_GB2312"/>
          <w:sz w:val="32"/>
          <w:szCs w:val="32"/>
        </w:rPr>
        <w:t>扶持龙头企业</w:t>
      </w:r>
      <w:r>
        <w:rPr>
          <w:rFonts w:eastAsia="仿宋_GB2312"/>
          <w:sz w:val="32"/>
          <w:szCs w:val="32"/>
        </w:rPr>
        <w:t>，建设集度假、游憩、疗养、保健、养老、健身、娱乐等于一体的森林康养产品。以点带面、稳步推进，形成布局清晰、特色明显的森林康养产业群，努力建设全国一流森林康养示范区。</w:t>
      </w:r>
      <w:r>
        <w:rPr>
          <w:rFonts w:hint="eastAsia" w:eastAsia="仿宋_GB2312"/>
          <w:sz w:val="32"/>
          <w:szCs w:val="32"/>
        </w:rPr>
        <w:t xml:space="preserve"> </w:t>
      </w:r>
    </w:p>
    <w:p w14:paraId="5C6E1F2B">
      <w:pPr>
        <w:spacing w:line="360" w:lineRule="auto"/>
        <w:ind w:firstLine="643" w:firstLineChars="200"/>
        <w:rPr>
          <w:rFonts w:eastAsia="仿宋_GB2312"/>
          <w:b/>
          <w:sz w:val="32"/>
          <w:szCs w:val="32"/>
        </w:rPr>
      </w:pPr>
      <w:r>
        <w:rPr>
          <w:rFonts w:eastAsia="仿宋_GB2312"/>
          <w:b/>
          <w:sz w:val="32"/>
          <w:szCs w:val="32"/>
        </w:rPr>
        <w:t>（2）规划目标</w:t>
      </w:r>
    </w:p>
    <w:p w14:paraId="07AE8C84">
      <w:pPr>
        <w:spacing w:line="360" w:lineRule="auto"/>
        <w:ind w:firstLine="643" w:firstLineChars="200"/>
        <w:rPr>
          <w:rFonts w:eastAsia="仿宋_GB2312"/>
          <w:b/>
          <w:sz w:val="32"/>
          <w:szCs w:val="32"/>
        </w:rPr>
      </w:pPr>
      <w:r>
        <w:rPr>
          <w:rFonts w:eastAsia="仿宋_GB2312"/>
          <w:b/>
          <w:sz w:val="32"/>
          <w:szCs w:val="32"/>
        </w:rPr>
        <w:t>近期（2021~2025年）目标：</w:t>
      </w:r>
    </w:p>
    <w:p w14:paraId="4E5159E7">
      <w:pPr>
        <w:spacing w:line="360" w:lineRule="auto"/>
        <w:ind w:firstLine="640" w:firstLineChars="200"/>
        <w:rPr>
          <w:rFonts w:hint="eastAsia" w:eastAsia="仿宋_GB2312"/>
          <w:sz w:val="32"/>
          <w:szCs w:val="32"/>
        </w:rPr>
      </w:pPr>
      <w:r>
        <w:rPr>
          <w:rFonts w:hint="eastAsia" w:eastAsia="仿宋_GB2312"/>
          <w:sz w:val="32"/>
          <w:szCs w:val="32"/>
        </w:rPr>
        <w:t>①</w:t>
      </w:r>
      <w:r>
        <w:rPr>
          <w:rFonts w:eastAsia="仿宋_GB2312"/>
          <w:sz w:val="32"/>
          <w:szCs w:val="32"/>
        </w:rPr>
        <w:t>完善现有森林公园基础设施，改造提升临春岭森林公园、</w:t>
      </w:r>
      <w:r>
        <w:rPr>
          <w:rFonts w:hint="eastAsia" w:eastAsia="仿宋_GB2312"/>
          <w:sz w:val="32"/>
          <w:szCs w:val="32"/>
        </w:rPr>
        <w:t>凤凰岭</w:t>
      </w:r>
      <w:r>
        <w:rPr>
          <w:rFonts w:eastAsia="仿宋_GB2312"/>
          <w:sz w:val="32"/>
          <w:szCs w:val="32"/>
        </w:rPr>
        <w:t>森林公园</w:t>
      </w:r>
      <w:r>
        <w:rPr>
          <w:rFonts w:hint="eastAsia" w:eastAsia="仿宋_GB2312"/>
          <w:sz w:val="32"/>
          <w:szCs w:val="32"/>
        </w:rPr>
        <w:t>、</w:t>
      </w:r>
      <w:r>
        <w:rPr>
          <w:rFonts w:eastAsia="仿宋_GB2312"/>
          <w:sz w:val="32"/>
          <w:szCs w:val="32"/>
        </w:rPr>
        <w:t>亚龙湾热带天堂森林公园</w:t>
      </w:r>
      <w:r>
        <w:rPr>
          <w:rFonts w:hint="eastAsia" w:eastAsia="仿宋_GB2312"/>
          <w:sz w:val="32"/>
          <w:szCs w:val="32"/>
        </w:rPr>
        <w:t>和</w:t>
      </w:r>
      <w:r>
        <w:rPr>
          <w:rFonts w:eastAsia="仿宋_GB2312"/>
          <w:sz w:val="32"/>
          <w:szCs w:val="32"/>
        </w:rPr>
        <w:t>抱龙森林公园</w:t>
      </w:r>
      <w:r>
        <w:rPr>
          <w:rFonts w:hint="eastAsia" w:eastAsia="仿宋_GB2312"/>
          <w:sz w:val="32"/>
          <w:szCs w:val="32"/>
        </w:rPr>
        <w:t>4</w:t>
      </w:r>
      <w:r>
        <w:rPr>
          <w:rFonts w:eastAsia="仿宋_GB2312"/>
          <w:sz w:val="32"/>
          <w:szCs w:val="32"/>
        </w:rPr>
        <w:t>处</w:t>
      </w:r>
      <w:r>
        <w:rPr>
          <w:rFonts w:hint="eastAsia" w:eastAsia="仿宋_GB2312"/>
          <w:sz w:val="32"/>
          <w:szCs w:val="32"/>
        </w:rPr>
        <w:t>；</w:t>
      </w:r>
    </w:p>
    <w:p w14:paraId="21F2C45E">
      <w:pPr>
        <w:spacing w:line="360" w:lineRule="auto"/>
        <w:ind w:firstLine="640" w:firstLineChars="200"/>
        <w:rPr>
          <w:rFonts w:hint="eastAsia" w:eastAsia="仿宋_GB2312"/>
          <w:sz w:val="32"/>
          <w:szCs w:val="32"/>
        </w:rPr>
      </w:pPr>
      <w:r>
        <w:rPr>
          <w:rFonts w:hint="eastAsia" w:eastAsia="仿宋_GB2312"/>
          <w:sz w:val="32"/>
          <w:szCs w:val="32"/>
        </w:rPr>
        <w:t>②</w:t>
      </w:r>
      <w:r>
        <w:rPr>
          <w:rFonts w:eastAsia="仿宋_GB2312"/>
          <w:sz w:val="32"/>
          <w:szCs w:val="32"/>
        </w:rPr>
        <w:t>建成三亚河国家湿地公园1处，包括湿地博物馆</w:t>
      </w:r>
      <w:r>
        <w:rPr>
          <w:rFonts w:hint="eastAsia" w:eastAsia="仿宋_GB2312"/>
          <w:sz w:val="32"/>
          <w:szCs w:val="32"/>
        </w:rPr>
        <w:t>1处；新建</w:t>
      </w:r>
      <w:r>
        <w:rPr>
          <w:rFonts w:eastAsia="仿宋_GB2312"/>
          <w:sz w:val="32"/>
          <w:szCs w:val="32"/>
        </w:rPr>
        <w:t>红树林公园1处</w:t>
      </w:r>
      <w:r>
        <w:rPr>
          <w:rFonts w:hint="eastAsia" w:eastAsia="仿宋_GB2312"/>
          <w:sz w:val="32"/>
          <w:szCs w:val="32"/>
        </w:rPr>
        <w:t>；</w:t>
      </w:r>
    </w:p>
    <w:p w14:paraId="79640EA1">
      <w:pPr>
        <w:spacing w:line="360" w:lineRule="auto"/>
        <w:ind w:firstLine="640" w:firstLineChars="200"/>
        <w:rPr>
          <w:rFonts w:hint="eastAsia" w:eastAsia="仿宋_GB2312"/>
          <w:sz w:val="32"/>
          <w:szCs w:val="32"/>
        </w:rPr>
      </w:pPr>
      <w:r>
        <w:rPr>
          <w:rFonts w:hint="eastAsia" w:eastAsia="仿宋_GB2312"/>
          <w:sz w:val="32"/>
          <w:szCs w:val="32"/>
        </w:rPr>
        <w:t>③新建三亚市野生动物园1处；</w:t>
      </w:r>
    </w:p>
    <w:p w14:paraId="0E923771">
      <w:pPr>
        <w:spacing w:line="360" w:lineRule="auto"/>
        <w:ind w:firstLine="640" w:firstLineChars="200"/>
        <w:rPr>
          <w:rFonts w:hint="eastAsia" w:eastAsia="仿宋_GB2312"/>
          <w:sz w:val="32"/>
          <w:szCs w:val="32"/>
        </w:rPr>
      </w:pPr>
      <w:r>
        <w:rPr>
          <w:rFonts w:hint="eastAsia" w:eastAsia="仿宋_GB2312"/>
          <w:sz w:val="32"/>
          <w:szCs w:val="32"/>
        </w:rPr>
        <w:t>④新建三亚市热带植物园1处；</w:t>
      </w:r>
      <w:r>
        <w:rPr>
          <w:rFonts w:eastAsia="仿宋_GB2312"/>
          <w:sz w:val="32"/>
          <w:szCs w:val="32"/>
        </w:rPr>
        <w:t xml:space="preserve"> </w:t>
      </w:r>
    </w:p>
    <w:p w14:paraId="1A65B4C2">
      <w:pPr>
        <w:spacing w:line="360" w:lineRule="auto"/>
        <w:ind w:firstLine="640" w:firstLineChars="200"/>
        <w:rPr>
          <w:rFonts w:eastAsia="仿宋_GB2312"/>
          <w:sz w:val="32"/>
          <w:szCs w:val="32"/>
        </w:rPr>
      </w:pPr>
      <w:r>
        <w:rPr>
          <w:rFonts w:hint="eastAsia" w:eastAsia="仿宋_GB2312"/>
          <w:sz w:val="32"/>
          <w:szCs w:val="32"/>
        </w:rPr>
        <w:t>⑤</w:t>
      </w:r>
      <w:r>
        <w:rPr>
          <w:rFonts w:eastAsia="仿宋_GB2312"/>
          <w:sz w:val="32"/>
          <w:szCs w:val="32"/>
        </w:rPr>
        <w:t>建</w:t>
      </w:r>
      <w:r>
        <w:rPr>
          <w:rFonts w:hint="eastAsia" w:eastAsia="仿宋_GB2312"/>
          <w:sz w:val="32"/>
          <w:szCs w:val="32"/>
        </w:rPr>
        <w:t>成</w:t>
      </w:r>
      <w:r>
        <w:rPr>
          <w:rFonts w:eastAsia="仿宋_GB2312"/>
          <w:sz w:val="32"/>
          <w:szCs w:val="32"/>
        </w:rPr>
        <w:t>海南南岛国家森林康养基地和天使·净心谷森林康养基地2处森林康养示范基地。</w:t>
      </w:r>
    </w:p>
    <w:p w14:paraId="4AD42DA0">
      <w:pPr>
        <w:spacing w:line="360" w:lineRule="auto"/>
        <w:ind w:firstLine="643" w:firstLineChars="200"/>
        <w:rPr>
          <w:rFonts w:eastAsia="仿宋_GB2312"/>
          <w:b/>
          <w:sz w:val="32"/>
          <w:szCs w:val="32"/>
        </w:rPr>
      </w:pPr>
      <w:r>
        <w:rPr>
          <w:rFonts w:eastAsia="仿宋_GB2312"/>
          <w:b/>
          <w:sz w:val="32"/>
          <w:szCs w:val="32"/>
        </w:rPr>
        <w:t>中长期（2026~2035年）目标：</w:t>
      </w:r>
    </w:p>
    <w:p w14:paraId="48E720FA">
      <w:pPr>
        <w:spacing w:line="360" w:lineRule="auto"/>
        <w:ind w:firstLine="640" w:firstLineChars="200"/>
        <w:rPr>
          <w:rFonts w:hint="eastAsia" w:eastAsia="仿宋_GB2312"/>
          <w:sz w:val="32"/>
          <w:szCs w:val="32"/>
        </w:rPr>
      </w:pPr>
      <w:r>
        <w:rPr>
          <w:rFonts w:hint="eastAsia" w:eastAsia="仿宋_GB2312"/>
          <w:sz w:val="32"/>
          <w:szCs w:val="32"/>
        </w:rPr>
        <w:t>①继续</w:t>
      </w:r>
      <w:r>
        <w:rPr>
          <w:rFonts w:eastAsia="仿宋_GB2312"/>
          <w:sz w:val="32"/>
          <w:szCs w:val="32"/>
        </w:rPr>
        <w:t>完善现有森林公园基础设施</w:t>
      </w:r>
      <w:r>
        <w:rPr>
          <w:rFonts w:hint="eastAsia" w:eastAsia="仿宋_GB2312"/>
          <w:sz w:val="32"/>
          <w:szCs w:val="32"/>
        </w:rPr>
        <w:t>；</w:t>
      </w:r>
    </w:p>
    <w:p w14:paraId="65E8E618">
      <w:pPr>
        <w:spacing w:line="360" w:lineRule="auto"/>
        <w:ind w:firstLine="640" w:firstLineChars="200"/>
        <w:rPr>
          <w:rFonts w:hint="eastAsia" w:eastAsia="仿宋_GB2312"/>
          <w:sz w:val="32"/>
          <w:szCs w:val="32"/>
        </w:rPr>
      </w:pPr>
      <w:r>
        <w:rPr>
          <w:rFonts w:hint="eastAsia" w:eastAsia="仿宋_GB2312"/>
          <w:sz w:val="32"/>
          <w:szCs w:val="32"/>
        </w:rPr>
        <w:t>②继续建设</w:t>
      </w:r>
      <w:r>
        <w:rPr>
          <w:rFonts w:eastAsia="仿宋_GB2312"/>
          <w:sz w:val="32"/>
          <w:szCs w:val="32"/>
        </w:rPr>
        <w:t>南岛国家森林康养基地和天使·净心谷森林康养基地森林康养示范基地</w:t>
      </w:r>
      <w:r>
        <w:rPr>
          <w:rFonts w:hint="eastAsia" w:eastAsia="仿宋_GB2312"/>
          <w:sz w:val="32"/>
          <w:szCs w:val="32"/>
        </w:rPr>
        <w:t>；</w:t>
      </w:r>
    </w:p>
    <w:p w14:paraId="32D0074D">
      <w:pPr>
        <w:spacing w:line="360" w:lineRule="auto"/>
        <w:ind w:firstLine="640" w:firstLineChars="200"/>
        <w:rPr>
          <w:rFonts w:hint="eastAsia" w:eastAsia="仿宋_GB2312"/>
          <w:sz w:val="32"/>
          <w:szCs w:val="32"/>
        </w:rPr>
      </w:pPr>
      <w:r>
        <w:rPr>
          <w:rFonts w:hint="eastAsia" w:eastAsia="仿宋_GB2312"/>
          <w:sz w:val="32"/>
          <w:szCs w:val="32"/>
        </w:rPr>
        <w:t>②</w:t>
      </w:r>
      <w:r>
        <w:rPr>
          <w:rFonts w:eastAsia="仿宋_GB2312"/>
          <w:sz w:val="32"/>
          <w:szCs w:val="32"/>
        </w:rPr>
        <w:t>新建森林公园4处（福岭森林公园、北山森林公园、凤岭诺丽热带森林公园、阜尖岭森林公园）</w:t>
      </w:r>
      <w:r>
        <w:rPr>
          <w:rFonts w:hint="eastAsia" w:eastAsia="仿宋_GB2312"/>
          <w:sz w:val="32"/>
          <w:szCs w:val="32"/>
        </w:rPr>
        <w:t>；</w:t>
      </w:r>
    </w:p>
    <w:p w14:paraId="71B4F3FB">
      <w:pPr>
        <w:spacing w:line="360" w:lineRule="auto"/>
        <w:ind w:firstLine="640" w:firstLineChars="200"/>
        <w:rPr>
          <w:rFonts w:hint="eastAsia" w:eastAsia="仿宋_GB2312"/>
          <w:sz w:val="32"/>
          <w:szCs w:val="32"/>
        </w:rPr>
      </w:pPr>
      <w:r>
        <w:rPr>
          <w:rFonts w:hint="eastAsia" w:eastAsia="仿宋_GB2312"/>
          <w:sz w:val="32"/>
          <w:szCs w:val="32"/>
        </w:rPr>
        <w:t>③</w:t>
      </w:r>
      <w:r>
        <w:rPr>
          <w:rFonts w:eastAsia="仿宋_GB2312"/>
          <w:sz w:val="32"/>
          <w:szCs w:val="32"/>
        </w:rPr>
        <w:t>建设景区生态保护网络</w:t>
      </w:r>
      <w:r>
        <w:rPr>
          <w:rFonts w:hint="eastAsia" w:eastAsia="仿宋_GB2312"/>
          <w:sz w:val="32"/>
          <w:szCs w:val="32"/>
        </w:rPr>
        <w:t>；</w:t>
      </w:r>
    </w:p>
    <w:p w14:paraId="4600CA50">
      <w:pPr>
        <w:spacing w:line="360" w:lineRule="auto"/>
        <w:ind w:firstLine="640" w:firstLineChars="200"/>
        <w:rPr>
          <w:rFonts w:eastAsia="仿宋_GB2312"/>
          <w:sz w:val="32"/>
          <w:szCs w:val="32"/>
        </w:rPr>
      </w:pPr>
      <w:r>
        <w:rPr>
          <w:rFonts w:hint="eastAsia" w:eastAsia="仿宋_GB2312"/>
          <w:sz w:val="32"/>
          <w:szCs w:val="32"/>
        </w:rPr>
        <w:t>④</w:t>
      </w:r>
      <w:r>
        <w:rPr>
          <w:rFonts w:eastAsia="仿宋_GB2312"/>
          <w:sz w:val="32"/>
          <w:szCs w:val="32"/>
        </w:rPr>
        <w:t>在精品样板的基础上，</w:t>
      </w:r>
      <w:r>
        <w:rPr>
          <w:rFonts w:hint="eastAsia" w:eastAsia="仿宋_GB2312"/>
          <w:sz w:val="32"/>
          <w:szCs w:val="32"/>
        </w:rPr>
        <w:t>建设国家中医药健康旅游示范基地和综合性热带森林康养基地</w:t>
      </w:r>
      <w:r>
        <w:rPr>
          <w:rFonts w:eastAsia="仿宋_GB2312"/>
          <w:sz w:val="32"/>
          <w:szCs w:val="32"/>
        </w:rPr>
        <w:t>。</w:t>
      </w:r>
    </w:p>
    <w:p w14:paraId="275E28B8">
      <w:pPr>
        <w:pStyle w:val="3"/>
        <w:spacing w:before="0" w:after="0" w:line="240" w:lineRule="auto"/>
        <w:rPr>
          <w:rFonts w:hint="eastAsia" w:ascii="Times New Roman" w:hAnsi="Times New Roman" w:eastAsia="黑体"/>
        </w:rPr>
      </w:pPr>
      <w:bookmarkStart w:id="65" w:name="_Toc82546079"/>
      <w:r>
        <w:rPr>
          <w:rFonts w:hint="eastAsia" w:ascii="Times New Roman" w:hAnsi="Times New Roman" w:eastAsia="黑体"/>
        </w:rPr>
        <w:t>6</w:t>
      </w:r>
      <w:r>
        <w:rPr>
          <w:rFonts w:ascii="Times New Roman" w:hAnsi="Times New Roman" w:eastAsia="黑体"/>
        </w:rPr>
        <w:t>.4 重点建设工程</w:t>
      </w:r>
      <w:r>
        <w:rPr>
          <w:rFonts w:hint="eastAsia" w:ascii="Times New Roman" w:hAnsi="Times New Roman" w:eastAsia="黑体"/>
        </w:rPr>
        <w:t>或</w:t>
      </w:r>
      <w:bookmarkEnd w:id="65"/>
      <w:r>
        <w:rPr>
          <w:rFonts w:hint="eastAsia" w:ascii="Times New Roman" w:hAnsi="Times New Roman" w:eastAsia="黑体"/>
        </w:rPr>
        <w:t>规划储备项目</w:t>
      </w:r>
    </w:p>
    <w:p w14:paraId="624CE386">
      <w:pPr>
        <w:spacing w:line="360" w:lineRule="auto"/>
        <w:ind w:firstLine="640" w:firstLineChars="200"/>
        <w:rPr>
          <w:rFonts w:eastAsia="仿宋_GB2312"/>
          <w:sz w:val="32"/>
          <w:szCs w:val="32"/>
        </w:rPr>
      </w:pPr>
      <w:r>
        <w:rPr>
          <w:rFonts w:hint="eastAsia" w:eastAsia="仿宋_GB2312"/>
          <w:sz w:val="32"/>
          <w:szCs w:val="32"/>
        </w:rPr>
        <w:t>立足三亚市国家森林城市发展定位，以提升森林旅游体系对国内外的适配性为主线，建设全球化的森林旅游与森林康养基地，积极培育旅游新业态、新模式，推进森林旅游全球化开拓，实现森林旅游业跨越式升级。</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297A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AC16CDD">
            <w:pPr>
              <w:jc w:val="center"/>
              <w:rPr>
                <w:rFonts w:hint="eastAsia" w:eastAsia="仿宋_GB2312"/>
                <w:b/>
                <w:sz w:val="32"/>
                <w:szCs w:val="32"/>
              </w:rPr>
            </w:pPr>
            <w:r>
              <w:rPr>
                <w:rFonts w:eastAsia="仿宋_GB2312"/>
                <w:b/>
                <w:sz w:val="32"/>
                <w:szCs w:val="32"/>
              </w:rPr>
              <w:t>森林旅游与森林康养产业重点建设工程</w:t>
            </w:r>
            <w:r>
              <w:rPr>
                <w:rFonts w:hint="eastAsia" w:eastAsia="仿宋_GB2312"/>
                <w:b/>
                <w:sz w:val="32"/>
                <w:szCs w:val="32"/>
              </w:rPr>
              <w:t>或规划储备项目</w:t>
            </w:r>
          </w:p>
        </w:tc>
      </w:tr>
      <w:tr w14:paraId="4920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DCFFC96">
            <w:pPr>
              <w:rPr>
                <w:rFonts w:hint="eastAsia" w:eastAsia="仿宋_GB2312"/>
                <w:b/>
                <w:sz w:val="32"/>
                <w:szCs w:val="32"/>
              </w:rPr>
            </w:pPr>
            <w:r>
              <w:rPr>
                <w:rFonts w:hint="eastAsia" w:eastAsia="仿宋_GB2312"/>
                <w:b/>
                <w:sz w:val="32"/>
                <w:szCs w:val="32"/>
              </w:rPr>
              <w:t>一、改造提升</w:t>
            </w:r>
            <w:r>
              <w:rPr>
                <w:rFonts w:eastAsia="仿宋_GB2312"/>
                <w:b/>
                <w:sz w:val="32"/>
                <w:szCs w:val="32"/>
              </w:rPr>
              <w:t>现有森林公园</w:t>
            </w:r>
          </w:p>
          <w:p w14:paraId="3F19D312">
            <w:pPr>
              <w:ind w:firstLine="640" w:firstLineChars="200"/>
              <w:rPr>
                <w:rFonts w:hint="eastAsia" w:eastAsia="仿宋_GB2312"/>
                <w:b/>
                <w:sz w:val="32"/>
                <w:szCs w:val="32"/>
              </w:rPr>
            </w:pPr>
            <w:r>
              <w:rPr>
                <w:rFonts w:eastAsia="仿宋_GB2312"/>
                <w:sz w:val="32"/>
                <w:szCs w:val="32"/>
              </w:rPr>
              <w:t>积极推进以森林公园为主，以自然保护区为辅的森林旅游业的发展。完善现有的</w:t>
            </w:r>
            <w:r>
              <w:rPr>
                <w:rFonts w:hint="eastAsia" w:eastAsia="仿宋_GB2312"/>
                <w:sz w:val="32"/>
                <w:szCs w:val="32"/>
              </w:rPr>
              <w:t>6</w:t>
            </w:r>
            <w:r>
              <w:rPr>
                <w:rFonts w:eastAsia="仿宋_GB2312"/>
                <w:sz w:val="32"/>
                <w:szCs w:val="32"/>
              </w:rPr>
              <w:t>个省市级森林公园基础设施，</w:t>
            </w:r>
            <w:r>
              <w:rPr>
                <w:rFonts w:hint="eastAsia" w:eastAsia="仿宋_GB2312"/>
                <w:sz w:val="32"/>
                <w:szCs w:val="32"/>
              </w:rPr>
              <w:t>至2025年，计划投资30000万元；至2035年，</w:t>
            </w:r>
            <w:r>
              <w:rPr>
                <w:rFonts w:eastAsia="仿宋_GB2312"/>
                <w:sz w:val="32"/>
                <w:szCs w:val="32"/>
              </w:rPr>
              <w:t>计划投资</w:t>
            </w:r>
            <w:r>
              <w:rPr>
                <w:rFonts w:hint="eastAsia" w:eastAsia="仿宋_GB2312"/>
                <w:sz w:val="32"/>
                <w:szCs w:val="32"/>
              </w:rPr>
              <w:t>51000万元，</w:t>
            </w:r>
            <w:r>
              <w:rPr>
                <w:rFonts w:eastAsia="仿宋_GB2312"/>
                <w:sz w:val="32"/>
                <w:szCs w:val="32"/>
              </w:rPr>
              <w:t>总投资</w:t>
            </w:r>
            <w:r>
              <w:rPr>
                <w:rFonts w:hint="eastAsia" w:eastAsia="仿宋_GB2312"/>
                <w:sz w:val="32"/>
                <w:szCs w:val="32"/>
              </w:rPr>
              <w:t>8</w:t>
            </w:r>
            <w:r>
              <w:rPr>
                <w:rFonts w:eastAsia="仿宋_GB2312"/>
                <w:sz w:val="32"/>
                <w:szCs w:val="32"/>
              </w:rPr>
              <w:t>1000万元</w:t>
            </w:r>
            <w:r>
              <w:rPr>
                <w:rFonts w:hint="eastAsia" w:eastAsia="仿宋_GB2312"/>
                <w:sz w:val="32"/>
                <w:szCs w:val="32"/>
              </w:rPr>
              <w:t>。</w:t>
            </w:r>
          </w:p>
          <w:p w14:paraId="5CC32571">
            <w:pPr>
              <w:ind w:firstLine="643" w:firstLineChars="200"/>
              <w:rPr>
                <w:rFonts w:eastAsia="仿宋_GB2312"/>
                <w:sz w:val="32"/>
                <w:szCs w:val="32"/>
              </w:rPr>
            </w:pPr>
            <w:r>
              <w:rPr>
                <w:rStyle w:val="44"/>
                <w:rFonts w:hint="eastAsia" w:hAnsi="Times New Roman" w:eastAsia="仿宋_GB2312" w:cs="Times New Roman"/>
                <w:b/>
                <w:sz w:val="32"/>
                <w:szCs w:val="32"/>
              </w:rPr>
              <w:t>1、</w:t>
            </w:r>
            <w:r>
              <w:rPr>
                <w:rFonts w:eastAsia="仿宋_GB2312"/>
                <w:b/>
                <w:sz w:val="32"/>
                <w:szCs w:val="32"/>
              </w:rPr>
              <w:t>改造提升临春岭森林公园品质</w:t>
            </w:r>
            <w:r>
              <w:rPr>
                <w:rFonts w:hint="eastAsia" w:eastAsia="仿宋_GB2312"/>
                <w:sz w:val="32"/>
                <w:szCs w:val="32"/>
              </w:rPr>
              <w:t>。</w:t>
            </w:r>
            <w:r>
              <w:rPr>
                <w:rFonts w:eastAsia="仿宋_GB2312"/>
                <w:sz w:val="32"/>
                <w:szCs w:val="32"/>
              </w:rPr>
              <w:t>该公园始建于2013年，目前园内存在植被老化、林相单调、林分质量差等问题，亟需改造提升。规划按照《临春岭森林公园景观升级总体规划》要求，通过间伐、补植等人工措施，改造山体植被群落结构，提升景观效果，形成稳定的植物群落；完善公园基础设施、旅游公共服务设施和配套工程建设；更好的服务于三亚市民和游客，建成市区的森林公园示范园区。</w:t>
            </w:r>
          </w:p>
          <w:p w14:paraId="458039F7">
            <w:pPr>
              <w:ind w:firstLine="643" w:firstLineChars="200"/>
              <w:rPr>
                <w:rFonts w:hint="eastAsia" w:eastAsia="仿宋_GB2312"/>
                <w:sz w:val="32"/>
                <w:szCs w:val="32"/>
              </w:rPr>
            </w:pPr>
            <w:r>
              <w:rPr>
                <w:rStyle w:val="44"/>
                <w:rFonts w:hint="eastAsia" w:hAnsi="Times New Roman" w:eastAsia="仿宋_GB2312" w:cs="Times New Roman"/>
                <w:b/>
                <w:sz w:val="32"/>
                <w:szCs w:val="32"/>
              </w:rPr>
              <w:t>2、</w:t>
            </w:r>
            <w:r>
              <w:rPr>
                <w:rFonts w:eastAsia="仿宋_GB2312"/>
                <w:b/>
                <w:sz w:val="32"/>
                <w:szCs w:val="32"/>
              </w:rPr>
              <w:t>提升亚龙湾热带天堂森林公园质量</w:t>
            </w:r>
            <w:r>
              <w:rPr>
                <w:rFonts w:hint="eastAsia" w:eastAsia="仿宋_GB2312"/>
                <w:sz w:val="32"/>
                <w:szCs w:val="32"/>
              </w:rPr>
              <w:t>。</w:t>
            </w:r>
            <w:r>
              <w:rPr>
                <w:rFonts w:eastAsia="仿宋_GB2312"/>
                <w:sz w:val="32"/>
                <w:szCs w:val="32"/>
              </w:rPr>
              <w:t>规划建设公园东、西大门服务区配套设施，提升公园接待服务能力；建立动物保护监测系统，加强对海南珍稀物种</w:t>
            </w:r>
            <w:r>
              <w:rPr>
                <w:rFonts w:hint="eastAsia" w:eastAsia="仿宋_GB2312"/>
                <w:sz w:val="32"/>
                <w:szCs w:val="32"/>
              </w:rPr>
              <w:t>，</w:t>
            </w:r>
            <w:r>
              <w:rPr>
                <w:rFonts w:eastAsia="仿宋_GB2312"/>
                <w:sz w:val="32"/>
                <w:szCs w:val="32"/>
              </w:rPr>
              <w:t>开发海南特色生态旅游产品。</w:t>
            </w:r>
          </w:p>
          <w:p w14:paraId="633C915E">
            <w:pPr>
              <w:ind w:firstLine="643" w:firstLineChars="200"/>
              <w:rPr>
                <w:rFonts w:hint="eastAsia" w:eastAsia="仿宋_GB2312"/>
                <w:sz w:val="32"/>
                <w:szCs w:val="32"/>
              </w:rPr>
            </w:pPr>
            <w:r>
              <w:rPr>
                <w:rStyle w:val="44"/>
                <w:rFonts w:hint="eastAsia" w:hAnsi="Times New Roman" w:eastAsia="仿宋_GB2312" w:cs="Times New Roman"/>
                <w:b/>
                <w:sz w:val="32"/>
                <w:szCs w:val="32"/>
              </w:rPr>
              <w:t>3、</w:t>
            </w:r>
            <w:r>
              <w:rPr>
                <w:rFonts w:hint="eastAsia" w:eastAsia="仿宋_GB2312"/>
                <w:b/>
                <w:sz w:val="32"/>
                <w:szCs w:val="32"/>
              </w:rPr>
              <w:t>打造三亚凤凰岭森林公园</w:t>
            </w:r>
            <w:r>
              <w:rPr>
                <w:rFonts w:hint="eastAsia" w:eastAsia="仿宋_GB2312"/>
                <w:sz w:val="32"/>
                <w:szCs w:val="32"/>
              </w:rPr>
              <w:t>。提供远足、郊游、登山、休闲、游玩、体验、青少年科普教育、林间探秘、消费等活动场所。并沿游览路线设置必要的路标、指示牌、休息坐凳、亭、廊、观景平台和简单的公共管理建筑以及垃圾箱、转运站等，并鼓励因地制宜开展夜游，形成三亚市内俯瞰山海景观和城市风貌的处绝佳景区。</w:t>
            </w:r>
          </w:p>
          <w:p w14:paraId="25A1BEC8">
            <w:pPr>
              <w:ind w:firstLine="643" w:firstLineChars="200"/>
              <w:rPr>
                <w:rFonts w:hint="eastAsia" w:eastAsia="仿宋_GB2312"/>
                <w:b/>
                <w:sz w:val="32"/>
                <w:szCs w:val="32"/>
              </w:rPr>
            </w:pPr>
            <w:r>
              <w:rPr>
                <w:rFonts w:hint="eastAsia" w:eastAsia="仿宋_GB2312"/>
                <w:b/>
                <w:sz w:val="32"/>
                <w:szCs w:val="32"/>
              </w:rPr>
              <w:t>4、提升</w:t>
            </w:r>
            <w:r>
              <w:rPr>
                <w:rFonts w:eastAsia="仿宋_GB2312"/>
                <w:b/>
                <w:sz w:val="32"/>
                <w:szCs w:val="32"/>
              </w:rPr>
              <w:t>抱龙森林公园质量</w:t>
            </w:r>
            <w:r>
              <w:rPr>
                <w:rFonts w:hint="eastAsia" w:eastAsia="仿宋_GB2312"/>
                <w:b/>
                <w:sz w:val="32"/>
                <w:szCs w:val="32"/>
              </w:rPr>
              <w:t>。</w:t>
            </w:r>
            <w:r>
              <w:rPr>
                <w:rFonts w:hint="eastAsia" w:eastAsia="仿宋_GB2312"/>
                <w:sz w:val="32"/>
                <w:szCs w:val="32"/>
              </w:rPr>
              <w:t>完善三亚抱龙森林公园接待能力，提升公园整体质量。规划建设公园接待区配套设施，完善游览路线必要的路牌、指示牌、休闲坐凳等，整体提升公园接待能力和服务水平；修缮游览观光步道，增加休闲娱乐设施，引入森林康养、亲子旅游等项目。</w:t>
            </w:r>
          </w:p>
        </w:tc>
      </w:tr>
      <w:tr w14:paraId="0FC1C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0A6F2536">
            <w:pPr>
              <w:rPr>
                <w:rFonts w:hint="eastAsia" w:eastAsia="仿宋_GB2312"/>
                <w:b/>
                <w:sz w:val="32"/>
                <w:szCs w:val="32"/>
              </w:rPr>
            </w:pPr>
            <w:r>
              <w:rPr>
                <w:rFonts w:hint="eastAsia" w:eastAsia="仿宋_GB2312"/>
                <w:b/>
                <w:sz w:val="32"/>
                <w:szCs w:val="32"/>
              </w:rPr>
              <w:t>二、建设</w:t>
            </w:r>
            <w:r>
              <w:rPr>
                <w:rFonts w:eastAsia="仿宋_GB2312"/>
                <w:b/>
                <w:sz w:val="32"/>
                <w:szCs w:val="32"/>
              </w:rPr>
              <w:t>生态旅游湿地公园</w:t>
            </w:r>
          </w:p>
          <w:p w14:paraId="64F33FFD">
            <w:pPr>
              <w:rPr>
                <w:rFonts w:hint="eastAsia" w:eastAsia="仿宋_GB2312"/>
                <w:b/>
                <w:sz w:val="32"/>
                <w:szCs w:val="32"/>
              </w:rPr>
            </w:pPr>
            <w:r>
              <w:rPr>
                <w:rFonts w:hint="eastAsia" w:eastAsia="仿宋_GB2312"/>
                <w:b/>
                <w:sz w:val="32"/>
                <w:szCs w:val="32"/>
              </w:rPr>
              <w:t>（一）三亚河国家湿地公园</w:t>
            </w:r>
          </w:p>
          <w:p w14:paraId="62EAAFAA">
            <w:pPr>
              <w:ind w:firstLine="640" w:firstLineChars="200"/>
              <w:rPr>
                <w:rFonts w:hint="eastAsia" w:eastAsia="仿宋_GB2312"/>
                <w:sz w:val="32"/>
                <w:szCs w:val="32"/>
                <w:highlight w:val="yellow"/>
              </w:rPr>
            </w:pPr>
            <w:r>
              <w:rPr>
                <w:rFonts w:eastAsia="仿宋_GB2312"/>
                <w:sz w:val="32"/>
                <w:szCs w:val="32"/>
              </w:rPr>
              <w:t>根据《海南三亚河国家湿地公园总体规划(2017-2021)》，以国家生态文明建设战略和《湿地保护修复制度方案》为规划指导思想；以全面保护三亚河流域湿地资源，特别是稀缺的红树林湿地资源为核心，通过采取积极措施恢复重建湿地环境，有效遏制破坏湿地资源的行为和现象，最大限度的发挥湿地公园的水源涵养、生物多样性保育、防洪调蓄、科普宣教和休闲游憩功能。建设内容包括保护修复</w:t>
            </w:r>
            <w:r>
              <w:rPr>
                <w:rFonts w:hint="eastAsia" w:eastAsia="仿宋_GB2312"/>
                <w:sz w:val="32"/>
                <w:szCs w:val="32"/>
              </w:rPr>
              <w:t>、</w:t>
            </w:r>
            <w:r>
              <w:rPr>
                <w:rFonts w:eastAsia="仿宋_GB2312"/>
                <w:sz w:val="32"/>
                <w:szCs w:val="32"/>
              </w:rPr>
              <w:t>生态廊道</w:t>
            </w:r>
            <w:r>
              <w:rPr>
                <w:rFonts w:hint="eastAsia" w:eastAsia="仿宋_GB2312"/>
                <w:sz w:val="32"/>
                <w:szCs w:val="32"/>
              </w:rPr>
              <w:t>、</w:t>
            </w:r>
            <w:r>
              <w:rPr>
                <w:rFonts w:eastAsia="仿宋_GB2312"/>
                <w:sz w:val="32"/>
                <w:szCs w:val="32"/>
              </w:rPr>
              <w:t>槟榔河公园</w:t>
            </w:r>
            <w:r>
              <w:rPr>
                <w:rFonts w:hint="eastAsia" w:eastAsia="仿宋_GB2312"/>
                <w:sz w:val="32"/>
                <w:szCs w:val="32"/>
              </w:rPr>
              <w:t>、热带湿地博物馆、科普宣教等36个小项</w:t>
            </w:r>
            <w:r>
              <w:rPr>
                <w:rFonts w:eastAsia="仿宋_GB2312"/>
                <w:sz w:val="32"/>
                <w:szCs w:val="32"/>
              </w:rPr>
              <w:t>。建设面积1843 hm</w:t>
            </w:r>
            <w:r>
              <w:rPr>
                <w:rFonts w:eastAsia="仿宋_GB2312"/>
                <w:sz w:val="32"/>
                <w:szCs w:val="32"/>
                <w:vertAlign w:val="superscript"/>
              </w:rPr>
              <w:t>2</w:t>
            </w:r>
            <w:r>
              <w:rPr>
                <w:rFonts w:eastAsia="仿宋_GB2312"/>
                <w:sz w:val="32"/>
                <w:szCs w:val="32"/>
              </w:rPr>
              <w:t>，至</w:t>
            </w:r>
            <w:r>
              <w:rPr>
                <w:rFonts w:hint="eastAsia" w:eastAsia="仿宋_GB2312"/>
                <w:sz w:val="32"/>
                <w:szCs w:val="32"/>
              </w:rPr>
              <w:t>2025年</w:t>
            </w:r>
            <w:r>
              <w:rPr>
                <w:rFonts w:eastAsia="仿宋_GB2312"/>
                <w:sz w:val="32"/>
                <w:szCs w:val="32"/>
              </w:rPr>
              <w:t>计划投资</w:t>
            </w:r>
            <w:r>
              <w:rPr>
                <w:rFonts w:hint="eastAsia" w:eastAsia="仿宋_GB2312"/>
                <w:sz w:val="32"/>
                <w:szCs w:val="32"/>
              </w:rPr>
              <w:t>49900</w:t>
            </w:r>
            <w:r>
              <w:rPr>
                <w:rFonts w:eastAsia="仿宋_GB2312"/>
                <w:sz w:val="32"/>
                <w:szCs w:val="32"/>
              </w:rPr>
              <w:t>万元。</w:t>
            </w:r>
          </w:p>
          <w:p w14:paraId="6061F608">
            <w:pPr>
              <w:rPr>
                <w:rFonts w:hint="eastAsia" w:eastAsia="仿宋_GB2312"/>
                <w:b/>
                <w:sz w:val="32"/>
                <w:szCs w:val="32"/>
              </w:rPr>
            </w:pPr>
            <w:r>
              <w:rPr>
                <w:rFonts w:hint="eastAsia" w:eastAsia="仿宋_GB2312"/>
                <w:sz w:val="32"/>
                <w:szCs w:val="32"/>
              </w:rPr>
              <w:t>（二）</w:t>
            </w:r>
            <w:r>
              <w:rPr>
                <w:rFonts w:eastAsia="仿宋_GB2312"/>
                <w:b/>
                <w:sz w:val="32"/>
                <w:szCs w:val="32"/>
              </w:rPr>
              <w:t>红树林公园</w:t>
            </w:r>
          </w:p>
          <w:p w14:paraId="2928729D">
            <w:pPr>
              <w:ind w:firstLine="640" w:firstLineChars="200"/>
              <w:rPr>
                <w:rFonts w:hint="eastAsia" w:eastAsia="仿宋_GB2312"/>
                <w:b/>
                <w:sz w:val="32"/>
                <w:szCs w:val="32"/>
              </w:rPr>
            </w:pPr>
            <w:r>
              <w:rPr>
                <w:rFonts w:eastAsia="仿宋_GB2312"/>
                <w:sz w:val="32"/>
                <w:szCs w:val="32"/>
              </w:rPr>
              <w:t>新建三亚市铁炉港红树林湿地公园，以保护修复体系、环境教育体系和绿色发展体系为主，保护修复体系以保护和修复为主，红树林古树区实行绝对保护。其他红树林生态复育区采用科学方法-基于自然的解决方案，最大化减小对生态的干扰，提升本区域的环境效益。环境教育体系主要通过增设低影响、低干扰的参与性活动，开展环境教育，提高人们对保护自然的意识，提升本区域的社会效益。建设地点</w:t>
            </w:r>
            <w:r>
              <w:rPr>
                <w:rFonts w:hint="eastAsia" w:eastAsia="仿宋_GB2312"/>
                <w:sz w:val="32"/>
                <w:szCs w:val="32"/>
              </w:rPr>
              <w:t>海棠湾南侧铁炉港红树林自然保护区，总面积293 hm</w:t>
            </w:r>
            <w:r>
              <w:rPr>
                <w:rFonts w:hint="eastAsia" w:eastAsia="仿宋_GB2312"/>
                <w:sz w:val="32"/>
                <w:szCs w:val="32"/>
                <w:vertAlign w:val="superscript"/>
              </w:rPr>
              <w:t>2</w:t>
            </w:r>
            <w:r>
              <w:rPr>
                <w:rFonts w:hint="eastAsia" w:eastAsia="仿宋_GB2312"/>
                <w:sz w:val="32"/>
                <w:szCs w:val="32"/>
              </w:rPr>
              <w:t>，至2025年计划投资52000万元。</w:t>
            </w:r>
          </w:p>
        </w:tc>
      </w:tr>
      <w:tr w14:paraId="06408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17C1CE5C">
            <w:pPr>
              <w:rPr>
                <w:rFonts w:hint="eastAsia" w:eastAsia="仿宋_GB2312"/>
                <w:b/>
                <w:sz w:val="32"/>
                <w:szCs w:val="32"/>
              </w:rPr>
            </w:pPr>
            <w:r>
              <w:rPr>
                <w:rFonts w:hint="eastAsia" w:eastAsia="仿宋_GB2312"/>
                <w:b/>
                <w:sz w:val="32"/>
                <w:szCs w:val="32"/>
              </w:rPr>
              <w:t>三、</w:t>
            </w:r>
            <w:r>
              <w:rPr>
                <w:rFonts w:eastAsia="仿宋_GB2312"/>
                <w:b/>
                <w:sz w:val="32"/>
                <w:szCs w:val="32"/>
              </w:rPr>
              <w:t>新建</w:t>
            </w:r>
            <w:r>
              <w:rPr>
                <w:rFonts w:hint="eastAsia" w:eastAsia="仿宋_GB2312"/>
                <w:b/>
                <w:sz w:val="32"/>
                <w:szCs w:val="32"/>
              </w:rPr>
              <w:t>动植物</w:t>
            </w:r>
            <w:r>
              <w:rPr>
                <w:rFonts w:eastAsia="仿宋_GB2312"/>
                <w:b/>
                <w:sz w:val="32"/>
                <w:szCs w:val="32"/>
              </w:rPr>
              <w:t>公园</w:t>
            </w:r>
          </w:p>
          <w:p w14:paraId="01166EA0">
            <w:pPr>
              <w:rPr>
                <w:rFonts w:hint="eastAsia" w:eastAsia="仿宋_GB2312"/>
                <w:b/>
                <w:sz w:val="32"/>
                <w:szCs w:val="32"/>
              </w:rPr>
            </w:pPr>
            <w:r>
              <w:rPr>
                <w:rFonts w:hint="eastAsia" w:eastAsia="仿宋_GB2312"/>
                <w:b/>
                <w:sz w:val="32"/>
                <w:szCs w:val="32"/>
              </w:rPr>
              <w:t>（一）三亚市野生动物园</w:t>
            </w:r>
          </w:p>
          <w:p w14:paraId="549EA360">
            <w:pPr>
              <w:ind w:firstLine="960" w:firstLineChars="300"/>
              <w:rPr>
                <w:rFonts w:hint="eastAsia" w:eastAsia="仿宋_GB2312"/>
                <w:sz w:val="32"/>
                <w:szCs w:val="32"/>
              </w:rPr>
            </w:pPr>
            <w:r>
              <w:rPr>
                <w:rFonts w:eastAsia="仿宋_GB2312"/>
                <w:sz w:val="32"/>
                <w:szCs w:val="32"/>
              </w:rPr>
              <w:t>规划以</w:t>
            </w:r>
            <w:r>
              <w:rPr>
                <w:rFonts w:hint="eastAsia" w:eastAsia="仿宋_GB2312"/>
                <w:sz w:val="32"/>
                <w:szCs w:val="32"/>
              </w:rPr>
              <w:t>以“保护野生动物，普及环境教育”为宗旨，建设以野生动物种群放养为特色，集动物的保护、研究、旅游观赏、科普教育为一体，打造三亚市前所未有的与动物亲近的观赏体验。</w:t>
            </w:r>
            <w:r>
              <w:rPr>
                <w:rFonts w:eastAsia="仿宋_GB2312"/>
                <w:sz w:val="32"/>
                <w:szCs w:val="32"/>
              </w:rPr>
              <w:t>建设地点育才生态区</w:t>
            </w:r>
            <w:r>
              <w:rPr>
                <w:rFonts w:hint="eastAsia" w:eastAsia="仿宋_GB2312"/>
                <w:sz w:val="32"/>
                <w:szCs w:val="32"/>
              </w:rPr>
              <w:t>，规划</w:t>
            </w:r>
            <w:r>
              <w:rPr>
                <w:rFonts w:eastAsia="仿宋_GB2312"/>
                <w:sz w:val="32"/>
                <w:szCs w:val="32"/>
              </w:rPr>
              <w:t>面积</w:t>
            </w:r>
            <w:r>
              <w:rPr>
                <w:rFonts w:hint="eastAsia" w:eastAsia="仿宋_GB2312"/>
                <w:sz w:val="32"/>
                <w:szCs w:val="32"/>
              </w:rPr>
              <w:t>333.4 hm</w:t>
            </w:r>
            <w:r>
              <w:rPr>
                <w:rFonts w:hint="eastAsia" w:eastAsia="仿宋_GB2312"/>
                <w:sz w:val="32"/>
                <w:szCs w:val="32"/>
                <w:vertAlign w:val="superscript"/>
              </w:rPr>
              <w:t>2</w:t>
            </w:r>
            <w:r>
              <w:rPr>
                <w:rFonts w:hint="eastAsia" w:eastAsia="仿宋_GB2312"/>
                <w:sz w:val="32"/>
                <w:szCs w:val="32"/>
              </w:rPr>
              <w:t>，至2025年，</w:t>
            </w:r>
            <w:r>
              <w:rPr>
                <w:rFonts w:eastAsia="仿宋_GB2312"/>
                <w:sz w:val="32"/>
                <w:szCs w:val="32"/>
              </w:rPr>
              <w:t>计划投资</w:t>
            </w:r>
            <w:r>
              <w:rPr>
                <w:rFonts w:hint="eastAsia" w:eastAsia="仿宋_GB2312"/>
                <w:sz w:val="32"/>
                <w:szCs w:val="32"/>
              </w:rPr>
              <w:t>50000</w:t>
            </w:r>
            <w:r>
              <w:rPr>
                <w:rFonts w:eastAsia="仿宋_GB2312"/>
                <w:sz w:val="32"/>
                <w:szCs w:val="32"/>
              </w:rPr>
              <w:t>万元</w:t>
            </w:r>
            <w:r>
              <w:rPr>
                <w:rFonts w:hint="eastAsia" w:eastAsia="仿宋_GB2312"/>
                <w:sz w:val="32"/>
                <w:szCs w:val="32"/>
              </w:rPr>
              <w:t>。</w:t>
            </w:r>
          </w:p>
          <w:p w14:paraId="64EE7D01">
            <w:pPr>
              <w:rPr>
                <w:rFonts w:hint="eastAsia" w:eastAsia="仿宋_GB2312"/>
                <w:b/>
                <w:sz w:val="32"/>
                <w:szCs w:val="32"/>
              </w:rPr>
            </w:pPr>
            <w:r>
              <w:rPr>
                <w:rFonts w:hint="eastAsia" w:eastAsia="仿宋_GB2312"/>
                <w:b/>
                <w:sz w:val="32"/>
                <w:szCs w:val="32"/>
              </w:rPr>
              <w:t>（二）三亚市热带植物园</w:t>
            </w:r>
          </w:p>
          <w:p w14:paraId="2C3E8095">
            <w:pPr>
              <w:spacing w:line="360" w:lineRule="auto"/>
              <w:ind w:firstLine="643" w:firstLineChars="200"/>
              <w:rPr>
                <w:rFonts w:hint="eastAsia" w:eastAsia="仿宋_GB2312"/>
                <w:b/>
                <w:sz w:val="32"/>
                <w:szCs w:val="32"/>
              </w:rPr>
            </w:pPr>
            <w:r>
              <w:rPr>
                <w:rFonts w:hint="eastAsia" w:eastAsia="仿宋_GB2312"/>
                <w:b/>
                <w:sz w:val="32"/>
                <w:szCs w:val="32"/>
              </w:rPr>
              <w:t xml:space="preserve"> </w:t>
            </w:r>
            <w:r>
              <w:rPr>
                <w:rFonts w:eastAsia="仿宋_GB2312"/>
                <w:sz w:val="32"/>
                <w:szCs w:val="32"/>
              </w:rPr>
              <w:t>三亚热带植物园的建设将为海南增添一张集热带特色和地方文化于一体的城市魅力名片，助力建成生态环境世界一流的中国(海南)特色自由贸易港。该植物园建成城市植物园的“中国典范”，以热带珍稀树种、热带水果采摘、稻作文化为依托，形成具有热带文化特色的、园区体验多样的国际性知名植物园。将“体验式自然教育”融入到园区教育科普活动中，为公众提供更有趣的自然科学体验活动，描绘出一幅“未来植物园蓝图”。利用互联网优势，将智能设备融入到园区活动中，创造“智慧植物园”典范。建设地点天涯海角附近</w:t>
            </w:r>
            <w:r>
              <w:rPr>
                <w:rFonts w:hint="eastAsia" w:eastAsia="仿宋_GB2312"/>
                <w:sz w:val="32"/>
                <w:szCs w:val="32"/>
              </w:rPr>
              <w:t>，规划</w:t>
            </w:r>
            <w:r>
              <w:rPr>
                <w:rFonts w:eastAsia="仿宋_GB2312"/>
                <w:sz w:val="32"/>
                <w:szCs w:val="32"/>
              </w:rPr>
              <w:t>面积</w:t>
            </w:r>
            <w:r>
              <w:rPr>
                <w:rFonts w:hint="eastAsia" w:eastAsia="仿宋_GB2312"/>
                <w:sz w:val="32"/>
                <w:szCs w:val="32"/>
              </w:rPr>
              <w:t>433.4 hm</w:t>
            </w:r>
            <w:r>
              <w:rPr>
                <w:rFonts w:hint="eastAsia" w:eastAsia="仿宋_GB2312"/>
                <w:sz w:val="32"/>
                <w:szCs w:val="32"/>
                <w:vertAlign w:val="superscript"/>
              </w:rPr>
              <w:t>2</w:t>
            </w:r>
            <w:r>
              <w:rPr>
                <w:rFonts w:hint="eastAsia" w:eastAsia="仿宋_GB2312"/>
                <w:sz w:val="32"/>
                <w:szCs w:val="32"/>
              </w:rPr>
              <w:t>，至2025年，计划投资50000万元；至2035年，计划投资80000万元，总投资130000万元。</w:t>
            </w:r>
          </w:p>
          <w:p w14:paraId="74D79936">
            <w:pPr>
              <w:rPr>
                <w:rFonts w:hint="eastAsia" w:eastAsia="仿宋_GB2312"/>
                <w:b/>
                <w:sz w:val="32"/>
                <w:szCs w:val="32"/>
              </w:rPr>
            </w:pPr>
            <w:r>
              <w:rPr>
                <w:rFonts w:hint="eastAsia" w:eastAsia="仿宋_GB2312"/>
                <w:b/>
                <w:sz w:val="32"/>
                <w:szCs w:val="32"/>
              </w:rPr>
              <w:t>（三）</w:t>
            </w:r>
            <w:r>
              <w:rPr>
                <w:rFonts w:eastAsia="仿宋_GB2312"/>
                <w:b/>
                <w:sz w:val="32"/>
                <w:szCs w:val="32"/>
              </w:rPr>
              <w:t>福岭森林公园</w:t>
            </w:r>
          </w:p>
          <w:p w14:paraId="0E1D9898">
            <w:pPr>
              <w:ind w:firstLine="640" w:firstLineChars="200"/>
              <w:rPr>
                <w:rFonts w:hint="eastAsia" w:eastAsia="仿宋_GB2312"/>
                <w:sz w:val="32"/>
                <w:szCs w:val="32"/>
              </w:rPr>
            </w:pPr>
            <w:r>
              <w:rPr>
                <w:rFonts w:eastAsia="仿宋_GB2312"/>
                <w:sz w:val="32"/>
                <w:szCs w:val="32"/>
              </w:rPr>
              <w:t>按照《海南省三亚市福岭森林公园总体规划(2018-2030)》要求，建成以科普宣教、山地运动和森林康养为主题的森林生态旅游胜地。近期着重建设公园基础设施和服务设施，实施</w:t>
            </w:r>
            <w:r>
              <w:rPr>
                <w:rFonts w:hint="eastAsia" w:eastAsia="仿宋_GB2312"/>
                <w:sz w:val="32"/>
                <w:szCs w:val="32"/>
              </w:rPr>
              <w:t>经济林改生态林</w:t>
            </w:r>
            <w:r>
              <w:rPr>
                <w:rFonts w:eastAsia="仿宋_GB2312"/>
                <w:sz w:val="32"/>
                <w:szCs w:val="32"/>
              </w:rPr>
              <w:t>植被恢复工程，建设生态文化设施；中远期进一步提高旅游服务水平和质量，丰富山地运动设施。建设地点天涯区三亚绕城高速公路北侧，由福万岭、荔枝岭、三败佬等山体构成，总面积1846</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，至</w:t>
            </w:r>
            <w:r>
              <w:rPr>
                <w:rFonts w:hint="eastAsia" w:eastAsia="仿宋_GB2312"/>
                <w:sz w:val="32"/>
                <w:szCs w:val="32"/>
              </w:rPr>
              <w:t>2035年，</w:t>
            </w:r>
            <w:r>
              <w:rPr>
                <w:rFonts w:eastAsia="仿宋_GB2312"/>
                <w:sz w:val="32"/>
                <w:szCs w:val="32"/>
              </w:rPr>
              <w:t>计划投资174000万元。</w:t>
            </w:r>
          </w:p>
          <w:p w14:paraId="2073A8F5">
            <w:pPr>
              <w:rPr>
                <w:rFonts w:hint="eastAsia" w:eastAsia="仿宋_GB2312"/>
                <w:b/>
                <w:sz w:val="32"/>
                <w:szCs w:val="32"/>
              </w:rPr>
            </w:pPr>
            <w:r>
              <w:rPr>
                <w:rFonts w:hint="eastAsia" w:eastAsia="仿宋_GB2312"/>
                <w:b/>
                <w:sz w:val="32"/>
                <w:szCs w:val="32"/>
              </w:rPr>
              <w:t>（四）</w:t>
            </w:r>
            <w:r>
              <w:rPr>
                <w:rFonts w:eastAsia="仿宋_GB2312"/>
                <w:b/>
                <w:sz w:val="32"/>
                <w:szCs w:val="32"/>
              </w:rPr>
              <w:t>北山森林公园</w:t>
            </w:r>
          </w:p>
          <w:p w14:paraId="10257927">
            <w:pPr>
              <w:ind w:firstLine="640" w:firstLineChars="200"/>
              <w:rPr>
                <w:rFonts w:hint="eastAsia" w:eastAsia="仿宋_GB2312"/>
                <w:sz w:val="32"/>
                <w:szCs w:val="32"/>
              </w:rPr>
            </w:pPr>
            <w:r>
              <w:rPr>
                <w:rFonts w:eastAsia="仿宋_GB2312"/>
                <w:sz w:val="32"/>
                <w:szCs w:val="32"/>
              </w:rPr>
              <w:t>按照《海南三亚市海棠区北山森林公园总体规划(2020-2 025)》要求，以“热带雨林、滨海山地、黎族文化”为资源特色，在严格保护生态环境的将公园打造为热带雨林观光森基础上林康养、自然教育、山地运动等功能体的综合性森林公园。建设地点海棠区西部的北山村、湾应村东起北山村内穿岭，西至中廖村北山山脊，北接甘什岭省级自然保护区，南抵湾应村岭脚，总面积512</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hint="eastAsia" w:eastAsia="仿宋_GB2312"/>
                <w:sz w:val="32"/>
                <w:szCs w:val="32"/>
              </w:rPr>
              <w:t>，</w:t>
            </w:r>
            <w:r>
              <w:rPr>
                <w:rFonts w:eastAsia="仿宋_GB2312"/>
                <w:sz w:val="32"/>
                <w:szCs w:val="32"/>
              </w:rPr>
              <w:t>至</w:t>
            </w:r>
            <w:r>
              <w:rPr>
                <w:rFonts w:hint="eastAsia" w:eastAsia="仿宋_GB2312"/>
                <w:sz w:val="32"/>
                <w:szCs w:val="32"/>
              </w:rPr>
              <w:t>2035年，</w:t>
            </w:r>
            <w:r>
              <w:rPr>
                <w:rFonts w:eastAsia="仿宋_GB2312"/>
                <w:sz w:val="32"/>
                <w:szCs w:val="32"/>
              </w:rPr>
              <w:t>计划投资27000万元</w:t>
            </w:r>
            <w:r>
              <w:rPr>
                <w:rFonts w:hint="eastAsia" w:eastAsia="仿宋_GB2312"/>
                <w:sz w:val="32"/>
                <w:szCs w:val="32"/>
              </w:rPr>
              <w:t>。</w:t>
            </w:r>
          </w:p>
          <w:p w14:paraId="08A57ED9">
            <w:pPr>
              <w:rPr>
                <w:rFonts w:hint="eastAsia" w:eastAsia="仿宋_GB2312"/>
                <w:b/>
                <w:sz w:val="32"/>
                <w:szCs w:val="32"/>
              </w:rPr>
            </w:pPr>
            <w:r>
              <w:rPr>
                <w:rFonts w:hint="eastAsia" w:eastAsia="仿宋_GB2312"/>
                <w:b/>
                <w:sz w:val="32"/>
                <w:szCs w:val="32"/>
              </w:rPr>
              <w:t>（五）凤</w:t>
            </w:r>
            <w:r>
              <w:rPr>
                <w:rFonts w:eastAsia="仿宋_GB2312"/>
                <w:b/>
                <w:sz w:val="32"/>
                <w:szCs w:val="32"/>
              </w:rPr>
              <w:t>岭诺丽热带森林公园</w:t>
            </w:r>
          </w:p>
          <w:p w14:paraId="50000EB7">
            <w:pPr>
              <w:ind w:firstLine="640" w:firstLineChars="200"/>
              <w:rPr>
                <w:rFonts w:hint="eastAsia" w:eastAsia="仿宋_GB2312"/>
                <w:sz w:val="32"/>
                <w:szCs w:val="32"/>
              </w:rPr>
            </w:pPr>
            <w:r>
              <w:rPr>
                <w:rFonts w:eastAsia="仿宋_GB2312"/>
                <w:sz w:val="32"/>
                <w:szCs w:val="32"/>
              </w:rPr>
              <w:t>按照《三亚市凤岭诺丽热带森林公园总体规划(2018-2027)》要求，建设以森林养生为主，集休闲度假、雨林观光、科普教育三大主题的休闲养生型城郊森林公园。近期完成基本接待设施与重点景区、景点的建设，中远期打造森林养生和诺丽相关产品，形成森林养生度假示范园区。建设地点崖州区西部岭，西邻三更村，东至三公里村，南隔G98海南环线高速与崖州湾相望，面积11811 hm</w:t>
            </w:r>
            <w:r>
              <w:rPr>
                <w:rFonts w:eastAsia="仿宋_GB2312"/>
                <w:sz w:val="32"/>
                <w:szCs w:val="32"/>
                <w:vertAlign w:val="superscript"/>
              </w:rPr>
              <w:t>2</w:t>
            </w:r>
            <w:r>
              <w:rPr>
                <w:rFonts w:hint="eastAsia" w:eastAsia="仿宋_GB2312"/>
                <w:sz w:val="32"/>
                <w:szCs w:val="32"/>
              </w:rPr>
              <w:t>，</w:t>
            </w:r>
            <w:r>
              <w:rPr>
                <w:rFonts w:eastAsia="仿宋_GB2312"/>
                <w:sz w:val="32"/>
                <w:szCs w:val="32"/>
              </w:rPr>
              <w:t>至</w:t>
            </w:r>
            <w:r>
              <w:rPr>
                <w:rFonts w:hint="eastAsia" w:eastAsia="仿宋_GB2312"/>
                <w:sz w:val="32"/>
                <w:szCs w:val="32"/>
              </w:rPr>
              <w:t>2035年，</w:t>
            </w:r>
            <w:r>
              <w:rPr>
                <w:rFonts w:eastAsia="仿宋_GB2312"/>
                <w:sz w:val="32"/>
                <w:szCs w:val="32"/>
              </w:rPr>
              <w:t>计划投资为80000万元</w:t>
            </w:r>
            <w:r>
              <w:rPr>
                <w:rFonts w:hint="eastAsia" w:eastAsia="仿宋_GB2312"/>
                <w:sz w:val="32"/>
                <w:szCs w:val="32"/>
              </w:rPr>
              <w:t>。</w:t>
            </w:r>
          </w:p>
          <w:p w14:paraId="2D41720D">
            <w:pPr>
              <w:rPr>
                <w:rFonts w:hint="eastAsia" w:eastAsia="仿宋_GB2312"/>
                <w:b/>
                <w:sz w:val="32"/>
                <w:szCs w:val="32"/>
              </w:rPr>
            </w:pPr>
            <w:r>
              <w:rPr>
                <w:rFonts w:hint="eastAsia" w:eastAsia="仿宋_GB2312"/>
                <w:b/>
                <w:sz w:val="32"/>
                <w:szCs w:val="32"/>
              </w:rPr>
              <w:t>（六）三亚阜尖岭森林公园</w:t>
            </w:r>
          </w:p>
          <w:p w14:paraId="42C121F5">
            <w:pPr>
              <w:ind w:firstLine="640" w:firstLineChars="200"/>
              <w:rPr>
                <w:rFonts w:hint="eastAsia" w:eastAsia="仿宋_GB2312"/>
                <w:b/>
                <w:sz w:val="32"/>
                <w:szCs w:val="32"/>
              </w:rPr>
            </w:pPr>
            <w:r>
              <w:rPr>
                <w:rFonts w:eastAsia="仿宋_GB2312"/>
                <w:sz w:val="32"/>
                <w:szCs w:val="32"/>
              </w:rPr>
              <w:t>规划以森林的保护和开发为中心，发展森林旅游，打造山水生态旅游品牌，将打造成娱乐休闲、高端度假、雨林体验、森林康养、生态旅游的胜地。建设</w:t>
            </w:r>
            <w:r>
              <w:rPr>
                <w:rFonts w:hint="eastAsia" w:eastAsia="仿宋_GB2312"/>
                <w:sz w:val="32"/>
                <w:szCs w:val="32"/>
              </w:rPr>
              <w:t>地点为</w:t>
            </w:r>
            <w:r>
              <w:rPr>
                <w:rFonts w:eastAsia="仿宋_GB2312"/>
                <w:sz w:val="32"/>
                <w:szCs w:val="32"/>
              </w:rPr>
              <w:t>育才生态区管理委员会东侧约2.5</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，面积660 hm</w:t>
            </w:r>
            <w:r>
              <w:rPr>
                <w:rFonts w:eastAsia="仿宋_GB2312"/>
                <w:sz w:val="32"/>
                <w:szCs w:val="32"/>
                <w:vertAlign w:val="superscript"/>
              </w:rPr>
              <w:t>2</w:t>
            </w:r>
            <w:r>
              <w:rPr>
                <w:rFonts w:eastAsia="仿宋_GB2312"/>
                <w:sz w:val="32"/>
                <w:szCs w:val="32"/>
              </w:rPr>
              <w:t>，至</w:t>
            </w:r>
            <w:r>
              <w:rPr>
                <w:rFonts w:hint="eastAsia" w:eastAsia="仿宋_GB2312"/>
                <w:sz w:val="32"/>
                <w:szCs w:val="32"/>
              </w:rPr>
              <w:t>2035年，</w:t>
            </w:r>
            <w:r>
              <w:rPr>
                <w:rFonts w:eastAsia="仿宋_GB2312"/>
                <w:sz w:val="32"/>
                <w:szCs w:val="32"/>
              </w:rPr>
              <w:t>计划投资150000万元。</w:t>
            </w:r>
          </w:p>
        </w:tc>
      </w:tr>
      <w:tr w14:paraId="2D15A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49CF400">
            <w:pPr>
              <w:spacing w:line="360" w:lineRule="auto"/>
              <w:rPr>
                <w:rFonts w:hint="eastAsia" w:eastAsia="仿宋_GB2312"/>
                <w:b/>
                <w:sz w:val="32"/>
                <w:szCs w:val="32"/>
              </w:rPr>
            </w:pPr>
            <w:r>
              <w:rPr>
                <w:rFonts w:hint="eastAsia" w:eastAsia="仿宋_GB2312"/>
                <w:b/>
                <w:sz w:val="32"/>
                <w:szCs w:val="32"/>
              </w:rPr>
              <w:t>四、</w:t>
            </w:r>
            <w:r>
              <w:rPr>
                <w:rFonts w:eastAsia="仿宋_GB2312"/>
                <w:b/>
                <w:sz w:val="32"/>
                <w:szCs w:val="32"/>
              </w:rPr>
              <w:t>建设生态保护网络</w:t>
            </w:r>
          </w:p>
          <w:p w14:paraId="4449A4A7">
            <w:pPr>
              <w:spacing w:line="360" w:lineRule="auto"/>
              <w:ind w:firstLine="640" w:firstLineChars="200"/>
              <w:rPr>
                <w:sz w:val="32"/>
                <w:szCs w:val="32"/>
              </w:rPr>
            </w:pPr>
            <w:r>
              <w:rPr>
                <w:rFonts w:eastAsia="仿宋_GB2312"/>
                <w:sz w:val="32"/>
                <w:szCs w:val="32"/>
              </w:rPr>
              <w:t>建设生态保护网络工程，主要包括风景区管理体制和管理机构、确界立标和强化风景区资源保护等内容，至</w:t>
            </w:r>
            <w:r>
              <w:rPr>
                <w:rFonts w:hint="eastAsia" w:eastAsia="仿宋_GB2312"/>
                <w:sz w:val="32"/>
                <w:szCs w:val="32"/>
              </w:rPr>
              <w:t>2035年，</w:t>
            </w:r>
            <w:r>
              <w:rPr>
                <w:rFonts w:eastAsia="仿宋_GB2312"/>
                <w:sz w:val="32"/>
                <w:szCs w:val="32"/>
              </w:rPr>
              <w:t>计划投资1000万元。</w:t>
            </w:r>
          </w:p>
          <w:p w14:paraId="583E6FDC">
            <w:pPr>
              <w:ind w:firstLine="640" w:firstLineChars="200"/>
              <w:rPr>
                <w:rFonts w:hint="eastAsia" w:eastAsia="仿宋_GB2312"/>
                <w:sz w:val="32"/>
                <w:szCs w:val="32"/>
              </w:rPr>
            </w:pPr>
            <w:r>
              <w:rPr>
                <w:rFonts w:eastAsia="仿宋_GB2312"/>
                <w:sz w:val="32"/>
                <w:szCs w:val="32"/>
              </w:rPr>
              <w:t>理顺风景区管理体制和管理机构，加强规划实施管理和监督执法；完善风景区监管信息系统、森林防火监控系统和规划数据平台等的建设，全面推进数字化景区的建设。</w:t>
            </w:r>
          </w:p>
          <w:p w14:paraId="6E5638EA">
            <w:pPr>
              <w:ind w:firstLine="640" w:firstLineChars="200"/>
              <w:rPr>
                <w:rFonts w:hint="eastAsia" w:eastAsia="仿宋_GB2312"/>
                <w:sz w:val="32"/>
                <w:szCs w:val="32"/>
              </w:rPr>
            </w:pPr>
            <w:r>
              <w:rPr>
                <w:rFonts w:eastAsia="仿宋_GB2312"/>
                <w:sz w:val="32"/>
                <w:szCs w:val="32"/>
              </w:rPr>
              <w:t>确界立标，按照风景名胜区总体规划完成对界线调整地段和核心景区的范围进行勘界立碑工作，统一设置国家级风景名胜区徽志，加强风景资源的保护力度。</w:t>
            </w:r>
          </w:p>
          <w:p w14:paraId="7CD25BB8">
            <w:pPr>
              <w:spacing w:line="360" w:lineRule="auto"/>
              <w:ind w:firstLine="640"/>
              <w:rPr>
                <w:rFonts w:hint="eastAsia" w:eastAsia="仿宋_GB2312"/>
                <w:b/>
                <w:sz w:val="32"/>
                <w:szCs w:val="32"/>
              </w:rPr>
            </w:pPr>
            <w:r>
              <w:rPr>
                <w:rFonts w:eastAsia="仿宋_GB2312"/>
                <w:sz w:val="32"/>
                <w:szCs w:val="32"/>
              </w:rPr>
              <w:t>强化风景区资源保护，开展资源详查、生态修复、绿化美化、地质灾害勘察和建档等保护措施</w:t>
            </w:r>
            <w:r>
              <w:rPr>
                <w:rFonts w:hint="eastAsia" w:eastAsia="仿宋_GB2312"/>
                <w:sz w:val="32"/>
                <w:szCs w:val="32"/>
              </w:rPr>
              <w:t>。</w:t>
            </w:r>
          </w:p>
        </w:tc>
      </w:tr>
      <w:tr w14:paraId="2BF0A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28071E6">
            <w:pPr>
              <w:spacing w:line="360" w:lineRule="auto"/>
              <w:rPr>
                <w:rFonts w:hint="eastAsia" w:eastAsia="仿宋_GB2312"/>
                <w:b/>
                <w:sz w:val="32"/>
                <w:szCs w:val="32"/>
              </w:rPr>
            </w:pPr>
            <w:r>
              <w:rPr>
                <w:rFonts w:hint="eastAsia" w:eastAsia="仿宋_GB2312"/>
                <w:b/>
                <w:sz w:val="32"/>
                <w:szCs w:val="32"/>
              </w:rPr>
              <w:t>五、</w:t>
            </w:r>
            <w:r>
              <w:rPr>
                <w:rFonts w:eastAsia="仿宋_GB2312"/>
                <w:b/>
                <w:sz w:val="32"/>
                <w:szCs w:val="32"/>
              </w:rPr>
              <w:t>建设森林康养示范基地</w:t>
            </w:r>
          </w:p>
          <w:p w14:paraId="049E5EEC">
            <w:pPr>
              <w:spacing w:line="360" w:lineRule="auto"/>
              <w:rPr>
                <w:rFonts w:hint="eastAsia" w:eastAsia="仿宋_GB2312"/>
                <w:b/>
                <w:sz w:val="32"/>
                <w:szCs w:val="32"/>
              </w:rPr>
            </w:pPr>
            <w:r>
              <w:rPr>
                <w:rFonts w:hint="eastAsia" w:eastAsia="仿宋_GB2312"/>
                <w:b/>
                <w:sz w:val="32"/>
                <w:szCs w:val="32"/>
              </w:rPr>
              <w:t>（一）</w:t>
            </w:r>
            <w:r>
              <w:rPr>
                <w:rFonts w:eastAsia="仿宋_GB2312"/>
                <w:b/>
                <w:sz w:val="32"/>
                <w:szCs w:val="32"/>
              </w:rPr>
              <w:t>森林康养示范基地</w:t>
            </w:r>
          </w:p>
          <w:p w14:paraId="4AAC3975">
            <w:pPr>
              <w:spacing w:line="360" w:lineRule="auto"/>
              <w:ind w:firstLine="640" w:firstLineChars="200"/>
              <w:rPr>
                <w:rFonts w:eastAsia="仿宋_GB2312"/>
                <w:sz w:val="32"/>
                <w:szCs w:val="32"/>
              </w:rPr>
            </w:pPr>
            <w:r>
              <w:rPr>
                <w:rFonts w:eastAsia="仿宋_GB2312"/>
                <w:sz w:val="32"/>
                <w:szCs w:val="32"/>
              </w:rPr>
              <w:t>重点建设海南南岛国家森林康养基地和天使·净心谷森林康养基地2处森林康养示范基地，打造三亚森林康养精品样板。</w:t>
            </w:r>
          </w:p>
          <w:p w14:paraId="4C252069">
            <w:pPr>
              <w:spacing w:line="360" w:lineRule="auto"/>
              <w:ind w:firstLine="640" w:firstLineChars="200"/>
              <w:rPr>
                <w:rFonts w:hint="eastAsia" w:eastAsia="仿宋_GB2312"/>
                <w:sz w:val="32"/>
                <w:szCs w:val="32"/>
              </w:rPr>
            </w:pPr>
            <w:r>
              <w:rPr>
                <w:rFonts w:eastAsia="仿宋_GB2312"/>
                <w:sz w:val="32"/>
                <w:szCs w:val="32"/>
              </w:rPr>
              <w:t>南岛国家森林康养基地建设森林康养家园、休闲度假乐园、体验教育文化园和生态保护绿园，带动北部山区生态旅游业发展，促进乡村经济振兴。建设地点天涯区台楼村林鼻岭，规划总面积</w:t>
            </w:r>
            <w:r>
              <w:rPr>
                <w:rFonts w:hint="eastAsia" w:eastAsia="仿宋_GB2312"/>
                <w:sz w:val="32"/>
                <w:szCs w:val="32"/>
              </w:rPr>
              <w:t xml:space="preserve">1385.35 </w:t>
            </w:r>
            <w:r>
              <w:rPr>
                <w:rFonts w:eastAsia="仿宋_GB2312"/>
                <w:sz w:val="32"/>
                <w:szCs w:val="32"/>
              </w:rPr>
              <w:t>hm</w:t>
            </w:r>
            <w:r>
              <w:rPr>
                <w:rFonts w:eastAsia="仿宋_GB2312"/>
                <w:sz w:val="32"/>
                <w:szCs w:val="32"/>
                <w:vertAlign w:val="superscript"/>
              </w:rPr>
              <w:t>2</w:t>
            </w:r>
            <w:r>
              <w:rPr>
                <w:rFonts w:eastAsia="仿宋_GB2312"/>
                <w:sz w:val="32"/>
                <w:szCs w:val="32"/>
              </w:rPr>
              <w:t>，至</w:t>
            </w:r>
            <w:r>
              <w:rPr>
                <w:rFonts w:hint="eastAsia" w:eastAsia="仿宋_GB2312"/>
                <w:sz w:val="32"/>
                <w:szCs w:val="32"/>
              </w:rPr>
              <w:t>2025年，</w:t>
            </w:r>
            <w:r>
              <w:rPr>
                <w:rFonts w:eastAsia="仿宋_GB2312"/>
                <w:sz w:val="32"/>
                <w:szCs w:val="32"/>
              </w:rPr>
              <w:t>计划投资</w:t>
            </w:r>
            <w:r>
              <w:rPr>
                <w:rFonts w:hint="eastAsia" w:eastAsia="仿宋_GB2312"/>
                <w:sz w:val="32"/>
                <w:szCs w:val="32"/>
              </w:rPr>
              <w:t>80</w:t>
            </w:r>
            <w:r>
              <w:rPr>
                <w:rFonts w:eastAsia="仿宋_GB2312"/>
                <w:sz w:val="32"/>
                <w:szCs w:val="32"/>
              </w:rPr>
              <w:t>000万元；至</w:t>
            </w:r>
            <w:r>
              <w:rPr>
                <w:rFonts w:hint="eastAsia" w:eastAsia="仿宋_GB2312"/>
                <w:sz w:val="32"/>
                <w:szCs w:val="32"/>
              </w:rPr>
              <w:t>2035年，计划投资20000万元；</w:t>
            </w:r>
            <w:r>
              <w:rPr>
                <w:rFonts w:eastAsia="仿宋_GB2312"/>
                <w:sz w:val="32"/>
                <w:szCs w:val="32"/>
              </w:rPr>
              <w:t>总投资</w:t>
            </w:r>
            <w:r>
              <w:rPr>
                <w:rFonts w:hint="eastAsia" w:eastAsia="仿宋_GB2312"/>
                <w:sz w:val="32"/>
                <w:szCs w:val="32"/>
              </w:rPr>
              <w:t>100000万元。</w:t>
            </w:r>
          </w:p>
          <w:p w14:paraId="47592CFE">
            <w:pPr>
              <w:spacing w:line="360" w:lineRule="auto"/>
              <w:ind w:firstLine="640" w:firstLineChars="200"/>
              <w:rPr>
                <w:rFonts w:hint="eastAsia" w:eastAsia="仿宋_GB2312"/>
                <w:sz w:val="32"/>
                <w:szCs w:val="32"/>
              </w:rPr>
            </w:pPr>
            <w:r>
              <w:rPr>
                <w:rFonts w:eastAsia="仿宋_GB2312"/>
                <w:sz w:val="32"/>
                <w:szCs w:val="32"/>
              </w:rPr>
              <w:t xml:space="preserve"> “天使·净心谷” 森林康养基地打造以生态保护为前提，森林康养、温泉养生、中医疗养为重点，中医药健康食疗、健康睡眠中心、热带南药科普等为基础，集保护保育、生态观光和科普宣教、亲子娱乐、养生度假于一体的森林康养基地。建设地点吉阳区南新农场，总占地面积66.</w:t>
            </w:r>
            <w:r>
              <w:rPr>
                <w:rFonts w:hint="eastAsia" w:eastAsia="仿宋_GB2312"/>
                <w:sz w:val="32"/>
                <w:szCs w:val="32"/>
              </w:rPr>
              <w:t>2</w:t>
            </w:r>
            <w:r>
              <w:rPr>
                <w:rFonts w:eastAsia="仿宋_GB2312"/>
                <w:sz w:val="32"/>
                <w:szCs w:val="32"/>
              </w:rPr>
              <w:t xml:space="preserve"> hm</w:t>
            </w:r>
            <w:r>
              <w:rPr>
                <w:rFonts w:eastAsia="仿宋_GB2312"/>
                <w:sz w:val="32"/>
                <w:szCs w:val="32"/>
                <w:vertAlign w:val="superscript"/>
              </w:rPr>
              <w:t>2</w:t>
            </w:r>
            <w:r>
              <w:rPr>
                <w:rFonts w:eastAsia="仿宋_GB2312"/>
                <w:sz w:val="32"/>
                <w:szCs w:val="32"/>
              </w:rPr>
              <w:t>，至</w:t>
            </w:r>
            <w:r>
              <w:rPr>
                <w:rFonts w:hint="eastAsia" w:eastAsia="仿宋_GB2312"/>
                <w:sz w:val="32"/>
                <w:szCs w:val="32"/>
              </w:rPr>
              <w:t>2025年，</w:t>
            </w:r>
            <w:r>
              <w:rPr>
                <w:rFonts w:eastAsia="仿宋_GB2312"/>
                <w:sz w:val="32"/>
                <w:szCs w:val="32"/>
              </w:rPr>
              <w:t>计划投资</w:t>
            </w:r>
            <w:r>
              <w:rPr>
                <w:rFonts w:hint="eastAsia" w:eastAsia="仿宋_GB2312"/>
                <w:sz w:val="32"/>
                <w:szCs w:val="32"/>
              </w:rPr>
              <w:t>4</w:t>
            </w:r>
            <w:r>
              <w:rPr>
                <w:rFonts w:eastAsia="仿宋_GB2312"/>
                <w:sz w:val="32"/>
                <w:szCs w:val="32"/>
              </w:rPr>
              <w:t>0000万元</w:t>
            </w:r>
            <w:r>
              <w:rPr>
                <w:rFonts w:hint="eastAsia" w:eastAsia="仿宋_GB2312"/>
                <w:sz w:val="32"/>
                <w:szCs w:val="32"/>
              </w:rPr>
              <w:t>；</w:t>
            </w:r>
            <w:r>
              <w:rPr>
                <w:rFonts w:eastAsia="仿宋_GB2312"/>
                <w:sz w:val="32"/>
                <w:szCs w:val="32"/>
              </w:rPr>
              <w:t>至</w:t>
            </w:r>
            <w:r>
              <w:rPr>
                <w:rFonts w:hint="eastAsia" w:eastAsia="仿宋_GB2312"/>
                <w:sz w:val="32"/>
                <w:szCs w:val="32"/>
              </w:rPr>
              <w:t>2035年，计划投资20000万元；</w:t>
            </w:r>
            <w:r>
              <w:rPr>
                <w:rFonts w:eastAsia="仿宋_GB2312"/>
                <w:sz w:val="32"/>
                <w:szCs w:val="32"/>
              </w:rPr>
              <w:t>总投资</w:t>
            </w:r>
            <w:r>
              <w:rPr>
                <w:rFonts w:hint="eastAsia" w:eastAsia="仿宋_GB2312"/>
                <w:sz w:val="32"/>
                <w:szCs w:val="32"/>
              </w:rPr>
              <w:t>60000万元。</w:t>
            </w:r>
          </w:p>
          <w:p w14:paraId="431FE5BD">
            <w:pPr>
              <w:spacing w:line="360" w:lineRule="auto"/>
              <w:rPr>
                <w:rFonts w:hint="eastAsia" w:eastAsia="仿宋_GB2312"/>
                <w:b/>
                <w:sz w:val="32"/>
                <w:szCs w:val="32"/>
              </w:rPr>
            </w:pPr>
            <w:r>
              <w:rPr>
                <w:rFonts w:hint="eastAsia" w:eastAsia="仿宋_GB2312"/>
                <w:b/>
                <w:sz w:val="32"/>
                <w:szCs w:val="32"/>
              </w:rPr>
              <w:t>（二）国家中医药健康旅游示范基地</w:t>
            </w:r>
          </w:p>
          <w:p w14:paraId="39BD58DB">
            <w:pPr>
              <w:spacing w:line="360" w:lineRule="auto"/>
              <w:ind w:firstLine="640" w:firstLineChars="200"/>
              <w:rPr>
                <w:rFonts w:hint="eastAsia" w:eastAsia="仿宋_GB2312"/>
                <w:sz w:val="32"/>
                <w:szCs w:val="32"/>
              </w:rPr>
            </w:pPr>
            <w:r>
              <w:rPr>
                <w:rFonts w:eastAsia="仿宋_GB2312"/>
                <w:sz w:val="32"/>
                <w:szCs w:val="32"/>
              </w:rPr>
              <w:t>依托育才丰富的黎药、南药资源和三亚国家中医药健康旅游示范基地，打造独特的药材种植、研发、生产、加工基地，以中医药和运动医学为核心，加快发展现代中药产业，结合南药种植观光、民宿、传统文化等元素，集产</w:t>
            </w:r>
            <w:r>
              <w:rPr>
                <w:rFonts w:hint="eastAsia" w:eastAsia="仿宋_GB2312"/>
                <w:sz w:val="32"/>
                <w:szCs w:val="32"/>
              </w:rPr>
              <w:t>、</w:t>
            </w:r>
            <w:r>
              <w:rPr>
                <w:rFonts w:eastAsia="仿宋_GB2312"/>
                <w:sz w:val="32"/>
                <w:szCs w:val="32"/>
              </w:rPr>
              <w:t>学</w:t>
            </w:r>
            <w:r>
              <w:rPr>
                <w:rFonts w:hint="eastAsia" w:eastAsia="仿宋_GB2312"/>
                <w:sz w:val="32"/>
                <w:szCs w:val="32"/>
              </w:rPr>
              <w:t>、</w:t>
            </w:r>
            <w:r>
              <w:rPr>
                <w:rFonts w:eastAsia="仿宋_GB2312"/>
                <w:sz w:val="32"/>
                <w:szCs w:val="32"/>
              </w:rPr>
              <w:t>研</w:t>
            </w:r>
            <w:r>
              <w:rPr>
                <w:rFonts w:hint="eastAsia" w:eastAsia="仿宋_GB2312"/>
                <w:sz w:val="32"/>
                <w:szCs w:val="32"/>
              </w:rPr>
              <w:t>、</w:t>
            </w:r>
            <w:r>
              <w:rPr>
                <w:rFonts w:eastAsia="仿宋_GB2312"/>
                <w:sz w:val="32"/>
                <w:szCs w:val="32"/>
              </w:rPr>
              <w:t>医</w:t>
            </w:r>
            <w:r>
              <w:rPr>
                <w:rFonts w:hint="eastAsia" w:eastAsia="仿宋_GB2312"/>
                <w:sz w:val="32"/>
                <w:szCs w:val="32"/>
              </w:rPr>
              <w:t>、</w:t>
            </w:r>
            <w:r>
              <w:rPr>
                <w:rFonts w:eastAsia="仿宋_GB2312"/>
                <w:sz w:val="32"/>
                <w:szCs w:val="32"/>
              </w:rPr>
              <w:t>养</w:t>
            </w:r>
            <w:r>
              <w:rPr>
                <w:rFonts w:hint="eastAsia" w:eastAsia="仿宋_GB2312"/>
                <w:sz w:val="32"/>
                <w:szCs w:val="32"/>
              </w:rPr>
              <w:t>、</w:t>
            </w:r>
            <w:r>
              <w:rPr>
                <w:rFonts w:eastAsia="仿宋_GB2312"/>
                <w:sz w:val="32"/>
                <w:szCs w:val="32"/>
              </w:rPr>
              <w:t>游于一体的特色森林康养体系</w:t>
            </w:r>
            <w:r>
              <w:rPr>
                <w:rFonts w:hint="eastAsia" w:eastAsia="仿宋_GB2312"/>
                <w:sz w:val="32"/>
                <w:szCs w:val="32"/>
              </w:rPr>
              <w:t>，</w:t>
            </w:r>
            <w:r>
              <w:rPr>
                <w:rFonts w:eastAsia="仿宋_GB2312"/>
                <w:sz w:val="32"/>
                <w:szCs w:val="32"/>
              </w:rPr>
              <w:t>建设</w:t>
            </w:r>
            <w:r>
              <w:rPr>
                <w:rFonts w:hint="eastAsia" w:eastAsia="仿宋_GB2312"/>
                <w:sz w:val="32"/>
                <w:szCs w:val="32"/>
              </w:rPr>
              <w:t>国家中医药健康旅游示范基地，高标准打造国际化健康旅游示范区。</w:t>
            </w:r>
            <w:r>
              <w:rPr>
                <w:rFonts w:eastAsia="仿宋_GB2312"/>
                <w:sz w:val="32"/>
                <w:szCs w:val="32"/>
              </w:rPr>
              <w:t>至</w:t>
            </w:r>
            <w:r>
              <w:rPr>
                <w:rFonts w:hint="eastAsia" w:eastAsia="仿宋_GB2312"/>
                <w:sz w:val="32"/>
                <w:szCs w:val="32"/>
              </w:rPr>
              <w:t>2035年，</w:t>
            </w:r>
            <w:r>
              <w:rPr>
                <w:rFonts w:eastAsia="仿宋_GB2312"/>
                <w:sz w:val="32"/>
                <w:szCs w:val="32"/>
              </w:rPr>
              <w:t>计划投资</w:t>
            </w:r>
            <w:r>
              <w:rPr>
                <w:rFonts w:hint="eastAsia" w:eastAsia="仿宋_GB2312"/>
                <w:sz w:val="32"/>
                <w:szCs w:val="32"/>
              </w:rPr>
              <w:t>1</w:t>
            </w:r>
            <w:r>
              <w:rPr>
                <w:rFonts w:eastAsia="仿宋_GB2312"/>
                <w:sz w:val="32"/>
                <w:szCs w:val="32"/>
              </w:rPr>
              <w:t>0000万元。</w:t>
            </w:r>
          </w:p>
          <w:p w14:paraId="30069131">
            <w:pPr>
              <w:spacing w:line="360" w:lineRule="auto"/>
              <w:rPr>
                <w:rFonts w:hint="eastAsia" w:eastAsia="仿宋_GB2312"/>
                <w:b/>
                <w:sz w:val="32"/>
                <w:szCs w:val="32"/>
              </w:rPr>
            </w:pPr>
            <w:r>
              <w:rPr>
                <w:rFonts w:hint="eastAsia" w:eastAsia="仿宋_GB2312"/>
                <w:b/>
                <w:sz w:val="32"/>
                <w:szCs w:val="32"/>
              </w:rPr>
              <w:t>（三）综合性热带森林康养基地</w:t>
            </w:r>
          </w:p>
          <w:p w14:paraId="06FCD128">
            <w:pPr>
              <w:spacing w:line="360" w:lineRule="auto"/>
              <w:ind w:firstLine="640" w:firstLineChars="200"/>
              <w:rPr>
                <w:rFonts w:hint="eastAsia" w:eastAsia="仿宋_GB2312"/>
                <w:b/>
                <w:sz w:val="32"/>
                <w:szCs w:val="32"/>
              </w:rPr>
            </w:pPr>
            <w:r>
              <w:rPr>
                <w:rFonts w:eastAsia="仿宋_GB2312"/>
                <w:sz w:val="32"/>
                <w:szCs w:val="32"/>
              </w:rPr>
              <w:t>以森林公园、湿地公园、自然保护区和现有森林康养基地等为主体，依托现代医学、中医药等传统医学技术和手段，融合具有海南特色的生态文化、历史文化和民族文化，构建集康复、疗养、运动、休闲、旅游等于一体，适合人群多样化健康需求的森林康养基地，发挥森林生态优势，建设森林步道、度假村、疗养医院、康复中心等一批高端、低密度的康养设施，丰富森林康养新业态。注重开发三类森林康养基地：建设以静态康养为主的森林浴场，如抱龙森林公园等；建设以运动康养为主的森林康养基地，开展森林太极、森林夏令营、森林马拉松、森林越野等项目，如亚龙湾森林公园；依托温泉丰富的森林公园、湿地公园和自然保护区等，建设以疗养和康复为主的森林康养基地，如铁炉港红树林湿地公园等。至</w:t>
            </w:r>
            <w:r>
              <w:rPr>
                <w:rFonts w:hint="eastAsia" w:eastAsia="仿宋_GB2312"/>
                <w:sz w:val="32"/>
                <w:szCs w:val="32"/>
              </w:rPr>
              <w:t>2035年，</w:t>
            </w:r>
            <w:r>
              <w:rPr>
                <w:rFonts w:eastAsia="仿宋_GB2312"/>
                <w:sz w:val="32"/>
                <w:szCs w:val="32"/>
              </w:rPr>
              <w:t>计划投资</w:t>
            </w:r>
            <w:r>
              <w:rPr>
                <w:rFonts w:hint="eastAsia" w:eastAsia="仿宋_GB2312"/>
                <w:sz w:val="32"/>
                <w:szCs w:val="32"/>
              </w:rPr>
              <w:t>1000万元。</w:t>
            </w:r>
          </w:p>
        </w:tc>
      </w:tr>
      <w:tr w14:paraId="44633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997FB52">
            <w:pPr>
              <w:spacing w:line="360" w:lineRule="auto"/>
              <w:rPr>
                <w:rFonts w:hint="eastAsia" w:eastAsia="仿宋_GB2312"/>
                <w:b/>
                <w:sz w:val="32"/>
                <w:szCs w:val="32"/>
              </w:rPr>
            </w:pPr>
            <w:r>
              <w:rPr>
                <w:rFonts w:hint="eastAsia" w:eastAsia="仿宋_GB2312"/>
                <w:b/>
                <w:sz w:val="32"/>
                <w:szCs w:val="32"/>
              </w:rPr>
              <w:t>六、提高森林康养服务配套及设施</w:t>
            </w:r>
          </w:p>
          <w:p w14:paraId="6691504E">
            <w:pPr>
              <w:spacing w:line="360" w:lineRule="auto"/>
              <w:rPr>
                <w:rFonts w:hint="eastAsia" w:eastAsia="仿宋_GB2312"/>
                <w:b/>
                <w:sz w:val="32"/>
                <w:szCs w:val="32"/>
              </w:rPr>
            </w:pPr>
            <w:r>
              <w:rPr>
                <w:rFonts w:hint="eastAsia" w:eastAsia="仿宋_GB2312"/>
                <w:b/>
                <w:sz w:val="32"/>
                <w:szCs w:val="32"/>
              </w:rPr>
              <w:t>（一）完善森林康养基础设施</w:t>
            </w:r>
          </w:p>
          <w:p w14:paraId="6FC2A02B">
            <w:pPr>
              <w:spacing w:line="360" w:lineRule="auto"/>
              <w:ind w:firstLine="640" w:firstLineChars="200"/>
              <w:rPr>
                <w:rFonts w:hint="eastAsia" w:eastAsia="仿宋_GB2312"/>
                <w:sz w:val="32"/>
                <w:szCs w:val="32"/>
              </w:rPr>
            </w:pPr>
            <w:r>
              <w:rPr>
                <w:rFonts w:eastAsia="仿宋_GB2312"/>
                <w:sz w:val="32"/>
                <w:szCs w:val="32"/>
              </w:rPr>
              <w:t>按照统筹规划、合理布局、优化配套，建设一批关系森林康养产业发展的基础设施项目。统筹森林康养基地路网、电网、水网、气网、通讯等内部综合基础设施建设，加强森林康养基地饮水、厕所、停车场、垃圾污水收集处理等配套设施建设，增强森林康养基地的可进入性、吸引力和承载服务能力。着力配套森林康养基地的健康食养、康养住宿、休闲度假、养生养老等康养服务能力。至</w:t>
            </w:r>
            <w:r>
              <w:rPr>
                <w:rFonts w:hint="eastAsia" w:eastAsia="仿宋_GB2312"/>
                <w:sz w:val="32"/>
                <w:szCs w:val="32"/>
              </w:rPr>
              <w:t>2035年，</w:t>
            </w:r>
            <w:r>
              <w:rPr>
                <w:rFonts w:eastAsia="仿宋_GB2312"/>
                <w:sz w:val="32"/>
                <w:szCs w:val="32"/>
              </w:rPr>
              <w:t>计划投资</w:t>
            </w:r>
            <w:r>
              <w:rPr>
                <w:rFonts w:hint="eastAsia" w:eastAsia="仿宋_GB2312"/>
                <w:sz w:val="32"/>
                <w:szCs w:val="32"/>
              </w:rPr>
              <w:t>1000万元。</w:t>
            </w:r>
          </w:p>
          <w:p w14:paraId="188777AD">
            <w:pPr>
              <w:spacing w:line="360" w:lineRule="auto"/>
              <w:rPr>
                <w:rFonts w:eastAsia="仿宋_GB2312"/>
                <w:b/>
                <w:sz w:val="32"/>
                <w:szCs w:val="32"/>
              </w:rPr>
            </w:pPr>
            <w:r>
              <w:rPr>
                <w:rFonts w:hint="eastAsia" w:eastAsia="仿宋_GB2312"/>
                <w:b/>
                <w:sz w:val="32"/>
                <w:szCs w:val="32"/>
              </w:rPr>
              <w:t>（二）加强森林康养人才培养</w:t>
            </w:r>
          </w:p>
          <w:p w14:paraId="2006EA9C">
            <w:pPr>
              <w:spacing w:line="360" w:lineRule="auto"/>
              <w:ind w:firstLine="640" w:firstLineChars="200"/>
              <w:rPr>
                <w:rFonts w:hint="eastAsia" w:eastAsia="仿宋_GB2312"/>
                <w:b/>
                <w:sz w:val="32"/>
                <w:szCs w:val="32"/>
              </w:rPr>
            </w:pPr>
            <w:r>
              <w:rPr>
                <w:rFonts w:eastAsia="仿宋_GB2312"/>
                <w:sz w:val="32"/>
                <w:szCs w:val="32"/>
              </w:rPr>
              <w:t>培养多层次的从业人员是推广森林康养的重要基础，国外森林康养的快速发展得益于具有熟悉森林康养的医生、森林理疗师和森林向导等从业人员。森林康养产业发展需要大量掌握现代护理、康复技术和健康保健的专业人才，大力开拓高校教育和科研基地、中等职业教育和培训基地，整合教学资源，开办康养专业，设置森林康养师培训课程，开展养生保健相关培训，培养高素质的护理、康复、保健、治疗等复合型森林康养师、管理人才及领军人物，为森林康养产业的快速发展提供人才支撑。至</w:t>
            </w:r>
            <w:r>
              <w:rPr>
                <w:rFonts w:hint="eastAsia" w:eastAsia="仿宋_GB2312"/>
                <w:sz w:val="32"/>
                <w:szCs w:val="32"/>
              </w:rPr>
              <w:t>2035年，</w:t>
            </w:r>
            <w:r>
              <w:rPr>
                <w:rFonts w:eastAsia="仿宋_GB2312"/>
                <w:sz w:val="32"/>
                <w:szCs w:val="32"/>
              </w:rPr>
              <w:t>计划投资</w:t>
            </w:r>
            <w:r>
              <w:rPr>
                <w:rFonts w:hint="eastAsia" w:eastAsia="仿宋_GB2312"/>
                <w:sz w:val="32"/>
                <w:szCs w:val="32"/>
              </w:rPr>
              <w:t>1000万元。</w:t>
            </w:r>
          </w:p>
        </w:tc>
      </w:tr>
    </w:tbl>
    <w:p w14:paraId="2D2C69BD">
      <w:pPr>
        <w:rPr>
          <w:rFonts w:hint="eastAsia"/>
        </w:rPr>
      </w:pPr>
    </w:p>
    <w:p w14:paraId="1BE14597">
      <w:pPr>
        <w:pStyle w:val="3"/>
        <w:spacing w:before="0" w:after="0" w:line="240" w:lineRule="auto"/>
        <w:rPr>
          <w:rFonts w:ascii="Times New Roman" w:hAnsi="Times New Roman" w:eastAsia="黑体"/>
        </w:rPr>
      </w:pPr>
      <w:bookmarkStart w:id="66" w:name="_Toc82546080"/>
      <w:r>
        <w:rPr>
          <w:rFonts w:hint="eastAsia" w:ascii="Times New Roman" w:hAnsi="Times New Roman" w:eastAsia="黑体"/>
        </w:rPr>
        <w:t>6</w:t>
      </w:r>
      <w:r>
        <w:rPr>
          <w:rFonts w:ascii="Times New Roman" w:hAnsi="Times New Roman" w:eastAsia="黑体"/>
        </w:rPr>
        <w:t>.</w:t>
      </w:r>
      <w:r>
        <w:rPr>
          <w:rFonts w:hint="eastAsia" w:ascii="Times New Roman" w:hAnsi="Times New Roman" w:eastAsia="黑体"/>
        </w:rPr>
        <w:t>5</w:t>
      </w:r>
      <w:r>
        <w:rPr>
          <w:rFonts w:ascii="Times New Roman" w:hAnsi="Times New Roman" w:eastAsia="黑体"/>
        </w:rPr>
        <w:t xml:space="preserve"> </w:t>
      </w:r>
      <w:r>
        <w:rPr>
          <w:rFonts w:hint="eastAsia" w:ascii="Times New Roman" w:hAnsi="Times New Roman" w:eastAsia="黑体"/>
        </w:rPr>
        <w:t>投资估算与资金来源</w:t>
      </w:r>
      <w:bookmarkEnd w:id="66"/>
    </w:p>
    <w:p w14:paraId="2C3761BC">
      <w:pPr>
        <w:spacing w:line="360" w:lineRule="auto"/>
        <w:ind w:firstLine="640" w:firstLineChars="200"/>
        <w:jc w:val="left"/>
        <w:rPr>
          <w:rStyle w:val="44"/>
          <w:rFonts w:hAnsi="Times New Roman" w:eastAsia="仿宋_GB2312" w:cs="Times New Roman"/>
          <w:sz w:val="32"/>
          <w:szCs w:val="32"/>
        </w:rPr>
        <w:sectPr>
          <w:pgSz w:w="11906" w:h="16838"/>
          <w:pgMar w:top="1440" w:right="1800" w:bottom="1440" w:left="1800" w:header="851" w:footer="992" w:gutter="0"/>
          <w:cols w:space="720" w:num="1"/>
          <w:docGrid w:type="lines" w:linePitch="312" w:charSpace="0"/>
        </w:sectPr>
      </w:pPr>
      <w:r>
        <w:rPr>
          <w:rFonts w:hint="eastAsia" w:eastAsia="仿宋_GB2312"/>
          <w:bCs/>
          <w:sz w:val="32"/>
          <w:szCs w:val="32"/>
        </w:rPr>
        <w:t>森林旅游与森林康养</w:t>
      </w:r>
      <w:r>
        <w:rPr>
          <w:rStyle w:val="44"/>
          <w:rFonts w:hint="eastAsia" w:hAnsi="Times New Roman" w:eastAsia="仿宋_GB2312" w:cs="Times New Roman"/>
          <w:sz w:val="32"/>
          <w:szCs w:val="32"/>
        </w:rPr>
        <w:t>产业共有6个重点工程18个规划储备项目，计划总投资967900万元，</w:t>
      </w:r>
      <w:r>
        <w:rPr>
          <w:rFonts w:hint="eastAsia" w:eastAsia="仿宋_GB2312"/>
          <w:sz w:val="32"/>
          <w:szCs w:val="32"/>
        </w:rPr>
        <w:t>其中2021~</w:t>
      </w:r>
      <w:r>
        <w:rPr>
          <w:rFonts w:eastAsia="仿宋_GB2312"/>
          <w:sz w:val="32"/>
          <w:szCs w:val="32"/>
        </w:rPr>
        <w:t>2025年累计投入资金</w:t>
      </w:r>
      <w:r>
        <w:rPr>
          <w:rFonts w:hint="eastAsia" w:eastAsia="仿宋_GB2312"/>
          <w:sz w:val="32"/>
          <w:szCs w:val="32"/>
        </w:rPr>
        <w:t>351900</w:t>
      </w:r>
      <w:r>
        <w:rPr>
          <w:rFonts w:eastAsia="仿宋_GB2312"/>
          <w:sz w:val="32"/>
          <w:szCs w:val="32"/>
        </w:rPr>
        <w:t>万元，</w:t>
      </w:r>
      <w:r>
        <w:rPr>
          <w:rFonts w:hint="eastAsia" w:eastAsia="仿宋_GB2312"/>
          <w:sz w:val="32"/>
          <w:szCs w:val="32"/>
        </w:rPr>
        <w:t>2026~</w:t>
      </w:r>
      <w:r>
        <w:rPr>
          <w:rFonts w:eastAsia="仿宋_GB2312"/>
          <w:sz w:val="32"/>
          <w:szCs w:val="32"/>
        </w:rPr>
        <w:t>2035年累计投入资金</w:t>
      </w:r>
      <w:r>
        <w:rPr>
          <w:rFonts w:hint="eastAsia" w:eastAsia="仿宋_GB2312"/>
          <w:sz w:val="32"/>
          <w:szCs w:val="32"/>
        </w:rPr>
        <w:t>616000</w:t>
      </w:r>
      <w:r>
        <w:rPr>
          <w:rFonts w:eastAsia="仿宋_GB2312"/>
          <w:sz w:val="32"/>
          <w:szCs w:val="32"/>
        </w:rPr>
        <w:t>万元</w:t>
      </w:r>
      <w:r>
        <w:rPr>
          <w:rFonts w:hint="eastAsia" w:eastAsia="仿宋_GB2312"/>
          <w:sz w:val="32"/>
          <w:szCs w:val="32"/>
        </w:rPr>
        <w:t>，</w:t>
      </w:r>
      <w:r>
        <w:rPr>
          <w:rStyle w:val="44"/>
          <w:rFonts w:hint="eastAsia" w:hAnsi="Times New Roman" w:eastAsia="仿宋_GB2312" w:cs="Times New Roman"/>
          <w:sz w:val="32"/>
          <w:szCs w:val="32"/>
        </w:rPr>
        <w:t>详见表6-1。</w:t>
      </w:r>
    </w:p>
    <w:p w14:paraId="63AD45C2">
      <w:pPr>
        <w:jc w:val="left"/>
        <w:sectPr>
          <w:type w:val="continuous"/>
          <w:pgSz w:w="11906" w:h="16838"/>
          <w:pgMar w:top="1440" w:right="1800" w:bottom="1440" w:left="1800" w:header="851" w:footer="992" w:gutter="0"/>
          <w:cols w:space="720" w:num="1"/>
          <w:docGrid w:type="lines" w:linePitch="312" w:charSpace="0"/>
        </w:sectPr>
      </w:pPr>
    </w:p>
    <w:p w14:paraId="095A02DD">
      <w:pPr>
        <w:widowControl/>
        <w:spacing w:line="360" w:lineRule="auto"/>
        <w:jc w:val="center"/>
        <w:rPr>
          <w:rFonts w:hint="eastAsia"/>
        </w:rPr>
      </w:pPr>
      <w:r>
        <w:rPr>
          <w:b/>
          <w:kern w:val="0"/>
          <w:sz w:val="28"/>
          <w:szCs w:val="32"/>
        </w:rPr>
        <w:t xml:space="preserve">表 </w:t>
      </w:r>
      <w:r>
        <w:rPr>
          <w:rFonts w:hint="eastAsia"/>
          <w:b/>
          <w:kern w:val="0"/>
          <w:sz w:val="28"/>
          <w:szCs w:val="32"/>
        </w:rPr>
        <w:t>6</w:t>
      </w:r>
      <w:r>
        <w:rPr>
          <w:b/>
          <w:kern w:val="0"/>
          <w:sz w:val="28"/>
          <w:szCs w:val="32"/>
        </w:rPr>
        <w:t>-1  森林旅游与森林康养产业规划</w:t>
      </w:r>
      <w:r>
        <w:rPr>
          <w:rFonts w:hint="eastAsia"/>
          <w:b/>
          <w:kern w:val="0"/>
          <w:sz w:val="28"/>
          <w:szCs w:val="32"/>
        </w:rPr>
        <w:t>储备</w:t>
      </w:r>
      <w:r>
        <w:rPr>
          <w:b/>
          <w:kern w:val="0"/>
          <w:sz w:val="28"/>
          <w:szCs w:val="32"/>
        </w:rPr>
        <w:t>项目一览表</w:t>
      </w:r>
    </w:p>
    <w:tbl>
      <w:tblPr>
        <w:tblStyle w:val="18"/>
        <w:tblW w:w="0" w:type="auto"/>
        <w:tblInd w:w="93" w:type="dxa"/>
        <w:tblLayout w:type="fixed"/>
        <w:tblCellMar>
          <w:top w:w="0" w:type="dxa"/>
          <w:left w:w="108" w:type="dxa"/>
          <w:bottom w:w="0" w:type="dxa"/>
          <w:right w:w="108" w:type="dxa"/>
        </w:tblCellMar>
      </w:tblPr>
      <w:tblGrid>
        <w:gridCol w:w="703"/>
        <w:gridCol w:w="1546"/>
        <w:gridCol w:w="3578"/>
        <w:gridCol w:w="1555"/>
        <w:gridCol w:w="881"/>
        <w:gridCol w:w="1357"/>
        <w:gridCol w:w="1202"/>
        <w:gridCol w:w="3051"/>
      </w:tblGrid>
      <w:tr w14:paraId="7340F825">
        <w:tblPrEx>
          <w:tblCellMar>
            <w:top w:w="0" w:type="dxa"/>
            <w:left w:w="108" w:type="dxa"/>
            <w:bottom w:w="0" w:type="dxa"/>
            <w:right w:w="108" w:type="dxa"/>
          </w:tblCellMar>
        </w:tblPrEx>
        <w:trPr>
          <w:trHeight w:val="578" w:hRule="atLeast"/>
          <w:tblHeader/>
        </w:trPr>
        <w:tc>
          <w:tcPr>
            <w:tcW w:w="703" w:type="dxa"/>
            <w:tcBorders>
              <w:top w:val="single" w:color="auto" w:sz="4" w:space="0"/>
              <w:left w:val="single" w:color="auto" w:sz="4" w:space="0"/>
              <w:bottom w:val="single" w:color="auto" w:sz="4" w:space="0"/>
              <w:right w:val="single" w:color="auto" w:sz="4" w:space="0"/>
            </w:tcBorders>
            <w:vAlign w:val="center"/>
          </w:tcPr>
          <w:p w14:paraId="5D2C9487">
            <w:pPr>
              <w:widowControl/>
              <w:jc w:val="center"/>
              <w:rPr>
                <w:rFonts w:ascii="宋体" w:hAnsi="宋体" w:cs="宋体"/>
                <w:b/>
                <w:bCs/>
                <w:kern w:val="0"/>
                <w:sz w:val="24"/>
              </w:rPr>
            </w:pPr>
            <w:r>
              <w:rPr>
                <w:rFonts w:hint="eastAsia" w:ascii="宋体" w:hAnsi="宋体" w:cs="宋体"/>
                <w:b/>
                <w:bCs/>
                <w:kern w:val="0"/>
                <w:sz w:val="24"/>
              </w:rPr>
              <w:t>序号</w:t>
            </w:r>
          </w:p>
        </w:tc>
        <w:tc>
          <w:tcPr>
            <w:tcW w:w="1546" w:type="dxa"/>
            <w:tcBorders>
              <w:top w:val="single" w:color="auto" w:sz="4" w:space="0"/>
              <w:left w:val="nil"/>
              <w:bottom w:val="single" w:color="auto" w:sz="4" w:space="0"/>
              <w:right w:val="single" w:color="auto" w:sz="4" w:space="0"/>
            </w:tcBorders>
            <w:vAlign w:val="center"/>
          </w:tcPr>
          <w:p w14:paraId="124ADA62">
            <w:pPr>
              <w:widowControl/>
              <w:jc w:val="center"/>
              <w:rPr>
                <w:rFonts w:ascii="宋体" w:hAnsi="宋体" w:cs="宋体"/>
                <w:b/>
                <w:bCs/>
                <w:kern w:val="0"/>
                <w:sz w:val="24"/>
              </w:rPr>
            </w:pPr>
            <w:r>
              <w:rPr>
                <w:rFonts w:hint="eastAsia" w:ascii="宋体" w:hAnsi="宋体" w:cs="宋体"/>
                <w:b/>
                <w:bCs/>
                <w:kern w:val="0"/>
                <w:sz w:val="24"/>
              </w:rPr>
              <w:t>规划期</w:t>
            </w:r>
          </w:p>
        </w:tc>
        <w:tc>
          <w:tcPr>
            <w:tcW w:w="3578" w:type="dxa"/>
            <w:tcBorders>
              <w:top w:val="single" w:color="auto" w:sz="4" w:space="0"/>
              <w:left w:val="nil"/>
              <w:bottom w:val="single" w:color="auto" w:sz="4" w:space="0"/>
              <w:right w:val="single" w:color="auto" w:sz="4" w:space="0"/>
            </w:tcBorders>
            <w:vAlign w:val="center"/>
          </w:tcPr>
          <w:p w14:paraId="5CA8A52F">
            <w:pPr>
              <w:widowControl/>
              <w:jc w:val="center"/>
              <w:rPr>
                <w:rFonts w:ascii="宋体" w:hAnsi="宋体" w:cs="宋体"/>
                <w:b/>
                <w:bCs/>
                <w:kern w:val="0"/>
                <w:sz w:val="24"/>
              </w:rPr>
            </w:pPr>
            <w:r>
              <w:rPr>
                <w:rFonts w:hint="eastAsia" w:ascii="宋体" w:hAnsi="宋体" w:cs="宋体"/>
                <w:b/>
                <w:bCs/>
                <w:kern w:val="0"/>
                <w:sz w:val="24"/>
              </w:rPr>
              <w:t>项目名称</w:t>
            </w:r>
          </w:p>
        </w:tc>
        <w:tc>
          <w:tcPr>
            <w:tcW w:w="1555" w:type="dxa"/>
            <w:tcBorders>
              <w:top w:val="single" w:color="auto" w:sz="4" w:space="0"/>
              <w:left w:val="nil"/>
              <w:bottom w:val="single" w:color="auto" w:sz="4" w:space="0"/>
              <w:right w:val="single" w:color="auto" w:sz="4" w:space="0"/>
            </w:tcBorders>
            <w:vAlign w:val="center"/>
          </w:tcPr>
          <w:p w14:paraId="4CD5F622">
            <w:pPr>
              <w:widowControl/>
              <w:jc w:val="center"/>
              <w:rPr>
                <w:rFonts w:ascii="宋体" w:hAnsi="宋体" w:cs="宋体"/>
                <w:b/>
                <w:bCs/>
                <w:kern w:val="0"/>
                <w:sz w:val="24"/>
              </w:rPr>
            </w:pPr>
            <w:r>
              <w:rPr>
                <w:rFonts w:hint="eastAsia" w:ascii="宋体" w:hAnsi="宋体" w:cs="宋体"/>
                <w:b/>
                <w:bCs/>
                <w:kern w:val="0"/>
                <w:sz w:val="24"/>
              </w:rPr>
              <w:t>建设规模</w:t>
            </w:r>
          </w:p>
        </w:tc>
        <w:tc>
          <w:tcPr>
            <w:tcW w:w="881" w:type="dxa"/>
            <w:tcBorders>
              <w:top w:val="single" w:color="auto" w:sz="4" w:space="0"/>
              <w:left w:val="nil"/>
              <w:bottom w:val="single" w:color="auto" w:sz="4" w:space="0"/>
              <w:right w:val="single" w:color="auto" w:sz="4" w:space="0"/>
            </w:tcBorders>
            <w:vAlign w:val="center"/>
          </w:tcPr>
          <w:p w14:paraId="47504C12">
            <w:pPr>
              <w:widowControl/>
              <w:jc w:val="center"/>
              <w:rPr>
                <w:rFonts w:ascii="宋体" w:hAnsi="宋体" w:cs="宋体"/>
                <w:b/>
                <w:bCs/>
                <w:kern w:val="0"/>
                <w:sz w:val="24"/>
              </w:rPr>
            </w:pPr>
            <w:r>
              <w:rPr>
                <w:rFonts w:hint="eastAsia" w:ascii="宋体" w:hAnsi="宋体" w:cs="宋体"/>
                <w:b/>
                <w:bCs/>
                <w:kern w:val="0"/>
                <w:sz w:val="24"/>
              </w:rPr>
              <w:t>建设性质</w:t>
            </w:r>
          </w:p>
        </w:tc>
        <w:tc>
          <w:tcPr>
            <w:tcW w:w="1357" w:type="dxa"/>
            <w:tcBorders>
              <w:top w:val="single" w:color="auto" w:sz="4" w:space="0"/>
              <w:left w:val="nil"/>
              <w:bottom w:val="single" w:color="auto" w:sz="4" w:space="0"/>
              <w:right w:val="single" w:color="auto" w:sz="4" w:space="0"/>
            </w:tcBorders>
            <w:vAlign w:val="center"/>
          </w:tcPr>
          <w:p w14:paraId="6E832095">
            <w:pPr>
              <w:widowControl/>
              <w:jc w:val="center"/>
              <w:rPr>
                <w:rFonts w:ascii="宋体" w:hAnsi="宋体" w:cs="宋体"/>
                <w:b/>
                <w:bCs/>
                <w:kern w:val="0"/>
                <w:sz w:val="24"/>
              </w:rPr>
            </w:pPr>
            <w:r>
              <w:rPr>
                <w:rFonts w:hint="eastAsia" w:ascii="宋体" w:hAnsi="宋体" w:cs="宋体"/>
                <w:b/>
                <w:bCs/>
                <w:kern w:val="0"/>
                <w:sz w:val="24"/>
              </w:rPr>
              <w:t>投资估算（万元）</w:t>
            </w:r>
          </w:p>
        </w:tc>
        <w:tc>
          <w:tcPr>
            <w:tcW w:w="1202" w:type="dxa"/>
            <w:tcBorders>
              <w:top w:val="single" w:color="auto" w:sz="4" w:space="0"/>
              <w:left w:val="nil"/>
              <w:bottom w:val="single" w:color="auto" w:sz="4" w:space="0"/>
              <w:right w:val="single" w:color="auto" w:sz="4" w:space="0"/>
            </w:tcBorders>
            <w:vAlign w:val="center"/>
          </w:tcPr>
          <w:p w14:paraId="3785F05C">
            <w:pPr>
              <w:widowControl/>
              <w:jc w:val="center"/>
              <w:rPr>
                <w:rFonts w:ascii="宋体" w:hAnsi="宋体" w:cs="宋体"/>
                <w:b/>
                <w:bCs/>
                <w:kern w:val="0"/>
                <w:sz w:val="24"/>
              </w:rPr>
            </w:pPr>
            <w:r>
              <w:rPr>
                <w:rFonts w:hint="eastAsia" w:ascii="宋体" w:hAnsi="宋体" w:cs="宋体"/>
                <w:b/>
                <w:bCs/>
                <w:kern w:val="0"/>
                <w:sz w:val="24"/>
              </w:rPr>
              <w:t>资金来源</w:t>
            </w:r>
          </w:p>
        </w:tc>
        <w:tc>
          <w:tcPr>
            <w:tcW w:w="3051" w:type="dxa"/>
            <w:tcBorders>
              <w:top w:val="single" w:color="auto" w:sz="4" w:space="0"/>
              <w:left w:val="nil"/>
              <w:bottom w:val="single" w:color="auto" w:sz="4" w:space="0"/>
              <w:right w:val="single" w:color="auto" w:sz="4" w:space="0"/>
            </w:tcBorders>
            <w:vAlign w:val="center"/>
          </w:tcPr>
          <w:p w14:paraId="2862D98E">
            <w:pPr>
              <w:widowControl/>
              <w:jc w:val="center"/>
              <w:rPr>
                <w:rFonts w:ascii="宋体" w:hAnsi="宋体" w:cs="宋体"/>
                <w:b/>
                <w:bCs/>
                <w:kern w:val="0"/>
                <w:sz w:val="24"/>
              </w:rPr>
            </w:pPr>
            <w:r>
              <w:rPr>
                <w:rFonts w:hint="eastAsia" w:ascii="宋体" w:hAnsi="宋体" w:cs="宋体"/>
                <w:b/>
                <w:bCs/>
                <w:kern w:val="0"/>
                <w:sz w:val="24"/>
              </w:rPr>
              <w:t>建设地点</w:t>
            </w:r>
          </w:p>
        </w:tc>
      </w:tr>
      <w:tr w14:paraId="26ABD5A6">
        <w:tblPrEx>
          <w:tblCellMar>
            <w:top w:w="0" w:type="dxa"/>
            <w:left w:w="108" w:type="dxa"/>
            <w:bottom w:w="0" w:type="dxa"/>
            <w:right w:w="108" w:type="dxa"/>
          </w:tblCellMar>
        </w:tblPrEx>
        <w:trPr>
          <w:trHeight w:val="285" w:hRule="atLeast"/>
        </w:trPr>
        <w:tc>
          <w:tcPr>
            <w:tcW w:w="703" w:type="dxa"/>
            <w:tcBorders>
              <w:top w:val="nil"/>
              <w:left w:val="single" w:color="auto" w:sz="4" w:space="0"/>
              <w:bottom w:val="single" w:color="auto" w:sz="4" w:space="0"/>
              <w:right w:val="single" w:color="auto" w:sz="4" w:space="0"/>
            </w:tcBorders>
            <w:vAlign w:val="center"/>
          </w:tcPr>
          <w:p w14:paraId="1E7CA24C">
            <w:pPr>
              <w:widowControl/>
              <w:jc w:val="center"/>
              <w:rPr>
                <w:rFonts w:ascii="宋体" w:hAnsi="宋体" w:cs="宋体"/>
                <w:b/>
                <w:bCs/>
                <w:kern w:val="0"/>
                <w:sz w:val="24"/>
              </w:rPr>
            </w:pPr>
            <w:r>
              <w:rPr>
                <w:rFonts w:hint="eastAsia" w:ascii="宋体" w:hAnsi="宋体" w:cs="宋体"/>
                <w:b/>
                <w:bCs/>
                <w:kern w:val="0"/>
                <w:sz w:val="24"/>
              </w:rPr>
              <w:t>　</w:t>
            </w:r>
          </w:p>
        </w:tc>
        <w:tc>
          <w:tcPr>
            <w:tcW w:w="1546" w:type="dxa"/>
            <w:tcBorders>
              <w:top w:val="nil"/>
              <w:left w:val="nil"/>
              <w:bottom w:val="single" w:color="auto" w:sz="4" w:space="0"/>
              <w:right w:val="single" w:color="auto" w:sz="4" w:space="0"/>
            </w:tcBorders>
            <w:vAlign w:val="center"/>
          </w:tcPr>
          <w:p w14:paraId="2E6B0504">
            <w:pPr>
              <w:widowControl/>
              <w:jc w:val="center"/>
              <w:rPr>
                <w:rFonts w:ascii="宋体" w:hAnsi="宋体" w:cs="宋体"/>
                <w:b/>
                <w:bCs/>
                <w:kern w:val="0"/>
                <w:sz w:val="24"/>
              </w:rPr>
            </w:pPr>
            <w:r>
              <w:rPr>
                <w:rFonts w:hint="eastAsia" w:ascii="宋体" w:hAnsi="宋体" w:cs="宋体"/>
                <w:b/>
                <w:bCs/>
                <w:kern w:val="0"/>
                <w:sz w:val="24"/>
              </w:rPr>
              <w:t>　</w:t>
            </w:r>
          </w:p>
        </w:tc>
        <w:tc>
          <w:tcPr>
            <w:tcW w:w="3578" w:type="dxa"/>
            <w:tcBorders>
              <w:top w:val="nil"/>
              <w:left w:val="nil"/>
              <w:bottom w:val="single" w:color="auto" w:sz="4" w:space="0"/>
              <w:right w:val="single" w:color="auto" w:sz="4" w:space="0"/>
            </w:tcBorders>
            <w:vAlign w:val="center"/>
          </w:tcPr>
          <w:p w14:paraId="5AAC4843">
            <w:pPr>
              <w:widowControl/>
              <w:jc w:val="center"/>
              <w:rPr>
                <w:rFonts w:ascii="宋体" w:hAnsi="宋体" w:cs="宋体"/>
                <w:b/>
                <w:bCs/>
                <w:kern w:val="0"/>
                <w:sz w:val="24"/>
              </w:rPr>
            </w:pPr>
            <w:r>
              <w:rPr>
                <w:rFonts w:hint="eastAsia" w:ascii="宋体" w:hAnsi="宋体" w:cs="宋体"/>
                <w:b/>
                <w:bCs/>
                <w:kern w:val="0"/>
                <w:sz w:val="24"/>
              </w:rPr>
              <w:t>总投资</w:t>
            </w:r>
          </w:p>
        </w:tc>
        <w:tc>
          <w:tcPr>
            <w:tcW w:w="1555" w:type="dxa"/>
            <w:tcBorders>
              <w:top w:val="nil"/>
              <w:left w:val="nil"/>
              <w:bottom w:val="single" w:color="auto" w:sz="4" w:space="0"/>
              <w:right w:val="single" w:color="auto" w:sz="4" w:space="0"/>
            </w:tcBorders>
            <w:vAlign w:val="center"/>
          </w:tcPr>
          <w:p w14:paraId="1E5D1C11">
            <w:pPr>
              <w:widowControl/>
              <w:jc w:val="center"/>
              <w:rPr>
                <w:rFonts w:ascii="宋体" w:hAnsi="宋体" w:cs="宋体"/>
                <w:b/>
                <w:bCs/>
                <w:kern w:val="0"/>
                <w:sz w:val="24"/>
              </w:rPr>
            </w:pPr>
            <w:r>
              <w:rPr>
                <w:rFonts w:hint="eastAsia" w:ascii="宋体" w:hAnsi="宋体" w:cs="宋体"/>
                <w:b/>
                <w:bCs/>
                <w:kern w:val="0"/>
                <w:sz w:val="24"/>
              </w:rPr>
              <w:t>　</w:t>
            </w:r>
          </w:p>
        </w:tc>
        <w:tc>
          <w:tcPr>
            <w:tcW w:w="881" w:type="dxa"/>
            <w:tcBorders>
              <w:top w:val="nil"/>
              <w:left w:val="nil"/>
              <w:bottom w:val="single" w:color="auto" w:sz="4" w:space="0"/>
              <w:right w:val="single" w:color="auto" w:sz="4" w:space="0"/>
            </w:tcBorders>
            <w:vAlign w:val="center"/>
          </w:tcPr>
          <w:p w14:paraId="750A76F6">
            <w:pPr>
              <w:widowControl/>
              <w:jc w:val="center"/>
              <w:rPr>
                <w:rFonts w:ascii="宋体" w:hAnsi="宋体" w:cs="宋体"/>
                <w:b/>
                <w:bCs/>
                <w:kern w:val="0"/>
                <w:sz w:val="24"/>
              </w:rPr>
            </w:pPr>
            <w:r>
              <w:rPr>
                <w:rFonts w:hint="eastAsia" w:ascii="宋体" w:hAnsi="宋体" w:cs="宋体"/>
                <w:b/>
                <w:bCs/>
                <w:kern w:val="0"/>
                <w:sz w:val="24"/>
              </w:rPr>
              <w:t>　</w:t>
            </w:r>
          </w:p>
        </w:tc>
        <w:tc>
          <w:tcPr>
            <w:tcW w:w="1357" w:type="dxa"/>
            <w:tcBorders>
              <w:top w:val="nil"/>
              <w:left w:val="nil"/>
              <w:bottom w:val="single" w:color="auto" w:sz="4" w:space="0"/>
              <w:right w:val="single" w:color="auto" w:sz="4" w:space="0"/>
            </w:tcBorders>
            <w:vAlign w:val="center"/>
          </w:tcPr>
          <w:p w14:paraId="2D82C3D0">
            <w:pPr>
              <w:widowControl/>
              <w:jc w:val="center"/>
              <w:rPr>
                <w:b/>
                <w:bCs/>
                <w:kern w:val="0"/>
                <w:sz w:val="24"/>
              </w:rPr>
            </w:pPr>
            <w:r>
              <w:rPr>
                <w:rFonts w:hint="eastAsia"/>
                <w:b/>
                <w:bCs/>
                <w:kern w:val="0"/>
                <w:sz w:val="24"/>
              </w:rPr>
              <w:t>967900</w:t>
            </w:r>
          </w:p>
        </w:tc>
        <w:tc>
          <w:tcPr>
            <w:tcW w:w="1202" w:type="dxa"/>
            <w:tcBorders>
              <w:top w:val="nil"/>
              <w:left w:val="nil"/>
              <w:bottom w:val="single" w:color="auto" w:sz="4" w:space="0"/>
              <w:right w:val="single" w:color="auto" w:sz="4" w:space="0"/>
            </w:tcBorders>
            <w:vAlign w:val="center"/>
          </w:tcPr>
          <w:p w14:paraId="0C9ED390">
            <w:pPr>
              <w:widowControl/>
              <w:jc w:val="center"/>
              <w:rPr>
                <w:rFonts w:ascii="宋体" w:hAnsi="宋体" w:cs="宋体"/>
                <w:b/>
                <w:bCs/>
                <w:kern w:val="0"/>
                <w:sz w:val="24"/>
              </w:rPr>
            </w:pPr>
            <w:r>
              <w:rPr>
                <w:rFonts w:hint="eastAsia" w:ascii="宋体" w:hAnsi="宋体" w:cs="宋体"/>
                <w:b/>
                <w:bCs/>
                <w:kern w:val="0"/>
                <w:sz w:val="24"/>
              </w:rPr>
              <w:t>　</w:t>
            </w:r>
          </w:p>
        </w:tc>
        <w:tc>
          <w:tcPr>
            <w:tcW w:w="3051" w:type="dxa"/>
            <w:tcBorders>
              <w:top w:val="nil"/>
              <w:left w:val="nil"/>
              <w:bottom w:val="single" w:color="auto" w:sz="4" w:space="0"/>
              <w:right w:val="single" w:color="auto" w:sz="4" w:space="0"/>
            </w:tcBorders>
            <w:vAlign w:val="center"/>
          </w:tcPr>
          <w:p w14:paraId="4426FC5A">
            <w:pPr>
              <w:widowControl/>
              <w:jc w:val="center"/>
              <w:rPr>
                <w:rFonts w:ascii="宋体" w:hAnsi="宋体" w:cs="宋体"/>
                <w:b/>
                <w:bCs/>
                <w:kern w:val="0"/>
                <w:sz w:val="24"/>
              </w:rPr>
            </w:pPr>
            <w:r>
              <w:rPr>
                <w:rFonts w:hint="eastAsia" w:ascii="宋体" w:hAnsi="宋体" w:cs="宋体"/>
                <w:b/>
                <w:bCs/>
                <w:kern w:val="0"/>
                <w:sz w:val="24"/>
              </w:rPr>
              <w:t>　</w:t>
            </w:r>
          </w:p>
        </w:tc>
      </w:tr>
      <w:tr w14:paraId="2DF56019">
        <w:tblPrEx>
          <w:tblCellMar>
            <w:top w:w="0" w:type="dxa"/>
            <w:left w:w="108" w:type="dxa"/>
            <w:bottom w:w="0" w:type="dxa"/>
            <w:right w:w="108" w:type="dxa"/>
          </w:tblCellMar>
        </w:tblPrEx>
        <w:trPr>
          <w:trHeight w:val="300" w:hRule="atLeast"/>
        </w:trPr>
        <w:tc>
          <w:tcPr>
            <w:tcW w:w="703" w:type="dxa"/>
            <w:vMerge w:val="restart"/>
            <w:tcBorders>
              <w:top w:val="nil"/>
              <w:left w:val="single" w:color="auto" w:sz="4" w:space="0"/>
              <w:bottom w:val="single" w:color="auto" w:sz="4" w:space="0"/>
              <w:right w:val="single" w:color="auto" w:sz="4" w:space="0"/>
            </w:tcBorders>
            <w:vAlign w:val="center"/>
          </w:tcPr>
          <w:p w14:paraId="293009B0">
            <w:pPr>
              <w:widowControl/>
              <w:jc w:val="center"/>
              <w:rPr>
                <w:kern w:val="0"/>
                <w:sz w:val="24"/>
              </w:rPr>
            </w:pPr>
            <w:r>
              <w:rPr>
                <w:kern w:val="0"/>
                <w:sz w:val="24"/>
              </w:rPr>
              <w:t>1</w:t>
            </w:r>
          </w:p>
        </w:tc>
        <w:tc>
          <w:tcPr>
            <w:tcW w:w="1546" w:type="dxa"/>
            <w:vMerge w:val="restart"/>
            <w:tcBorders>
              <w:top w:val="nil"/>
              <w:left w:val="single" w:color="auto" w:sz="4" w:space="0"/>
              <w:bottom w:val="single" w:color="auto" w:sz="4" w:space="0"/>
              <w:right w:val="single" w:color="auto" w:sz="4" w:space="0"/>
            </w:tcBorders>
            <w:vAlign w:val="center"/>
          </w:tcPr>
          <w:p w14:paraId="32F06A3F">
            <w:pPr>
              <w:widowControl/>
              <w:jc w:val="center"/>
              <w:rPr>
                <w:rFonts w:ascii="宋体" w:hAnsi="宋体" w:cs="宋体"/>
                <w:kern w:val="0"/>
                <w:sz w:val="24"/>
              </w:rPr>
            </w:pPr>
            <w:r>
              <w:rPr>
                <w:rFonts w:hint="eastAsia" w:ascii="宋体" w:hAnsi="宋体" w:cs="宋体"/>
                <w:kern w:val="0"/>
                <w:sz w:val="24"/>
              </w:rPr>
              <w:t>近期（</w:t>
            </w:r>
            <w:r>
              <w:rPr>
                <w:kern w:val="0"/>
                <w:sz w:val="24"/>
              </w:rPr>
              <w:t>2021~2025</w:t>
            </w:r>
            <w:r>
              <w:rPr>
                <w:rFonts w:hint="eastAsia" w:ascii="宋体" w:hAnsi="宋体" w:cs="宋体"/>
                <w:kern w:val="0"/>
                <w:sz w:val="24"/>
              </w:rPr>
              <w:t>年）</w:t>
            </w:r>
          </w:p>
        </w:tc>
        <w:tc>
          <w:tcPr>
            <w:tcW w:w="3578" w:type="dxa"/>
            <w:tcBorders>
              <w:top w:val="nil"/>
              <w:left w:val="nil"/>
              <w:bottom w:val="single" w:color="auto" w:sz="4" w:space="0"/>
              <w:right w:val="single" w:color="auto" w:sz="4" w:space="0"/>
            </w:tcBorders>
            <w:vAlign w:val="center"/>
          </w:tcPr>
          <w:p w14:paraId="4C28CD66">
            <w:pPr>
              <w:widowControl/>
              <w:jc w:val="center"/>
              <w:rPr>
                <w:rFonts w:ascii="宋体" w:hAnsi="宋体" w:cs="宋体"/>
                <w:kern w:val="0"/>
                <w:sz w:val="24"/>
              </w:rPr>
            </w:pPr>
            <w:r>
              <w:rPr>
                <w:rFonts w:hint="eastAsia" w:ascii="宋体" w:hAnsi="宋体" w:cs="宋体"/>
                <w:kern w:val="0"/>
                <w:sz w:val="24"/>
              </w:rPr>
              <w:t>改造提升现有森林公园</w:t>
            </w:r>
          </w:p>
        </w:tc>
        <w:tc>
          <w:tcPr>
            <w:tcW w:w="1555" w:type="dxa"/>
            <w:tcBorders>
              <w:top w:val="nil"/>
              <w:left w:val="nil"/>
              <w:bottom w:val="single" w:color="auto" w:sz="4" w:space="0"/>
              <w:right w:val="single" w:color="auto" w:sz="4" w:space="0"/>
            </w:tcBorders>
            <w:vAlign w:val="center"/>
          </w:tcPr>
          <w:p w14:paraId="545CAC14">
            <w:pPr>
              <w:widowControl/>
              <w:jc w:val="center"/>
              <w:rPr>
                <w:kern w:val="0"/>
                <w:sz w:val="24"/>
              </w:rPr>
            </w:pPr>
            <w:r>
              <w:rPr>
                <w:kern w:val="0"/>
                <w:sz w:val="24"/>
              </w:rPr>
              <w:t>11104.7hm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024255EF">
            <w:pPr>
              <w:widowControl/>
              <w:jc w:val="center"/>
              <w:rPr>
                <w:rFonts w:ascii="宋体" w:hAnsi="宋体" w:cs="宋体"/>
                <w:kern w:val="0"/>
                <w:sz w:val="24"/>
              </w:rPr>
            </w:pPr>
            <w:r>
              <w:rPr>
                <w:rFonts w:hint="eastAsia" w:ascii="宋体" w:hAnsi="宋体" w:cs="宋体"/>
                <w:kern w:val="0"/>
                <w:sz w:val="24"/>
              </w:rPr>
              <w:t>提质</w:t>
            </w:r>
          </w:p>
        </w:tc>
        <w:tc>
          <w:tcPr>
            <w:tcW w:w="1357" w:type="dxa"/>
            <w:tcBorders>
              <w:top w:val="nil"/>
              <w:left w:val="nil"/>
              <w:bottom w:val="single" w:color="auto" w:sz="4" w:space="0"/>
              <w:right w:val="single" w:color="auto" w:sz="4" w:space="0"/>
            </w:tcBorders>
            <w:vAlign w:val="center"/>
          </w:tcPr>
          <w:p w14:paraId="45E75D0F">
            <w:pPr>
              <w:widowControl/>
              <w:jc w:val="center"/>
              <w:rPr>
                <w:kern w:val="0"/>
                <w:sz w:val="24"/>
              </w:rPr>
            </w:pPr>
            <w:r>
              <w:rPr>
                <w:rFonts w:hint="eastAsia"/>
                <w:kern w:val="0"/>
                <w:sz w:val="24"/>
              </w:rPr>
              <w:t>3</w:t>
            </w:r>
            <w:r>
              <w:rPr>
                <w:kern w:val="0"/>
                <w:sz w:val="24"/>
              </w:rPr>
              <w:t>0000</w:t>
            </w:r>
          </w:p>
        </w:tc>
        <w:tc>
          <w:tcPr>
            <w:tcW w:w="1202" w:type="dxa"/>
            <w:tcBorders>
              <w:top w:val="nil"/>
              <w:left w:val="nil"/>
              <w:bottom w:val="single" w:color="auto" w:sz="4" w:space="0"/>
              <w:right w:val="single" w:color="auto" w:sz="4" w:space="0"/>
            </w:tcBorders>
            <w:vAlign w:val="center"/>
          </w:tcPr>
          <w:p w14:paraId="57E9DADF">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417E865C">
            <w:pPr>
              <w:widowControl/>
              <w:jc w:val="center"/>
              <w:rPr>
                <w:rFonts w:ascii="宋体" w:hAnsi="宋体" w:cs="宋体"/>
                <w:kern w:val="0"/>
                <w:sz w:val="24"/>
              </w:rPr>
            </w:pPr>
            <w:r>
              <w:rPr>
                <w:rFonts w:hint="eastAsia" w:ascii="宋体" w:hAnsi="宋体" w:cs="宋体"/>
                <w:kern w:val="0"/>
                <w:sz w:val="24"/>
              </w:rPr>
              <w:t>临春岭森林公园等</w:t>
            </w:r>
          </w:p>
        </w:tc>
      </w:tr>
      <w:tr w14:paraId="5E47F085">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39746F68">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42E2B7D5">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0EB3320F">
            <w:pPr>
              <w:widowControl/>
              <w:jc w:val="center"/>
              <w:rPr>
                <w:rFonts w:ascii="宋体" w:hAnsi="宋体" w:cs="宋体"/>
                <w:kern w:val="0"/>
                <w:sz w:val="24"/>
              </w:rPr>
            </w:pPr>
            <w:r>
              <w:rPr>
                <w:rFonts w:hint="eastAsia" w:ascii="宋体" w:hAnsi="宋体" w:cs="宋体"/>
                <w:kern w:val="0"/>
                <w:sz w:val="24"/>
              </w:rPr>
              <w:t>三亚河国家湿地公园</w:t>
            </w:r>
          </w:p>
        </w:tc>
        <w:tc>
          <w:tcPr>
            <w:tcW w:w="1555" w:type="dxa"/>
            <w:tcBorders>
              <w:top w:val="nil"/>
              <w:left w:val="nil"/>
              <w:bottom w:val="single" w:color="auto" w:sz="4" w:space="0"/>
              <w:right w:val="single" w:color="auto" w:sz="4" w:space="0"/>
            </w:tcBorders>
            <w:vAlign w:val="center"/>
          </w:tcPr>
          <w:p w14:paraId="0B942E76">
            <w:pPr>
              <w:widowControl/>
              <w:jc w:val="center"/>
              <w:rPr>
                <w:kern w:val="0"/>
                <w:sz w:val="24"/>
              </w:rPr>
            </w:pPr>
            <w:r>
              <w:rPr>
                <w:kern w:val="0"/>
                <w:sz w:val="24"/>
              </w:rPr>
              <w:t>1843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4EC72382">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48AA065F">
            <w:pPr>
              <w:widowControl/>
              <w:jc w:val="center"/>
              <w:rPr>
                <w:kern w:val="0"/>
                <w:sz w:val="24"/>
              </w:rPr>
            </w:pPr>
            <w:r>
              <w:rPr>
                <w:kern w:val="0"/>
                <w:sz w:val="24"/>
              </w:rPr>
              <w:t>49900</w:t>
            </w:r>
          </w:p>
        </w:tc>
        <w:tc>
          <w:tcPr>
            <w:tcW w:w="1202" w:type="dxa"/>
            <w:tcBorders>
              <w:top w:val="nil"/>
              <w:left w:val="nil"/>
              <w:bottom w:val="single" w:color="auto" w:sz="4" w:space="0"/>
              <w:right w:val="single" w:color="auto" w:sz="4" w:space="0"/>
            </w:tcBorders>
            <w:vAlign w:val="center"/>
          </w:tcPr>
          <w:p w14:paraId="3DC343AD">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07082389">
            <w:pPr>
              <w:widowControl/>
              <w:jc w:val="center"/>
              <w:rPr>
                <w:rFonts w:ascii="宋体" w:hAnsi="宋体" w:cs="宋体"/>
                <w:kern w:val="0"/>
                <w:sz w:val="24"/>
              </w:rPr>
            </w:pPr>
            <w:r>
              <w:rPr>
                <w:rFonts w:hint="eastAsia" w:ascii="宋体" w:hAnsi="宋体" w:cs="宋体"/>
                <w:kern w:val="0"/>
                <w:sz w:val="24"/>
              </w:rPr>
              <w:t>三亚河国家湿地公园</w:t>
            </w:r>
          </w:p>
        </w:tc>
      </w:tr>
      <w:tr w14:paraId="554AA681">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08E30F89">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9D7BFDB">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34E7FA2B">
            <w:pPr>
              <w:widowControl/>
              <w:jc w:val="center"/>
              <w:rPr>
                <w:rFonts w:ascii="宋体" w:hAnsi="宋体" w:cs="宋体"/>
                <w:kern w:val="0"/>
                <w:sz w:val="24"/>
              </w:rPr>
            </w:pPr>
            <w:r>
              <w:rPr>
                <w:rFonts w:hint="eastAsia" w:ascii="宋体" w:hAnsi="宋体" w:cs="宋体"/>
                <w:kern w:val="0"/>
                <w:sz w:val="24"/>
              </w:rPr>
              <w:t>红树林公园</w:t>
            </w:r>
          </w:p>
        </w:tc>
        <w:tc>
          <w:tcPr>
            <w:tcW w:w="1555" w:type="dxa"/>
            <w:tcBorders>
              <w:top w:val="nil"/>
              <w:left w:val="nil"/>
              <w:bottom w:val="single" w:color="auto" w:sz="4" w:space="0"/>
              <w:right w:val="single" w:color="auto" w:sz="4" w:space="0"/>
            </w:tcBorders>
            <w:vAlign w:val="center"/>
          </w:tcPr>
          <w:p w14:paraId="427513A5">
            <w:pPr>
              <w:widowControl/>
              <w:jc w:val="center"/>
              <w:rPr>
                <w:kern w:val="0"/>
                <w:sz w:val="24"/>
              </w:rPr>
            </w:pPr>
            <w:r>
              <w:rPr>
                <w:kern w:val="0"/>
                <w:sz w:val="24"/>
              </w:rPr>
              <w:t>293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207F7A7C">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558A9CD8">
            <w:pPr>
              <w:widowControl/>
              <w:jc w:val="center"/>
              <w:rPr>
                <w:kern w:val="0"/>
                <w:sz w:val="24"/>
              </w:rPr>
            </w:pPr>
            <w:r>
              <w:rPr>
                <w:kern w:val="0"/>
                <w:sz w:val="24"/>
              </w:rPr>
              <w:t>52000</w:t>
            </w:r>
          </w:p>
        </w:tc>
        <w:tc>
          <w:tcPr>
            <w:tcW w:w="1202" w:type="dxa"/>
            <w:tcBorders>
              <w:top w:val="nil"/>
              <w:left w:val="nil"/>
              <w:bottom w:val="single" w:color="auto" w:sz="4" w:space="0"/>
              <w:right w:val="single" w:color="auto" w:sz="4" w:space="0"/>
            </w:tcBorders>
            <w:vAlign w:val="center"/>
          </w:tcPr>
          <w:p w14:paraId="41AFF458">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163DA0B3">
            <w:pPr>
              <w:widowControl/>
              <w:jc w:val="center"/>
              <w:rPr>
                <w:rFonts w:ascii="宋体" w:hAnsi="宋体" w:cs="宋体"/>
                <w:kern w:val="0"/>
                <w:sz w:val="24"/>
              </w:rPr>
            </w:pPr>
            <w:r>
              <w:rPr>
                <w:rFonts w:hint="eastAsia" w:ascii="宋体" w:hAnsi="宋体" w:cs="宋体"/>
                <w:kern w:val="0"/>
                <w:sz w:val="24"/>
              </w:rPr>
              <w:t>铁炉港红树林自然保护区</w:t>
            </w:r>
          </w:p>
        </w:tc>
      </w:tr>
      <w:tr w14:paraId="6E5799CF">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2BE27489">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299D8529">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1B0A441F">
            <w:pPr>
              <w:widowControl/>
              <w:jc w:val="center"/>
              <w:rPr>
                <w:rFonts w:ascii="宋体" w:hAnsi="宋体" w:cs="宋体"/>
                <w:kern w:val="0"/>
                <w:sz w:val="24"/>
              </w:rPr>
            </w:pPr>
            <w:r>
              <w:rPr>
                <w:rFonts w:hint="eastAsia" w:ascii="宋体" w:hAnsi="宋体" w:cs="宋体"/>
                <w:kern w:val="0"/>
                <w:sz w:val="24"/>
              </w:rPr>
              <w:t>三亚市野生动物园</w:t>
            </w:r>
          </w:p>
        </w:tc>
        <w:tc>
          <w:tcPr>
            <w:tcW w:w="1555" w:type="dxa"/>
            <w:tcBorders>
              <w:top w:val="nil"/>
              <w:left w:val="nil"/>
              <w:bottom w:val="single" w:color="auto" w:sz="4" w:space="0"/>
              <w:right w:val="single" w:color="auto" w:sz="4" w:space="0"/>
            </w:tcBorders>
            <w:vAlign w:val="center"/>
          </w:tcPr>
          <w:p w14:paraId="73E42503">
            <w:pPr>
              <w:widowControl/>
              <w:jc w:val="center"/>
              <w:rPr>
                <w:kern w:val="0"/>
                <w:sz w:val="24"/>
              </w:rPr>
            </w:pPr>
            <w:r>
              <w:rPr>
                <w:kern w:val="0"/>
                <w:sz w:val="24"/>
              </w:rPr>
              <w:t>333.4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126CD66F">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746B1AFD">
            <w:pPr>
              <w:widowControl/>
              <w:jc w:val="center"/>
              <w:rPr>
                <w:kern w:val="0"/>
                <w:sz w:val="24"/>
              </w:rPr>
            </w:pPr>
            <w:r>
              <w:rPr>
                <w:kern w:val="0"/>
                <w:sz w:val="24"/>
              </w:rPr>
              <w:t>50000</w:t>
            </w:r>
          </w:p>
        </w:tc>
        <w:tc>
          <w:tcPr>
            <w:tcW w:w="1202" w:type="dxa"/>
            <w:tcBorders>
              <w:top w:val="nil"/>
              <w:left w:val="nil"/>
              <w:bottom w:val="single" w:color="auto" w:sz="4" w:space="0"/>
              <w:right w:val="single" w:color="auto" w:sz="4" w:space="0"/>
            </w:tcBorders>
            <w:vAlign w:val="center"/>
          </w:tcPr>
          <w:p w14:paraId="4BF764BB">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6CE0277B">
            <w:pPr>
              <w:widowControl/>
              <w:jc w:val="center"/>
              <w:rPr>
                <w:rFonts w:ascii="宋体" w:hAnsi="宋体" w:cs="宋体"/>
                <w:kern w:val="0"/>
                <w:sz w:val="24"/>
              </w:rPr>
            </w:pPr>
            <w:r>
              <w:rPr>
                <w:rFonts w:hint="eastAsia" w:ascii="宋体" w:hAnsi="宋体" w:cs="宋体"/>
                <w:kern w:val="0"/>
                <w:sz w:val="24"/>
              </w:rPr>
              <w:t>育才生态区</w:t>
            </w:r>
          </w:p>
        </w:tc>
      </w:tr>
      <w:tr w14:paraId="0CFE7260">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31B48B6B">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76554D07">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4178F87C">
            <w:pPr>
              <w:widowControl/>
              <w:jc w:val="center"/>
              <w:rPr>
                <w:rFonts w:ascii="宋体" w:hAnsi="宋体" w:cs="宋体"/>
                <w:kern w:val="0"/>
                <w:sz w:val="24"/>
              </w:rPr>
            </w:pPr>
            <w:r>
              <w:rPr>
                <w:rFonts w:hint="eastAsia" w:ascii="宋体" w:hAnsi="宋体" w:cs="宋体"/>
                <w:kern w:val="0"/>
                <w:sz w:val="24"/>
              </w:rPr>
              <w:t>三亚市热带植物园</w:t>
            </w:r>
          </w:p>
        </w:tc>
        <w:tc>
          <w:tcPr>
            <w:tcW w:w="1555" w:type="dxa"/>
            <w:tcBorders>
              <w:top w:val="nil"/>
              <w:left w:val="nil"/>
              <w:bottom w:val="single" w:color="auto" w:sz="4" w:space="0"/>
              <w:right w:val="single" w:color="auto" w:sz="4" w:space="0"/>
            </w:tcBorders>
            <w:vAlign w:val="center"/>
          </w:tcPr>
          <w:p w14:paraId="58E17919">
            <w:pPr>
              <w:widowControl/>
              <w:jc w:val="center"/>
              <w:rPr>
                <w:kern w:val="0"/>
                <w:sz w:val="24"/>
              </w:rPr>
            </w:pPr>
            <w:r>
              <w:rPr>
                <w:kern w:val="0"/>
                <w:sz w:val="24"/>
              </w:rPr>
              <w:t>433.4hm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5CEF9BEE">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6F3DF038">
            <w:pPr>
              <w:widowControl/>
              <w:jc w:val="center"/>
              <w:rPr>
                <w:kern w:val="0"/>
                <w:sz w:val="24"/>
              </w:rPr>
            </w:pPr>
            <w:r>
              <w:rPr>
                <w:kern w:val="0"/>
                <w:sz w:val="24"/>
              </w:rPr>
              <w:t>50000</w:t>
            </w:r>
          </w:p>
        </w:tc>
        <w:tc>
          <w:tcPr>
            <w:tcW w:w="1202" w:type="dxa"/>
            <w:tcBorders>
              <w:top w:val="nil"/>
              <w:left w:val="nil"/>
              <w:bottom w:val="single" w:color="auto" w:sz="4" w:space="0"/>
              <w:right w:val="single" w:color="auto" w:sz="4" w:space="0"/>
            </w:tcBorders>
            <w:vAlign w:val="center"/>
          </w:tcPr>
          <w:p w14:paraId="363590BA">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3FFDF721">
            <w:pPr>
              <w:widowControl/>
              <w:jc w:val="center"/>
              <w:rPr>
                <w:rFonts w:ascii="宋体" w:hAnsi="宋体" w:cs="宋体"/>
                <w:kern w:val="0"/>
                <w:sz w:val="24"/>
              </w:rPr>
            </w:pPr>
            <w:r>
              <w:rPr>
                <w:rFonts w:hint="eastAsia" w:ascii="宋体" w:hAnsi="宋体" w:cs="宋体"/>
                <w:kern w:val="0"/>
                <w:sz w:val="24"/>
              </w:rPr>
              <w:t>天涯海角附近</w:t>
            </w:r>
          </w:p>
        </w:tc>
      </w:tr>
      <w:tr w14:paraId="146F8B04">
        <w:tblPrEx>
          <w:tblCellMar>
            <w:top w:w="0" w:type="dxa"/>
            <w:left w:w="108" w:type="dxa"/>
            <w:bottom w:w="0" w:type="dxa"/>
            <w:right w:w="108" w:type="dxa"/>
          </w:tblCellMar>
        </w:tblPrEx>
        <w:trPr>
          <w:trHeight w:val="486" w:hRule="atLeast"/>
        </w:trPr>
        <w:tc>
          <w:tcPr>
            <w:tcW w:w="703" w:type="dxa"/>
            <w:vMerge w:val="continue"/>
            <w:tcBorders>
              <w:top w:val="nil"/>
              <w:left w:val="single" w:color="auto" w:sz="4" w:space="0"/>
              <w:bottom w:val="single" w:color="auto" w:sz="4" w:space="0"/>
              <w:right w:val="single" w:color="auto" w:sz="4" w:space="0"/>
            </w:tcBorders>
            <w:vAlign w:val="center"/>
          </w:tcPr>
          <w:p w14:paraId="187687FF">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64C012E">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7CD5F662">
            <w:pPr>
              <w:widowControl/>
              <w:jc w:val="center"/>
              <w:rPr>
                <w:rFonts w:ascii="宋体" w:hAnsi="宋体" w:cs="宋体"/>
                <w:kern w:val="0"/>
                <w:sz w:val="24"/>
              </w:rPr>
            </w:pPr>
            <w:r>
              <w:rPr>
                <w:rFonts w:hint="eastAsia" w:ascii="宋体" w:hAnsi="宋体" w:cs="宋体"/>
                <w:kern w:val="0"/>
                <w:sz w:val="24"/>
              </w:rPr>
              <w:t>海南南岛国家森林康养基地</w:t>
            </w:r>
          </w:p>
        </w:tc>
        <w:tc>
          <w:tcPr>
            <w:tcW w:w="1555" w:type="dxa"/>
            <w:tcBorders>
              <w:top w:val="nil"/>
              <w:left w:val="nil"/>
              <w:bottom w:val="single" w:color="auto" w:sz="4" w:space="0"/>
              <w:right w:val="single" w:color="auto" w:sz="4" w:space="0"/>
            </w:tcBorders>
            <w:vAlign w:val="center"/>
          </w:tcPr>
          <w:p w14:paraId="375A020A">
            <w:pPr>
              <w:widowControl/>
              <w:jc w:val="center"/>
              <w:rPr>
                <w:kern w:val="0"/>
                <w:sz w:val="24"/>
              </w:rPr>
            </w:pPr>
            <w:r>
              <w:rPr>
                <w:kern w:val="0"/>
                <w:sz w:val="24"/>
              </w:rPr>
              <w:t>1385. 3</w:t>
            </w:r>
            <w:r>
              <w:rPr>
                <w:rFonts w:hint="eastAsia"/>
                <w:kern w:val="0"/>
                <w:sz w:val="24"/>
              </w:rPr>
              <w:t>5</w:t>
            </w:r>
            <w:r>
              <w:rPr>
                <w:kern w:val="0"/>
                <w:sz w:val="24"/>
              </w:rPr>
              <w:t xml:space="preserve">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130D1DF7">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79434885">
            <w:pPr>
              <w:widowControl/>
              <w:jc w:val="center"/>
              <w:rPr>
                <w:kern w:val="0"/>
                <w:sz w:val="24"/>
              </w:rPr>
            </w:pPr>
            <w:r>
              <w:rPr>
                <w:rFonts w:hint="eastAsia"/>
                <w:kern w:val="0"/>
                <w:sz w:val="24"/>
              </w:rPr>
              <w:t>80000</w:t>
            </w:r>
          </w:p>
        </w:tc>
        <w:tc>
          <w:tcPr>
            <w:tcW w:w="1202" w:type="dxa"/>
            <w:tcBorders>
              <w:top w:val="nil"/>
              <w:left w:val="nil"/>
              <w:bottom w:val="single" w:color="auto" w:sz="4" w:space="0"/>
              <w:right w:val="single" w:color="auto" w:sz="4" w:space="0"/>
            </w:tcBorders>
            <w:vAlign w:val="center"/>
          </w:tcPr>
          <w:p w14:paraId="25421493">
            <w:pPr>
              <w:widowControl/>
              <w:jc w:val="center"/>
              <w:rPr>
                <w:rFonts w:ascii="宋体" w:hAnsi="宋体" w:cs="宋体"/>
                <w:kern w:val="0"/>
                <w:sz w:val="24"/>
              </w:rPr>
            </w:pPr>
            <w:r>
              <w:rPr>
                <w:rFonts w:hint="eastAsia" w:ascii="宋体" w:hAnsi="宋体" w:cs="宋体"/>
                <w:kern w:val="0"/>
                <w:sz w:val="24"/>
              </w:rPr>
              <w:t>社会投资</w:t>
            </w:r>
          </w:p>
        </w:tc>
        <w:tc>
          <w:tcPr>
            <w:tcW w:w="3051" w:type="dxa"/>
            <w:tcBorders>
              <w:top w:val="nil"/>
              <w:left w:val="nil"/>
              <w:bottom w:val="single" w:color="auto" w:sz="4" w:space="0"/>
              <w:right w:val="single" w:color="auto" w:sz="4" w:space="0"/>
            </w:tcBorders>
            <w:vAlign w:val="center"/>
          </w:tcPr>
          <w:p w14:paraId="731C016C">
            <w:pPr>
              <w:widowControl/>
              <w:jc w:val="center"/>
              <w:rPr>
                <w:rFonts w:ascii="宋体" w:hAnsi="宋体" w:cs="宋体"/>
                <w:kern w:val="0"/>
                <w:sz w:val="24"/>
              </w:rPr>
            </w:pPr>
            <w:r>
              <w:rPr>
                <w:rFonts w:hint="eastAsia" w:ascii="宋体" w:hAnsi="宋体" w:cs="宋体"/>
                <w:kern w:val="0"/>
                <w:sz w:val="24"/>
              </w:rPr>
              <w:t>天涯区台楼村林鼻岭</w:t>
            </w:r>
          </w:p>
        </w:tc>
      </w:tr>
      <w:tr w14:paraId="0AC48A89">
        <w:tblPrEx>
          <w:tblCellMar>
            <w:top w:w="0" w:type="dxa"/>
            <w:left w:w="108" w:type="dxa"/>
            <w:bottom w:w="0" w:type="dxa"/>
            <w:right w:w="108" w:type="dxa"/>
          </w:tblCellMar>
        </w:tblPrEx>
        <w:trPr>
          <w:trHeight w:val="550" w:hRule="atLeast"/>
        </w:trPr>
        <w:tc>
          <w:tcPr>
            <w:tcW w:w="703" w:type="dxa"/>
            <w:vMerge w:val="continue"/>
            <w:tcBorders>
              <w:top w:val="nil"/>
              <w:left w:val="single" w:color="auto" w:sz="4" w:space="0"/>
              <w:bottom w:val="single" w:color="auto" w:sz="4" w:space="0"/>
              <w:right w:val="single" w:color="auto" w:sz="4" w:space="0"/>
            </w:tcBorders>
            <w:vAlign w:val="center"/>
          </w:tcPr>
          <w:p w14:paraId="1634D8D2">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46EA4E5">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23B885F0">
            <w:pPr>
              <w:widowControl/>
              <w:jc w:val="center"/>
              <w:rPr>
                <w:kern w:val="0"/>
                <w:sz w:val="24"/>
              </w:rPr>
            </w:pPr>
            <w:r>
              <w:rPr>
                <w:kern w:val="0"/>
                <w:sz w:val="24"/>
              </w:rPr>
              <w:t>“</w:t>
            </w:r>
            <w:r>
              <w:rPr>
                <w:rFonts w:hint="eastAsia" w:ascii="宋体" w:hAnsi="宋体"/>
                <w:kern w:val="0"/>
                <w:sz w:val="24"/>
              </w:rPr>
              <w:t>天使</w:t>
            </w:r>
            <w:r>
              <w:rPr>
                <w:kern w:val="0"/>
                <w:sz w:val="24"/>
              </w:rPr>
              <w:t>·</w:t>
            </w:r>
            <w:r>
              <w:rPr>
                <w:rFonts w:hint="eastAsia" w:ascii="宋体" w:hAnsi="宋体"/>
                <w:kern w:val="0"/>
                <w:sz w:val="24"/>
              </w:rPr>
              <w:t>净心谷</w:t>
            </w:r>
            <w:r>
              <w:rPr>
                <w:kern w:val="0"/>
                <w:sz w:val="24"/>
              </w:rPr>
              <w:t xml:space="preserve">” </w:t>
            </w:r>
            <w:r>
              <w:rPr>
                <w:rFonts w:hint="eastAsia" w:ascii="宋体" w:hAnsi="宋体"/>
                <w:kern w:val="0"/>
                <w:sz w:val="24"/>
              </w:rPr>
              <w:t>森林康养基地</w:t>
            </w:r>
          </w:p>
        </w:tc>
        <w:tc>
          <w:tcPr>
            <w:tcW w:w="1555" w:type="dxa"/>
            <w:tcBorders>
              <w:top w:val="nil"/>
              <w:left w:val="nil"/>
              <w:bottom w:val="single" w:color="auto" w:sz="4" w:space="0"/>
              <w:right w:val="single" w:color="auto" w:sz="4" w:space="0"/>
            </w:tcBorders>
            <w:vAlign w:val="center"/>
          </w:tcPr>
          <w:p w14:paraId="78F70A1F">
            <w:pPr>
              <w:widowControl/>
              <w:jc w:val="center"/>
              <w:rPr>
                <w:kern w:val="0"/>
                <w:sz w:val="24"/>
              </w:rPr>
            </w:pPr>
            <w:r>
              <w:rPr>
                <w:kern w:val="0"/>
                <w:sz w:val="24"/>
              </w:rPr>
              <w:t>66.</w:t>
            </w:r>
            <w:r>
              <w:rPr>
                <w:rFonts w:hint="eastAsia"/>
                <w:kern w:val="0"/>
                <w:sz w:val="24"/>
              </w:rPr>
              <w:t>23</w:t>
            </w:r>
            <w:r>
              <w:rPr>
                <w:kern w:val="0"/>
                <w:sz w:val="24"/>
              </w:rPr>
              <w:t>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384C4178">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60787C52">
            <w:pPr>
              <w:widowControl/>
              <w:jc w:val="center"/>
              <w:rPr>
                <w:kern w:val="0"/>
                <w:sz w:val="24"/>
              </w:rPr>
            </w:pPr>
            <w:r>
              <w:rPr>
                <w:rFonts w:hint="eastAsia"/>
                <w:kern w:val="0"/>
                <w:sz w:val="24"/>
              </w:rPr>
              <w:t>4</w:t>
            </w:r>
            <w:r>
              <w:rPr>
                <w:kern w:val="0"/>
                <w:sz w:val="24"/>
              </w:rPr>
              <w:t>0000</w:t>
            </w:r>
          </w:p>
        </w:tc>
        <w:tc>
          <w:tcPr>
            <w:tcW w:w="1202" w:type="dxa"/>
            <w:tcBorders>
              <w:top w:val="nil"/>
              <w:left w:val="nil"/>
              <w:bottom w:val="single" w:color="auto" w:sz="4" w:space="0"/>
              <w:right w:val="single" w:color="auto" w:sz="4" w:space="0"/>
            </w:tcBorders>
            <w:vAlign w:val="center"/>
          </w:tcPr>
          <w:p w14:paraId="09464CEE">
            <w:pPr>
              <w:widowControl/>
              <w:jc w:val="center"/>
              <w:rPr>
                <w:rFonts w:ascii="宋体" w:hAnsi="宋体" w:cs="宋体"/>
                <w:kern w:val="0"/>
                <w:sz w:val="24"/>
              </w:rPr>
            </w:pPr>
            <w:r>
              <w:rPr>
                <w:rFonts w:hint="eastAsia" w:ascii="宋体" w:hAnsi="宋体" w:cs="宋体"/>
                <w:kern w:val="0"/>
                <w:sz w:val="24"/>
              </w:rPr>
              <w:t>社会投资</w:t>
            </w:r>
          </w:p>
        </w:tc>
        <w:tc>
          <w:tcPr>
            <w:tcW w:w="3051" w:type="dxa"/>
            <w:tcBorders>
              <w:top w:val="nil"/>
              <w:left w:val="nil"/>
              <w:bottom w:val="single" w:color="auto" w:sz="4" w:space="0"/>
              <w:right w:val="single" w:color="auto" w:sz="4" w:space="0"/>
            </w:tcBorders>
            <w:vAlign w:val="center"/>
          </w:tcPr>
          <w:p w14:paraId="6901F297">
            <w:pPr>
              <w:widowControl/>
              <w:jc w:val="center"/>
              <w:rPr>
                <w:rFonts w:ascii="宋体" w:hAnsi="宋体" w:cs="宋体"/>
                <w:kern w:val="0"/>
                <w:sz w:val="24"/>
              </w:rPr>
            </w:pPr>
            <w:r>
              <w:rPr>
                <w:rFonts w:hint="eastAsia" w:ascii="宋体" w:hAnsi="宋体" w:cs="宋体"/>
                <w:kern w:val="0"/>
                <w:sz w:val="24"/>
              </w:rPr>
              <w:t>吉阳区南新农场</w:t>
            </w:r>
          </w:p>
        </w:tc>
      </w:tr>
      <w:tr w14:paraId="0E486FA5">
        <w:tblPrEx>
          <w:tblCellMar>
            <w:top w:w="0" w:type="dxa"/>
            <w:left w:w="108" w:type="dxa"/>
            <w:bottom w:w="0" w:type="dxa"/>
            <w:right w:w="108" w:type="dxa"/>
          </w:tblCellMar>
        </w:tblPrEx>
        <w:trPr>
          <w:trHeight w:val="315" w:hRule="atLeast"/>
        </w:trPr>
        <w:tc>
          <w:tcPr>
            <w:tcW w:w="703" w:type="dxa"/>
            <w:vMerge w:val="continue"/>
            <w:tcBorders>
              <w:top w:val="nil"/>
              <w:left w:val="single" w:color="auto" w:sz="4" w:space="0"/>
              <w:bottom w:val="single" w:color="auto" w:sz="4" w:space="0"/>
              <w:right w:val="single" w:color="auto" w:sz="4" w:space="0"/>
            </w:tcBorders>
            <w:vAlign w:val="center"/>
          </w:tcPr>
          <w:p w14:paraId="31037107">
            <w:pPr>
              <w:widowControl/>
              <w:jc w:val="left"/>
              <w:rPr>
                <w:kern w:val="0"/>
                <w:sz w:val="24"/>
              </w:rPr>
            </w:pPr>
          </w:p>
        </w:tc>
        <w:tc>
          <w:tcPr>
            <w:tcW w:w="5124" w:type="dxa"/>
            <w:gridSpan w:val="2"/>
            <w:tcBorders>
              <w:top w:val="single" w:color="auto" w:sz="4" w:space="0"/>
              <w:left w:val="nil"/>
              <w:bottom w:val="single" w:color="auto" w:sz="4" w:space="0"/>
              <w:right w:val="single" w:color="auto" w:sz="4" w:space="0"/>
            </w:tcBorders>
            <w:vAlign w:val="center"/>
          </w:tcPr>
          <w:p w14:paraId="6C13E96A">
            <w:pPr>
              <w:widowControl/>
              <w:jc w:val="center"/>
              <w:rPr>
                <w:rFonts w:ascii="宋体" w:hAnsi="宋体" w:cs="宋体"/>
                <w:b/>
                <w:bCs/>
                <w:kern w:val="0"/>
                <w:sz w:val="24"/>
              </w:rPr>
            </w:pPr>
            <w:r>
              <w:rPr>
                <w:rFonts w:hint="eastAsia" w:ascii="宋体" w:hAnsi="宋体" w:cs="宋体"/>
                <w:b/>
                <w:bCs/>
                <w:kern w:val="0"/>
                <w:sz w:val="24"/>
              </w:rPr>
              <w:t>小计</w:t>
            </w:r>
          </w:p>
        </w:tc>
        <w:tc>
          <w:tcPr>
            <w:tcW w:w="1555" w:type="dxa"/>
            <w:tcBorders>
              <w:top w:val="nil"/>
              <w:left w:val="nil"/>
              <w:bottom w:val="single" w:color="auto" w:sz="4" w:space="0"/>
              <w:right w:val="single" w:color="auto" w:sz="4" w:space="0"/>
            </w:tcBorders>
            <w:vAlign w:val="center"/>
          </w:tcPr>
          <w:p w14:paraId="52EE7979">
            <w:pPr>
              <w:widowControl/>
              <w:jc w:val="center"/>
              <w:rPr>
                <w:rFonts w:ascii="宋体" w:hAnsi="宋体" w:cs="宋体"/>
                <w:b/>
                <w:bCs/>
                <w:kern w:val="0"/>
                <w:sz w:val="24"/>
              </w:rPr>
            </w:pPr>
            <w:r>
              <w:rPr>
                <w:rFonts w:hint="eastAsia" w:ascii="宋体" w:hAnsi="宋体" w:cs="宋体"/>
                <w:b/>
                <w:bCs/>
                <w:kern w:val="0"/>
                <w:sz w:val="24"/>
              </w:rPr>
              <w:t>　</w:t>
            </w:r>
          </w:p>
        </w:tc>
        <w:tc>
          <w:tcPr>
            <w:tcW w:w="881" w:type="dxa"/>
            <w:tcBorders>
              <w:top w:val="nil"/>
              <w:left w:val="nil"/>
              <w:bottom w:val="single" w:color="auto" w:sz="4" w:space="0"/>
              <w:right w:val="single" w:color="auto" w:sz="4" w:space="0"/>
            </w:tcBorders>
            <w:vAlign w:val="center"/>
          </w:tcPr>
          <w:p w14:paraId="21B6FB70">
            <w:pPr>
              <w:widowControl/>
              <w:jc w:val="center"/>
              <w:rPr>
                <w:rFonts w:ascii="宋体" w:hAnsi="宋体" w:cs="宋体"/>
                <w:kern w:val="0"/>
                <w:sz w:val="24"/>
              </w:rPr>
            </w:pPr>
            <w:r>
              <w:rPr>
                <w:rFonts w:hint="eastAsia" w:ascii="宋体" w:hAnsi="宋体" w:cs="宋体"/>
                <w:kern w:val="0"/>
                <w:sz w:val="24"/>
              </w:rPr>
              <w:t>　</w:t>
            </w:r>
          </w:p>
        </w:tc>
        <w:tc>
          <w:tcPr>
            <w:tcW w:w="1357" w:type="dxa"/>
            <w:tcBorders>
              <w:top w:val="nil"/>
              <w:left w:val="nil"/>
              <w:bottom w:val="single" w:color="auto" w:sz="4" w:space="0"/>
              <w:right w:val="single" w:color="auto" w:sz="4" w:space="0"/>
            </w:tcBorders>
            <w:vAlign w:val="center"/>
          </w:tcPr>
          <w:p w14:paraId="03D8C16C">
            <w:pPr>
              <w:widowControl/>
              <w:jc w:val="center"/>
              <w:rPr>
                <w:b/>
                <w:bCs/>
                <w:kern w:val="0"/>
                <w:sz w:val="24"/>
              </w:rPr>
            </w:pPr>
            <w:r>
              <w:rPr>
                <w:rFonts w:hint="eastAsia"/>
                <w:b/>
                <w:bCs/>
                <w:kern w:val="0"/>
                <w:sz w:val="24"/>
              </w:rPr>
              <w:t>351</w:t>
            </w:r>
            <w:r>
              <w:rPr>
                <w:b/>
                <w:bCs/>
                <w:kern w:val="0"/>
                <w:sz w:val="24"/>
              </w:rPr>
              <w:t>900</w:t>
            </w:r>
          </w:p>
        </w:tc>
        <w:tc>
          <w:tcPr>
            <w:tcW w:w="1202" w:type="dxa"/>
            <w:tcBorders>
              <w:top w:val="nil"/>
              <w:left w:val="nil"/>
              <w:bottom w:val="single" w:color="auto" w:sz="4" w:space="0"/>
              <w:right w:val="single" w:color="auto" w:sz="4" w:space="0"/>
            </w:tcBorders>
            <w:vAlign w:val="center"/>
          </w:tcPr>
          <w:p w14:paraId="2D80F585">
            <w:pPr>
              <w:widowControl/>
              <w:jc w:val="center"/>
              <w:rPr>
                <w:rFonts w:ascii="宋体" w:hAnsi="宋体" w:cs="宋体"/>
                <w:kern w:val="0"/>
                <w:sz w:val="24"/>
              </w:rPr>
            </w:pPr>
            <w:r>
              <w:rPr>
                <w:rFonts w:hint="eastAsia" w:ascii="宋体" w:hAnsi="宋体" w:cs="宋体"/>
                <w:kern w:val="0"/>
                <w:sz w:val="24"/>
              </w:rPr>
              <w:t>　</w:t>
            </w:r>
          </w:p>
        </w:tc>
        <w:tc>
          <w:tcPr>
            <w:tcW w:w="3051" w:type="dxa"/>
            <w:tcBorders>
              <w:top w:val="nil"/>
              <w:left w:val="nil"/>
              <w:bottom w:val="single" w:color="auto" w:sz="4" w:space="0"/>
              <w:right w:val="single" w:color="auto" w:sz="4" w:space="0"/>
            </w:tcBorders>
            <w:vAlign w:val="center"/>
          </w:tcPr>
          <w:p w14:paraId="4757CC61">
            <w:pPr>
              <w:widowControl/>
              <w:jc w:val="center"/>
              <w:rPr>
                <w:rFonts w:ascii="宋体" w:hAnsi="宋体" w:cs="宋体"/>
                <w:kern w:val="0"/>
                <w:sz w:val="24"/>
              </w:rPr>
            </w:pPr>
            <w:r>
              <w:rPr>
                <w:rFonts w:hint="eastAsia" w:ascii="宋体" w:hAnsi="宋体" w:cs="宋体"/>
                <w:kern w:val="0"/>
                <w:sz w:val="24"/>
              </w:rPr>
              <w:t>　</w:t>
            </w:r>
          </w:p>
        </w:tc>
      </w:tr>
      <w:tr w14:paraId="10F5B783">
        <w:tblPrEx>
          <w:tblCellMar>
            <w:top w:w="0" w:type="dxa"/>
            <w:left w:w="108" w:type="dxa"/>
            <w:bottom w:w="0" w:type="dxa"/>
            <w:right w:w="108" w:type="dxa"/>
          </w:tblCellMar>
        </w:tblPrEx>
        <w:trPr>
          <w:trHeight w:val="375" w:hRule="atLeast"/>
        </w:trPr>
        <w:tc>
          <w:tcPr>
            <w:tcW w:w="703" w:type="dxa"/>
            <w:vMerge w:val="restart"/>
            <w:tcBorders>
              <w:top w:val="nil"/>
              <w:left w:val="single" w:color="auto" w:sz="4" w:space="0"/>
              <w:bottom w:val="single" w:color="auto" w:sz="4" w:space="0"/>
              <w:right w:val="single" w:color="auto" w:sz="4" w:space="0"/>
            </w:tcBorders>
            <w:vAlign w:val="center"/>
          </w:tcPr>
          <w:p w14:paraId="0BEFCE95">
            <w:pPr>
              <w:widowControl/>
              <w:jc w:val="center"/>
              <w:rPr>
                <w:kern w:val="0"/>
                <w:sz w:val="24"/>
              </w:rPr>
            </w:pPr>
            <w:r>
              <w:rPr>
                <w:kern w:val="0"/>
                <w:sz w:val="24"/>
              </w:rPr>
              <w:t>2</w:t>
            </w:r>
          </w:p>
        </w:tc>
        <w:tc>
          <w:tcPr>
            <w:tcW w:w="1546" w:type="dxa"/>
            <w:vMerge w:val="restart"/>
            <w:tcBorders>
              <w:top w:val="nil"/>
              <w:left w:val="single" w:color="auto" w:sz="4" w:space="0"/>
              <w:bottom w:val="single" w:color="auto" w:sz="4" w:space="0"/>
              <w:right w:val="single" w:color="auto" w:sz="4" w:space="0"/>
            </w:tcBorders>
            <w:vAlign w:val="center"/>
          </w:tcPr>
          <w:p w14:paraId="09D4E21B">
            <w:pPr>
              <w:widowControl/>
              <w:jc w:val="center"/>
              <w:rPr>
                <w:rFonts w:ascii="宋体" w:hAnsi="宋体" w:cs="宋体"/>
                <w:kern w:val="0"/>
                <w:sz w:val="24"/>
              </w:rPr>
            </w:pPr>
            <w:r>
              <w:rPr>
                <w:rFonts w:hint="eastAsia" w:ascii="宋体" w:hAnsi="宋体" w:cs="宋体"/>
                <w:kern w:val="0"/>
                <w:sz w:val="24"/>
              </w:rPr>
              <w:t>中长期</w:t>
            </w:r>
            <w:r>
              <w:rPr>
                <w:rFonts w:hint="eastAsia"/>
                <w:kern w:val="0"/>
                <w:sz w:val="24"/>
              </w:rPr>
              <w:t>（2026~2035年）</w:t>
            </w:r>
          </w:p>
        </w:tc>
        <w:tc>
          <w:tcPr>
            <w:tcW w:w="3578" w:type="dxa"/>
            <w:tcBorders>
              <w:top w:val="nil"/>
              <w:left w:val="nil"/>
              <w:bottom w:val="single" w:color="auto" w:sz="4" w:space="0"/>
              <w:right w:val="single" w:color="auto" w:sz="4" w:space="0"/>
            </w:tcBorders>
            <w:vAlign w:val="center"/>
          </w:tcPr>
          <w:p w14:paraId="46F2CD39">
            <w:pPr>
              <w:widowControl/>
              <w:jc w:val="center"/>
              <w:rPr>
                <w:rFonts w:ascii="宋体" w:hAnsi="宋体" w:cs="宋体"/>
                <w:kern w:val="0"/>
                <w:sz w:val="24"/>
              </w:rPr>
            </w:pPr>
            <w:r>
              <w:rPr>
                <w:rFonts w:hint="eastAsia" w:ascii="宋体" w:hAnsi="宋体" w:cs="宋体"/>
                <w:kern w:val="0"/>
                <w:sz w:val="24"/>
              </w:rPr>
              <w:t>改造提升现有森林公园</w:t>
            </w:r>
          </w:p>
        </w:tc>
        <w:tc>
          <w:tcPr>
            <w:tcW w:w="1555" w:type="dxa"/>
            <w:tcBorders>
              <w:top w:val="nil"/>
              <w:left w:val="nil"/>
              <w:bottom w:val="single" w:color="auto" w:sz="4" w:space="0"/>
              <w:right w:val="single" w:color="auto" w:sz="4" w:space="0"/>
            </w:tcBorders>
            <w:vAlign w:val="center"/>
          </w:tcPr>
          <w:p w14:paraId="6BB7CC03">
            <w:pPr>
              <w:widowControl/>
              <w:rPr>
                <w:kern w:val="0"/>
                <w:sz w:val="24"/>
              </w:rPr>
            </w:pPr>
            <w:r>
              <w:rPr>
                <w:kern w:val="0"/>
                <w:sz w:val="24"/>
              </w:rPr>
              <w:t>11104.7</w:t>
            </w:r>
            <w:r>
              <w:rPr>
                <w:rFonts w:hint="eastAsia"/>
                <w:kern w:val="0"/>
                <w:sz w:val="24"/>
              </w:rPr>
              <w:t>h</w:t>
            </w:r>
            <w:r>
              <w:rPr>
                <w:kern w:val="0"/>
                <w:sz w:val="24"/>
              </w:rPr>
              <w:t>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051A73CC">
            <w:pPr>
              <w:widowControl/>
              <w:jc w:val="center"/>
              <w:rPr>
                <w:rFonts w:ascii="宋体" w:hAnsi="宋体" w:cs="宋体"/>
                <w:kern w:val="0"/>
                <w:sz w:val="24"/>
              </w:rPr>
            </w:pPr>
            <w:r>
              <w:rPr>
                <w:rFonts w:hint="eastAsia" w:ascii="宋体" w:hAnsi="宋体" w:cs="宋体"/>
                <w:kern w:val="0"/>
                <w:sz w:val="24"/>
              </w:rPr>
              <w:t>续建</w:t>
            </w:r>
          </w:p>
        </w:tc>
        <w:tc>
          <w:tcPr>
            <w:tcW w:w="1357" w:type="dxa"/>
            <w:tcBorders>
              <w:top w:val="nil"/>
              <w:left w:val="nil"/>
              <w:bottom w:val="single" w:color="auto" w:sz="4" w:space="0"/>
              <w:right w:val="single" w:color="auto" w:sz="4" w:space="0"/>
            </w:tcBorders>
            <w:vAlign w:val="center"/>
          </w:tcPr>
          <w:p w14:paraId="62D91161">
            <w:pPr>
              <w:widowControl/>
              <w:jc w:val="center"/>
              <w:rPr>
                <w:kern w:val="0"/>
                <w:sz w:val="24"/>
              </w:rPr>
            </w:pPr>
            <w:r>
              <w:rPr>
                <w:rFonts w:hint="eastAsia"/>
                <w:kern w:val="0"/>
                <w:sz w:val="24"/>
              </w:rPr>
              <w:t>5</w:t>
            </w:r>
            <w:r>
              <w:rPr>
                <w:kern w:val="0"/>
                <w:sz w:val="24"/>
              </w:rPr>
              <w:t>1000</w:t>
            </w:r>
          </w:p>
        </w:tc>
        <w:tc>
          <w:tcPr>
            <w:tcW w:w="1202" w:type="dxa"/>
            <w:tcBorders>
              <w:top w:val="nil"/>
              <w:left w:val="nil"/>
              <w:bottom w:val="single" w:color="auto" w:sz="4" w:space="0"/>
              <w:right w:val="single" w:color="auto" w:sz="4" w:space="0"/>
            </w:tcBorders>
            <w:vAlign w:val="center"/>
          </w:tcPr>
          <w:p w14:paraId="3C7C9FE3">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140EA5A7">
            <w:pPr>
              <w:widowControl/>
              <w:jc w:val="center"/>
              <w:rPr>
                <w:rFonts w:ascii="宋体" w:hAnsi="宋体" w:cs="宋体"/>
                <w:kern w:val="0"/>
                <w:sz w:val="24"/>
              </w:rPr>
            </w:pPr>
            <w:r>
              <w:rPr>
                <w:rFonts w:hint="eastAsia" w:ascii="宋体" w:hAnsi="宋体" w:cs="宋体"/>
                <w:kern w:val="0"/>
                <w:sz w:val="24"/>
              </w:rPr>
              <w:t>临春岭森林公园等</w:t>
            </w:r>
          </w:p>
        </w:tc>
      </w:tr>
      <w:tr w14:paraId="0389A0C9">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3D8DC6C6">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30F7DE3">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045D2CC9">
            <w:pPr>
              <w:widowControl/>
              <w:jc w:val="center"/>
              <w:rPr>
                <w:rFonts w:ascii="宋体" w:hAnsi="宋体" w:cs="宋体"/>
                <w:kern w:val="0"/>
                <w:sz w:val="24"/>
              </w:rPr>
            </w:pPr>
            <w:r>
              <w:rPr>
                <w:rFonts w:hint="eastAsia" w:ascii="宋体" w:hAnsi="宋体" w:cs="宋体"/>
                <w:kern w:val="0"/>
                <w:sz w:val="24"/>
              </w:rPr>
              <w:t>三亚市热带植物园</w:t>
            </w:r>
          </w:p>
        </w:tc>
        <w:tc>
          <w:tcPr>
            <w:tcW w:w="1555" w:type="dxa"/>
            <w:tcBorders>
              <w:top w:val="nil"/>
              <w:left w:val="nil"/>
              <w:bottom w:val="single" w:color="auto" w:sz="4" w:space="0"/>
              <w:right w:val="single" w:color="auto" w:sz="4" w:space="0"/>
            </w:tcBorders>
            <w:vAlign w:val="center"/>
          </w:tcPr>
          <w:p w14:paraId="058BBACC">
            <w:pPr>
              <w:widowControl/>
              <w:jc w:val="center"/>
              <w:rPr>
                <w:kern w:val="0"/>
                <w:sz w:val="24"/>
              </w:rPr>
            </w:pPr>
            <w:r>
              <w:rPr>
                <w:kern w:val="0"/>
                <w:sz w:val="24"/>
              </w:rPr>
              <w:t>433.4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5C89C8D0">
            <w:pPr>
              <w:widowControl/>
              <w:jc w:val="center"/>
              <w:rPr>
                <w:rFonts w:ascii="宋体" w:hAnsi="宋体" w:cs="宋体"/>
                <w:kern w:val="0"/>
                <w:sz w:val="24"/>
              </w:rPr>
            </w:pPr>
            <w:r>
              <w:rPr>
                <w:rFonts w:hint="eastAsia" w:ascii="宋体" w:hAnsi="宋体" w:cs="宋体"/>
                <w:kern w:val="0"/>
                <w:sz w:val="24"/>
              </w:rPr>
              <w:t>续建</w:t>
            </w:r>
          </w:p>
        </w:tc>
        <w:tc>
          <w:tcPr>
            <w:tcW w:w="1357" w:type="dxa"/>
            <w:tcBorders>
              <w:top w:val="nil"/>
              <w:left w:val="nil"/>
              <w:bottom w:val="single" w:color="auto" w:sz="4" w:space="0"/>
              <w:right w:val="single" w:color="auto" w:sz="4" w:space="0"/>
            </w:tcBorders>
            <w:vAlign w:val="center"/>
          </w:tcPr>
          <w:p w14:paraId="2CE9C4A9">
            <w:pPr>
              <w:widowControl/>
              <w:jc w:val="center"/>
              <w:rPr>
                <w:kern w:val="0"/>
                <w:sz w:val="24"/>
              </w:rPr>
            </w:pPr>
            <w:r>
              <w:rPr>
                <w:kern w:val="0"/>
                <w:sz w:val="24"/>
              </w:rPr>
              <w:t>80000</w:t>
            </w:r>
          </w:p>
        </w:tc>
        <w:tc>
          <w:tcPr>
            <w:tcW w:w="1202" w:type="dxa"/>
            <w:tcBorders>
              <w:top w:val="nil"/>
              <w:left w:val="nil"/>
              <w:bottom w:val="single" w:color="auto" w:sz="4" w:space="0"/>
              <w:right w:val="single" w:color="auto" w:sz="4" w:space="0"/>
            </w:tcBorders>
            <w:vAlign w:val="center"/>
          </w:tcPr>
          <w:p w14:paraId="1F2A45F6">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33CABB8B">
            <w:pPr>
              <w:widowControl/>
              <w:jc w:val="center"/>
              <w:rPr>
                <w:rFonts w:ascii="宋体" w:hAnsi="宋体" w:cs="宋体"/>
                <w:kern w:val="0"/>
                <w:sz w:val="24"/>
              </w:rPr>
            </w:pPr>
            <w:r>
              <w:rPr>
                <w:rFonts w:hint="eastAsia" w:ascii="宋体" w:hAnsi="宋体" w:cs="宋体"/>
                <w:kern w:val="0"/>
                <w:sz w:val="24"/>
              </w:rPr>
              <w:t>天涯海角附近</w:t>
            </w:r>
          </w:p>
        </w:tc>
      </w:tr>
      <w:tr w14:paraId="66B25F6D">
        <w:tblPrEx>
          <w:tblCellMar>
            <w:top w:w="0" w:type="dxa"/>
            <w:left w:w="108" w:type="dxa"/>
            <w:bottom w:w="0" w:type="dxa"/>
            <w:right w:w="108" w:type="dxa"/>
          </w:tblCellMar>
        </w:tblPrEx>
        <w:trPr>
          <w:trHeight w:val="520" w:hRule="atLeast"/>
        </w:trPr>
        <w:tc>
          <w:tcPr>
            <w:tcW w:w="703" w:type="dxa"/>
            <w:vMerge w:val="continue"/>
            <w:tcBorders>
              <w:top w:val="nil"/>
              <w:left w:val="single" w:color="auto" w:sz="4" w:space="0"/>
              <w:bottom w:val="single" w:color="auto" w:sz="4" w:space="0"/>
              <w:right w:val="single" w:color="auto" w:sz="4" w:space="0"/>
            </w:tcBorders>
            <w:vAlign w:val="center"/>
          </w:tcPr>
          <w:p w14:paraId="51E9F7F7">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7DA9A5F">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3860E79C">
            <w:pPr>
              <w:widowControl/>
              <w:jc w:val="center"/>
              <w:rPr>
                <w:rFonts w:ascii="宋体" w:hAnsi="宋体" w:cs="宋体"/>
                <w:kern w:val="0"/>
                <w:sz w:val="24"/>
              </w:rPr>
            </w:pPr>
            <w:r>
              <w:rPr>
                <w:rFonts w:hint="eastAsia" w:ascii="宋体" w:hAnsi="宋体" w:cs="宋体"/>
                <w:kern w:val="0"/>
                <w:sz w:val="24"/>
              </w:rPr>
              <w:t>海南南岛国家森林康养基地</w:t>
            </w:r>
          </w:p>
        </w:tc>
        <w:tc>
          <w:tcPr>
            <w:tcW w:w="1555" w:type="dxa"/>
            <w:tcBorders>
              <w:top w:val="nil"/>
              <w:left w:val="nil"/>
              <w:bottom w:val="single" w:color="auto" w:sz="4" w:space="0"/>
              <w:right w:val="single" w:color="auto" w:sz="4" w:space="0"/>
            </w:tcBorders>
            <w:vAlign w:val="center"/>
          </w:tcPr>
          <w:p w14:paraId="78A20EE1">
            <w:pPr>
              <w:widowControl/>
              <w:jc w:val="center"/>
              <w:rPr>
                <w:kern w:val="0"/>
                <w:sz w:val="24"/>
              </w:rPr>
            </w:pPr>
            <w:r>
              <w:rPr>
                <w:kern w:val="0"/>
                <w:sz w:val="24"/>
              </w:rPr>
              <w:t>1385. 3</w:t>
            </w:r>
            <w:r>
              <w:rPr>
                <w:rFonts w:hint="eastAsia"/>
                <w:kern w:val="0"/>
                <w:sz w:val="24"/>
              </w:rPr>
              <w:t>5</w:t>
            </w:r>
            <w:r>
              <w:rPr>
                <w:kern w:val="0"/>
                <w:sz w:val="24"/>
              </w:rPr>
              <w:t xml:space="preserve">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7C21CB51">
            <w:pPr>
              <w:widowControl/>
              <w:jc w:val="center"/>
              <w:rPr>
                <w:rFonts w:ascii="宋体" w:hAnsi="宋体" w:cs="宋体"/>
                <w:kern w:val="0"/>
                <w:sz w:val="24"/>
              </w:rPr>
            </w:pPr>
            <w:r>
              <w:rPr>
                <w:rFonts w:hint="eastAsia" w:ascii="宋体" w:hAnsi="宋体" w:cs="宋体"/>
                <w:kern w:val="0"/>
                <w:sz w:val="24"/>
              </w:rPr>
              <w:t>续建</w:t>
            </w:r>
          </w:p>
        </w:tc>
        <w:tc>
          <w:tcPr>
            <w:tcW w:w="1357" w:type="dxa"/>
            <w:tcBorders>
              <w:top w:val="nil"/>
              <w:left w:val="nil"/>
              <w:bottom w:val="single" w:color="auto" w:sz="4" w:space="0"/>
              <w:right w:val="single" w:color="auto" w:sz="4" w:space="0"/>
            </w:tcBorders>
            <w:vAlign w:val="center"/>
          </w:tcPr>
          <w:p w14:paraId="3781CCC0">
            <w:pPr>
              <w:widowControl/>
              <w:jc w:val="center"/>
              <w:rPr>
                <w:kern w:val="0"/>
                <w:sz w:val="24"/>
              </w:rPr>
            </w:pPr>
            <w:r>
              <w:rPr>
                <w:rFonts w:hint="eastAsia"/>
                <w:kern w:val="0"/>
                <w:sz w:val="24"/>
              </w:rPr>
              <w:t>20000</w:t>
            </w:r>
          </w:p>
        </w:tc>
        <w:tc>
          <w:tcPr>
            <w:tcW w:w="1202" w:type="dxa"/>
            <w:tcBorders>
              <w:top w:val="nil"/>
              <w:left w:val="nil"/>
              <w:bottom w:val="single" w:color="auto" w:sz="4" w:space="0"/>
              <w:right w:val="single" w:color="auto" w:sz="4" w:space="0"/>
            </w:tcBorders>
            <w:vAlign w:val="center"/>
          </w:tcPr>
          <w:p w14:paraId="0998B200">
            <w:pPr>
              <w:widowControl/>
              <w:jc w:val="center"/>
              <w:rPr>
                <w:rFonts w:ascii="宋体" w:hAnsi="宋体" w:cs="宋体"/>
                <w:kern w:val="0"/>
                <w:sz w:val="24"/>
              </w:rPr>
            </w:pPr>
            <w:r>
              <w:rPr>
                <w:rFonts w:hint="eastAsia" w:ascii="宋体" w:hAnsi="宋体" w:cs="宋体"/>
                <w:kern w:val="0"/>
                <w:sz w:val="24"/>
              </w:rPr>
              <w:t>社会投资</w:t>
            </w:r>
          </w:p>
        </w:tc>
        <w:tc>
          <w:tcPr>
            <w:tcW w:w="3051" w:type="dxa"/>
            <w:tcBorders>
              <w:top w:val="nil"/>
              <w:left w:val="nil"/>
              <w:bottom w:val="single" w:color="auto" w:sz="4" w:space="0"/>
              <w:right w:val="single" w:color="auto" w:sz="4" w:space="0"/>
            </w:tcBorders>
            <w:vAlign w:val="center"/>
          </w:tcPr>
          <w:p w14:paraId="41F17215">
            <w:pPr>
              <w:widowControl/>
              <w:jc w:val="center"/>
              <w:rPr>
                <w:rFonts w:ascii="宋体" w:hAnsi="宋体" w:cs="宋体"/>
                <w:kern w:val="0"/>
                <w:sz w:val="24"/>
              </w:rPr>
            </w:pPr>
            <w:r>
              <w:rPr>
                <w:rFonts w:hint="eastAsia" w:ascii="宋体" w:hAnsi="宋体" w:cs="宋体"/>
                <w:kern w:val="0"/>
                <w:sz w:val="24"/>
              </w:rPr>
              <w:t>天涯区台楼村林鼻岭</w:t>
            </w:r>
          </w:p>
        </w:tc>
      </w:tr>
      <w:tr w14:paraId="6E5B32C8">
        <w:tblPrEx>
          <w:tblCellMar>
            <w:top w:w="0" w:type="dxa"/>
            <w:left w:w="108" w:type="dxa"/>
            <w:bottom w:w="0" w:type="dxa"/>
            <w:right w:w="108" w:type="dxa"/>
          </w:tblCellMar>
        </w:tblPrEx>
        <w:trPr>
          <w:trHeight w:val="570" w:hRule="atLeast"/>
        </w:trPr>
        <w:tc>
          <w:tcPr>
            <w:tcW w:w="703" w:type="dxa"/>
            <w:vMerge w:val="continue"/>
            <w:tcBorders>
              <w:top w:val="nil"/>
              <w:left w:val="single" w:color="auto" w:sz="4" w:space="0"/>
              <w:bottom w:val="single" w:color="auto" w:sz="4" w:space="0"/>
              <w:right w:val="single" w:color="auto" w:sz="4" w:space="0"/>
            </w:tcBorders>
            <w:vAlign w:val="center"/>
          </w:tcPr>
          <w:p w14:paraId="6403C398">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7F7386BD">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0E050FC7">
            <w:pPr>
              <w:widowControl/>
              <w:jc w:val="center"/>
              <w:rPr>
                <w:kern w:val="0"/>
                <w:sz w:val="24"/>
              </w:rPr>
            </w:pPr>
            <w:r>
              <w:rPr>
                <w:kern w:val="0"/>
                <w:sz w:val="24"/>
              </w:rPr>
              <w:t>“</w:t>
            </w:r>
            <w:r>
              <w:rPr>
                <w:rFonts w:hint="eastAsia" w:ascii="宋体" w:hAnsi="宋体"/>
                <w:kern w:val="0"/>
                <w:sz w:val="24"/>
              </w:rPr>
              <w:t>天使</w:t>
            </w:r>
            <w:r>
              <w:rPr>
                <w:kern w:val="0"/>
                <w:sz w:val="24"/>
              </w:rPr>
              <w:t>·</w:t>
            </w:r>
            <w:r>
              <w:rPr>
                <w:rFonts w:hint="eastAsia" w:ascii="宋体" w:hAnsi="宋体"/>
                <w:kern w:val="0"/>
                <w:sz w:val="24"/>
              </w:rPr>
              <w:t>净心谷</w:t>
            </w:r>
            <w:r>
              <w:rPr>
                <w:kern w:val="0"/>
                <w:sz w:val="24"/>
              </w:rPr>
              <w:t xml:space="preserve">” </w:t>
            </w:r>
            <w:r>
              <w:rPr>
                <w:rFonts w:hint="eastAsia" w:ascii="宋体" w:hAnsi="宋体"/>
                <w:kern w:val="0"/>
                <w:sz w:val="24"/>
              </w:rPr>
              <w:t>森林康养基地</w:t>
            </w:r>
          </w:p>
        </w:tc>
        <w:tc>
          <w:tcPr>
            <w:tcW w:w="1555" w:type="dxa"/>
            <w:tcBorders>
              <w:top w:val="nil"/>
              <w:left w:val="nil"/>
              <w:bottom w:val="single" w:color="auto" w:sz="4" w:space="0"/>
              <w:right w:val="single" w:color="auto" w:sz="4" w:space="0"/>
            </w:tcBorders>
            <w:vAlign w:val="center"/>
          </w:tcPr>
          <w:p w14:paraId="733AF65E">
            <w:pPr>
              <w:widowControl/>
              <w:jc w:val="center"/>
              <w:rPr>
                <w:kern w:val="0"/>
                <w:sz w:val="24"/>
              </w:rPr>
            </w:pPr>
            <w:r>
              <w:rPr>
                <w:kern w:val="0"/>
                <w:sz w:val="24"/>
              </w:rPr>
              <w:t>66.</w:t>
            </w:r>
            <w:r>
              <w:rPr>
                <w:rFonts w:hint="eastAsia"/>
                <w:kern w:val="0"/>
                <w:sz w:val="24"/>
              </w:rPr>
              <w:t>23</w:t>
            </w:r>
            <w:r>
              <w:rPr>
                <w:kern w:val="0"/>
                <w:sz w:val="24"/>
              </w:rPr>
              <w:t>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380A7361">
            <w:pPr>
              <w:widowControl/>
              <w:jc w:val="center"/>
              <w:rPr>
                <w:rFonts w:ascii="宋体" w:hAnsi="宋体" w:cs="宋体"/>
                <w:kern w:val="0"/>
                <w:sz w:val="24"/>
              </w:rPr>
            </w:pPr>
            <w:r>
              <w:rPr>
                <w:rFonts w:hint="eastAsia" w:ascii="宋体" w:hAnsi="宋体" w:cs="宋体"/>
                <w:kern w:val="0"/>
                <w:sz w:val="24"/>
              </w:rPr>
              <w:t>续建</w:t>
            </w:r>
          </w:p>
        </w:tc>
        <w:tc>
          <w:tcPr>
            <w:tcW w:w="1357" w:type="dxa"/>
            <w:tcBorders>
              <w:top w:val="nil"/>
              <w:left w:val="nil"/>
              <w:bottom w:val="single" w:color="auto" w:sz="4" w:space="0"/>
              <w:right w:val="single" w:color="auto" w:sz="4" w:space="0"/>
            </w:tcBorders>
            <w:vAlign w:val="center"/>
          </w:tcPr>
          <w:p w14:paraId="03F91434">
            <w:pPr>
              <w:widowControl/>
              <w:jc w:val="center"/>
              <w:rPr>
                <w:kern w:val="0"/>
                <w:sz w:val="24"/>
              </w:rPr>
            </w:pPr>
            <w:r>
              <w:rPr>
                <w:rFonts w:hint="eastAsia"/>
                <w:kern w:val="0"/>
                <w:sz w:val="24"/>
              </w:rPr>
              <w:t>20000</w:t>
            </w:r>
          </w:p>
        </w:tc>
        <w:tc>
          <w:tcPr>
            <w:tcW w:w="1202" w:type="dxa"/>
            <w:tcBorders>
              <w:top w:val="nil"/>
              <w:left w:val="nil"/>
              <w:bottom w:val="single" w:color="auto" w:sz="4" w:space="0"/>
              <w:right w:val="single" w:color="auto" w:sz="4" w:space="0"/>
            </w:tcBorders>
            <w:vAlign w:val="center"/>
          </w:tcPr>
          <w:p w14:paraId="0588B8B4">
            <w:pPr>
              <w:widowControl/>
              <w:jc w:val="center"/>
              <w:rPr>
                <w:rFonts w:ascii="宋体" w:hAnsi="宋体" w:cs="宋体"/>
                <w:kern w:val="0"/>
                <w:sz w:val="24"/>
              </w:rPr>
            </w:pPr>
            <w:r>
              <w:rPr>
                <w:rFonts w:hint="eastAsia" w:ascii="宋体" w:hAnsi="宋体" w:cs="宋体"/>
                <w:kern w:val="0"/>
                <w:sz w:val="24"/>
              </w:rPr>
              <w:t>社会投资</w:t>
            </w:r>
          </w:p>
        </w:tc>
        <w:tc>
          <w:tcPr>
            <w:tcW w:w="3051" w:type="dxa"/>
            <w:tcBorders>
              <w:top w:val="nil"/>
              <w:left w:val="nil"/>
              <w:bottom w:val="single" w:color="auto" w:sz="4" w:space="0"/>
              <w:right w:val="single" w:color="auto" w:sz="4" w:space="0"/>
            </w:tcBorders>
            <w:vAlign w:val="center"/>
          </w:tcPr>
          <w:p w14:paraId="69229280">
            <w:pPr>
              <w:widowControl/>
              <w:jc w:val="center"/>
              <w:rPr>
                <w:rFonts w:ascii="宋体" w:hAnsi="宋体" w:cs="宋体"/>
                <w:kern w:val="0"/>
                <w:sz w:val="24"/>
              </w:rPr>
            </w:pPr>
            <w:r>
              <w:rPr>
                <w:rFonts w:hint="eastAsia" w:ascii="宋体" w:hAnsi="宋体" w:cs="宋体"/>
                <w:kern w:val="0"/>
                <w:sz w:val="24"/>
              </w:rPr>
              <w:t>吉阳区南新农场</w:t>
            </w:r>
          </w:p>
        </w:tc>
      </w:tr>
      <w:tr w14:paraId="6D91ED49">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3BB80D48">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EE248EB">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6A1416F7">
            <w:pPr>
              <w:widowControl/>
              <w:jc w:val="center"/>
              <w:rPr>
                <w:rFonts w:ascii="宋体" w:hAnsi="宋体" w:cs="宋体"/>
                <w:kern w:val="0"/>
                <w:sz w:val="24"/>
              </w:rPr>
            </w:pPr>
            <w:r>
              <w:rPr>
                <w:rFonts w:hint="eastAsia" w:ascii="宋体" w:hAnsi="宋体" w:cs="宋体"/>
                <w:kern w:val="0"/>
                <w:sz w:val="24"/>
              </w:rPr>
              <w:t>福岭森林公园</w:t>
            </w:r>
          </w:p>
        </w:tc>
        <w:tc>
          <w:tcPr>
            <w:tcW w:w="1555" w:type="dxa"/>
            <w:tcBorders>
              <w:top w:val="nil"/>
              <w:left w:val="nil"/>
              <w:bottom w:val="single" w:color="auto" w:sz="4" w:space="0"/>
              <w:right w:val="single" w:color="auto" w:sz="4" w:space="0"/>
            </w:tcBorders>
            <w:vAlign w:val="center"/>
          </w:tcPr>
          <w:p w14:paraId="1FC1F965">
            <w:pPr>
              <w:widowControl/>
              <w:jc w:val="center"/>
              <w:rPr>
                <w:kern w:val="0"/>
                <w:sz w:val="24"/>
              </w:rPr>
            </w:pPr>
            <w:r>
              <w:rPr>
                <w:kern w:val="0"/>
                <w:sz w:val="24"/>
              </w:rPr>
              <w:t>1846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6F894E3D">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018B5CFF">
            <w:pPr>
              <w:widowControl/>
              <w:jc w:val="center"/>
              <w:rPr>
                <w:kern w:val="0"/>
                <w:sz w:val="24"/>
              </w:rPr>
            </w:pPr>
            <w:r>
              <w:rPr>
                <w:kern w:val="0"/>
                <w:sz w:val="24"/>
              </w:rPr>
              <w:t>174000</w:t>
            </w:r>
          </w:p>
        </w:tc>
        <w:tc>
          <w:tcPr>
            <w:tcW w:w="1202" w:type="dxa"/>
            <w:tcBorders>
              <w:top w:val="nil"/>
              <w:left w:val="nil"/>
              <w:bottom w:val="single" w:color="auto" w:sz="4" w:space="0"/>
              <w:right w:val="single" w:color="auto" w:sz="4" w:space="0"/>
            </w:tcBorders>
            <w:vAlign w:val="center"/>
          </w:tcPr>
          <w:p w14:paraId="5A7B463A">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464203A0">
            <w:pPr>
              <w:widowControl/>
              <w:jc w:val="center"/>
              <w:rPr>
                <w:rFonts w:ascii="宋体" w:hAnsi="宋体" w:cs="宋体"/>
                <w:kern w:val="0"/>
                <w:sz w:val="24"/>
              </w:rPr>
            </w:pPr>
            <w:r>
              <w:rPr>
                <w:rFonts w:hint="eastAsia" w:ascii="宋体" w:hAnsi="宋体" w:cs="宋体"/>
                <w:kern w:val="0"/>
                <w:sz w:val="24"/>
              </w:rPr>
              <w:t>天涯区三亚绕城高速公路北侧</w:t>
            </w:r>
          </w:p>
        </w:tc>
      </w:tr>
      <w:tr w14:paraId="456B26F1">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1248F365">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3AE367F">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1D6D6095">
            <w:pPr>
              <w:widowControl/>
              <w:jc w:val="center"/>
              <w:rPr>
                <w:rFonts w:ascii="宋体" w:hAnsi="宋体" w:cs="宋体"/>
                <w:kern w:val="0"/>
                <w:sz w:val="24"/>
              </w:rPr>
            </w:pPr>
            <w:r>
              <w:rPr>
                <w:rFonts w:hint="eastAsia" w:ascii="宋体" w:hAnsi="宋体" w:cs="宋体"/>
                <w:kern w:val="0"/>
                <w:sz w:val="24"/>
              </w:rPr>
              <w:t>北山森林公园</w:t>
            </w:r>
          </w:p>
        </w:tc>
        <w:tc>
          <w:tcPr>
            <w:tcW w:w="1555" w:type="dxa"/>
            <w:tcBorders>
              <w:top w:val="nil"/>
              <w:left w:val="nil"/>
              <w:bottom w:val="single" w:color="auto" w:sz="4" w:space="0"/>
              <w:right w:val="single" w:color="auto" w:sz="4" w:space="0"/>
            </w:tcBorders>
            <w:vAlign w:val="center"/>
          </w:tcPr>
          <w:p w14:paraId="081F01AF">
            <w:pPr>
              <w:widowControl/>
              <w:jc w:val="center"/>
              <w:rPr>
                <w:kern w:val="0"/>
                <w:sz w:val="24"/>
              </w:rPr>
            </w:pPr>
            <w:r>
              <w:rPr>
                <w:kern w:val="0"/>
                <w:sz w:val="24"/>
              </w:rPr>
              <w:t>512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289049FA">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4272C686">
            <w:pPr>
              <w:widowControl/>
              <w:jc w:val="center"/>
              <w:rPr>
                <w:kern w:val="0"/>
                <w:sz w:val="24"/>
              </w:rPr>
            </w:pPr>
            <w:r>
              <w:rPr>
                <w:kern w:val="0"/>
                <w:sz w:val="24"/>
              </w:rPr>
              <w:t>27000</w:t>
            </w:r>
          </w:p>
        </w:tc>
        <w:tc>
          <w:tcPr>
            <w:tcW w:w="1202" w:type="dxa"/>
            <w:tcBorders>
              <w:top w:val="nil"/>
              <w:left w:val="nil"/>
              <w:bottom w:val="single" w:color="auto" w:sz="4" w:space="0"/>
              <w:right w:val="single" w:color="auto" w:sz="4" w:space="0"/>
            </w:tcBorders>
            <w:vAlign w:val="center"/>
          </w:tcPr>
          <w:p w14:paraId="4836E031">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7C4385A6">
            <w:pPr>
              <w:widowControl/>
              <w:jc w:val="center"/>
              <w:rPr>
                <w:rFonts w:ascii="宋体" w:hAnsi="宋体" w:cs="宋体"/>
                <w:kern w:val="0"/>
                <w:sz w:val="24"/>
              </w:rPr>
            </w:pPr>
            <w:r>
              <w:rPr>
                <w:rFonts w:hint="eastAsia" w:ascii="宋体" w:hAnsi="宋体" w:cs="宋体"/>
                <w:kern w:val="0"/>
                <w:sz w:val="24"/>
              </w:rPr>
              <w:t>海棠区北山村</w:t>
            </w:r>
          </w:p>
        </w:tc>
      </w:tr>
      <w:tr w14:paraId="60E72DEB">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3AC1CC49">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37C6D31A">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619D6A54">
            <w:pPr>
              <w:widowControl/>
              <w:jc w:val="center"/>
              <w:rPr>
                <w:rFonts w:ascii="宋体" w:hAnsi="宋体" w:cs="宋体"/>
                <w:kern w:val="0"/>
                <w:sz w:val="24"/>
              </w:rPr>
            </w:pPr>
            <w:r>
              <w:rPr>
                <w:rFonts w:hint="eastAsia" w:ascii="宋体" w:hAnsi="宋体" w:cs="宋体"/>
                <w:kern w:val="0"/>
                <w:sz w:val="24"/>
              </w:rPr>
              <w:t>凤岭诺丽热带森林公园</w:t>
            </w:r>
          </w:p>
        </w:tc>
        <w:tc>
          <w:tcPr>
            <w:tcW w:w="1555" w:type="dxa"/>
            <w:tcBorders>
              <w:top w:val="nil"/>
              <w:left w:val="nil"/>
              <w:bottom w:val="single" w:color="auto" w:sz="4" w:space="0"/>
              <w:right w:val="single" w:color="auto" w:sz="4" w:space="0"/>
            </w:tcBorders>
            <w:vAlign w:val="center"/>
          </w:tcPr>
          <w:p w14:paraId="6F050935">
            <w:pPr>
              <w:widowControl/>
              <w:jc w:val="center"/>
              <w:rPr>
                <w:kern w:val="0"/>
                <w:sz w:val="24"/>
              </w:rPr>
            </w:pPr>
            <w:r>
              <w:rPr>
                <w:kern w:val="0"/>
                <w:sz w:val="24"/>
              </w:rPr>
              <w:t>11811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2F3F174A">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226D2E0D">
            <w:pPr>
              <w:widowControl/>
              <w:jc w:val="center"/>
              <w:rPr>
                <w:kern w:val="0"/>
                <w:sz w:val="24"/>
              </w:rPr>
            </w:pPr>
            <w:r>
              <w:rPr>
                <w:kern w:val="0"/>
                <w:sz w:val="24"/>
              </w:rPr>
              <w:t>80000</w:t>
            </w:r>
          </w:p>
        </w:tc>
        <w:tc>
          <w:tcPr>
            <w:tcW w:w="1202" w:type="dxa"/>
            <w:tcBorders>
              <w:top w:val="nil"/>
              <w:left w:val="nil"/>
              <w:bottom w:val="single" w:color="auto" w:sz="4" w:space="0"/>
              <w:right w:val="single" w:color="auto" w:sz="4" w:space="0"/>
            </w:tcBorders>
            <w:vAlign w:val="center"/>
          </w:tcPr>
          <w:p w14:paraId="518C7D17">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15A7C96E">
            <w:pPr>
              <w:widowControl/>
              <w:jc w:val="center"/>
              <w:rPr>
                <w:rFonts w:ascii="宋体" w:hAnsi="宋体" w:cs="宋体"/>
                <w:kern w:val="0"/>
                <w:sz w:val="24"/>
              </w:rPr>
            </w:pPr>
            <w:r>
              <w:rPr>
                <w:rFonts w:hint="eastAsia" w:ascii="宋体" w:hAnsi="宋体" w:cs="宋体"/>
                <w:kern w:val="0"/>
                <w:sz w:val="24"/>
              </w:rPr>
              <w:t>崖州区西部岭</w:t>
            </w:r>
          </w:p>
        </w:tc>
      </w:tr>
      <w:tr w14:paraId="63A934E8">
        <w:tblPrEx>
          <w:tblCellMar>
            <w:top w:w="0" w:type="dxa"/>
            <w:left w:w="108" w:type="dxa"/>
            <w:bottom w:w="0" w:type="dxa"/>
            <w:right w:w="108" w:type="dxa"/>
          </w:tblCellMar>
        </w:tblPrEx>
        <w:trPr>
          <w:trHeight w:val="375" w:hRule="atLeast"/>
        </w:trPr>
        <w:tc>
          <w:tcPr>
            <w:tcW w:w="703" w:type="dxa"/>
            <w:vMerge w:val="continue"/>
            <w:tcBorders>
              <w:top w:val="nil"/>
              <w:left w:val="single" w:color="auto" w:sz="4" w:space="0"/>
              <w:bottom w:val="single" w:color="auto" w:sz="4" w:space="0"/>
              <w:right w:val="single" w:color="auto" w:sz="4" w:space="0"/>
            </w:tcBorders>
            <w:vAlign w:val="center"/>
          </w:tcPr>
          <w:p w14:paraId="1FD9699D">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72B56C52">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35098026">
            <w:pPr>
              <w:widowControl/>
              <w:jc w:val="center"/>
              <w:rPr>
                <w:rFonts w:ascii="宋体" w:hAnsi="宋体" w:cs="宋体"/>
                <w:kern w:val="0"/>
                <w:sz w:val="24"/>
              </w:rPr>
            </w:pPr>
            <w:r>
              <w:rPr>
                <w:rFonts w:hint="eastAsia" w:ascii="宋体" w:hAnsi="宋体" w:cs="宋体"/>
                <w:kern w:val="0"/>
                <w:sz w:val="24"/>
              </w:rPr>
              <w:t>三亚阜尖岭森林公园</w:t>
            </w:r>
          </w:p>
        </w:tc>
        <w:tc>
          <w:tcPr>
            <w:tcW w:w="1555" w:type="dxa"/>
            <w:tcBorders>
              <w:top w:val="nil"/>
              <w:left w:val="nil"/>
              <w:bottom w:val="single" w:color="auto" w:sz="4" w:space="0"/>
              <w:right w:val="single" w:color="auto" w:sz="4" w:space="0"/>
            </w:tcBorders>
            <w:vAlign w:val="center"/>
          </w:tcPr>
          <w:p w14:paraId="4885FD1C">
            <w:pPr>
              <w:widowControl/>
              <w:jc w:val="center"/>
              <w:rPr>
                <w:kern w:val="0"/>
                <w:sz w:val="24"/>
              </w:rPr>
            </w:pPr>
            <w:r>
              <w:rPr>
                <w:kern w:val="0"/>
                <w:sz w:val="24"/>
              </w:rPr>
              <w:t>660 hm</w:t>
            </w:r>
            <w:r>
              <w:rPr>
                <w:kern w:val="0"/>
                <w:sz w:val="24"/>
                <w:vertAlign w:val="superscript"/>
              </w:rPr>
              <w:t>2</w:t>
            </w:r>
          </w:p>
        </w:tc>
        <w:tc>
          <w:tcPr>
            <w:tcW w:w="881" w:type="dxa"/>
            <w:tcBorders>
              <w:top w:val="nil"/>
              <w:left w:val="nil"/>
              <w:bottom w:val="single" w:color="auto" w:sz="4" w:space="0"/>
              <w:right w:val="single" w:color="auto" w:sz="4" w:space="0"/>
            </w:tcBorders>
            <w:vAlign w:val="center"/>
          </w:tcPr>
          <w:p w14:paraId="574BE3B4">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156B43A4">
            <w:pPr>
              <w:widowControl/>
              <w:jc w:val="center"/>
              <w:rPr>
                <w:kern w:val="0"/>
                <w:sz w:val="24"/>
              </w:rPr>
            </w:pPr>
            <w:r>
              <w:rPr>
                <w:kern w:val="0"/>
                <w:sz w:val="24"/>
              </w:rPr>
              <w:t>150000</w:t>
            </w:r>
          </w:p>
        </w:tc>
        <w:tc>
          <w:tcPr>
            <w:tcW w:w="1202" w:type="dxa"/>
            <w:tcBorders>
              <w:top w:val="nil"/>
              <w:left w:val="nil"/>
              <w:bottom w:val="single" w:color="auto" w:sz="4" w:space="0"/>
              <w:right w:val="single" w:color="auto" w:sz="4" w:space="0"/>
            </w:tcBorders>
            <w:vAlign w:val="center"/>
          </w:tcPr>
          <w:p w14:paraId="4F0E967C">
            <w:pPr>
              <w:widowControl/>
              <w:jc w:val="center"/>
              <w:rPr>
                <w:rFonts w:ascii="宋体" w:hAnsi="宋体" w:cs="宋体"/>
                <w:kern w:val="0"/>
                <w:sz w:val="24"/>
              </w:rPr>
            </w:pPr>
            <w:r>
              <w:rPr>
                <w:rFonts w:hint="eastAsia" w:ascii="宋体" w:hAnsi="宋体" w:cs="宋体"/>
                <w:kern w:val="0"/>
                <w:sz w:val="24"/>
              </w:rPr>
              <w:t>社会投资</w:t>
            </w:r>
          </w:p>
        </w:tc>
        <w:tc>
          <w:tcPr>
            <w:tcW w:w="3051" w:type="dxa"/>
            <w:tcBorders>
              <w:top w:val="nil"/>
              <w:left w:val="nil"/>
              <w:bottom w:val="single" w:color="auto" w:sz="4" w:space="0"/>
              <w:right w:val="single" w:color="auto" w:sz="4" w:space="0"/>
            </w:tcBorders>
            <w:vAlign w:val="center"/>
          </w:tcPr>
          <w:p w14:paraId="7DAFFDD1">
            <w:pPr>
              <w:widowControl/>
              <w:jc w:val="center"/>
              <w:rPr>
                <w:rFonts w:ascii="宋体" w:hAnsi="宋体" w:cs="宋体"/>
                <w:kern w:val="0"/>
                <w:sz w:val="24"/>
              </w:rPr>
            </w:pPr>
            <w:r>
              <w:rPr>
                <w:rFonts w:hint="eastAsia" w:ascii="宋体" w:hAnsi="宋体" w:cs="宋体"/>
                <w:kern w:val="0"/>
                <w:sz w:val="24"/>
              </w:rPr>
              <w:t>育才生态区阜尖岭</w:t>
            </w:r>
          </w:p>
        </w:tc>
      </w:tr>
      <w:tr w14:paraId="683950D7">
        <w:tblPrEx>
          <w:tblCellMar>
            <w:top w:w="0" w:type="dxa"/>
            <w:left w:w="108" w:type="dxa"/>
            <w:bottom w:w="0" w:type="dxa"/>
            <w:right w:w="108" w:type="dxa"/>
          </w:tblCellMar>
        </w:tblPrEx>
        <w:trPr>
          <w:trHeight w:val="315" w:hRule="atLeast"/>
        </w:trPr>
        <w:tc>
          <w:tcPr>
            <w:tcW w:w="703" w:type="dxa"/>
            <w:vMerge w:val="continue"/>
            <w:tcBorders>
              <w:top w:val="nil"/>
              <w:left w:val="single" w:color="auto" w:sz="4" w:space="0"/>
              <w:bottom w:val="single" w:color="auto" w:sz="4" w:space="0"/>
              <w:right w:val="single" w:color="auto" w:sz="4" w:space="0"/>
            </w:tcBorders>
            <w:vAlign w:val="center"/>
          </w:tcPr>
          <w:p w14:paraId="6D5F9D64">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82601DD">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35222A91">
            <w:pPr>
              <w:widowControl/>
              <w:jc w:val="center"/>
              <w:rPr>
                <w:rFonts w:ascii="宋体" w:hAnsi="宋体" w:cs="宋体"/>
                <w:kern w:val="0"/>
                <w:sz w:val="24"/>
              </w:rPr>
            </w:pPr>
            <w:r>
              <w:rPr>
                <w:rFonts w:hint="eastAsia" w:ascii="宋体" w:hAnsi="宋体" w:cs="宋体"/>
                <w:kern w:val="0"/>
                <w:sz w:val="24"/>
              </w:rPr>
              <w:t>生态保护网络工程</w:t>
            </w:r>
          </w:p>
        </w:tc>
        <w:tc>
          <w:tcPr>
            <w:tcW w:w="1555" w:type="dxa"/>
            <w:tcBorders>
              <w:top w:val="nil"/>
              <w:left w:val="nil"/>
              <w:bottom w:val="single" w:color="auto" w:sz="4" w:space="0"/>
              <w:right w:val="single" w:color="auto" w:sz="4" w:space="0"/>
            </w:tcBorders>
            <w:vAlign w:val="center"/>
          </w:tcPr>
          <w:p w14:paraId="7AC7C7C0">
            <w:pPr>
              <w:widowControl/>
              <w:jc w:val="center"/>
              <w:rPr>
                <w:kern w:val="0"/>
                <w:sz w:val="24"/>
              </w:rPr>
            </w:pPr>
            <w:r>
              <w:rPr>
                <w:kern w:val="0"/>
                <w:sz w:val="24"/>
              </w:rPr>
              <w:t>—</w:t>
            </w:r>
          </w:p>
        </w:tc>
        <w:tc>
          <w:tcPr>
            <w:tcW w:w="881" w:type="dxa"/>
            <w:tcBorders>
              <w:top w:val="nil"/>
              <w:left w:val="nil"/>
              <w:bottom w:val="single" w:color="auto" w:sz="4" w:space="0"/>
              <w:right w:val="single" w:color="auto" w:sz="4" w:space="0"/>
            </w:tcBorders>
            <w:vAlign w:val="center"/>
          </w:tcPr>
          <w:p w14:paraId="5D47111A">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0A67F222">
            <w:pPr>
              <w:widowControl/>
              <w:jc w:val="center"/>
              <w:rPr>
                <w:kern w:val="0"/>
                <w:sz w:val="24"/>
              </w:rPr>
            </w:pPr>
            <w:r>
              <w:rPr>
                <w:kern w:val="0"/>
                <w:sz w:val="24"/>
              </w:rPr>
              <w:t>1000</w:t>
            </w:r>
          </w:p>
        </w:tc>
        <w:tc>
          <w:tcPr>
            <w:tcW w:w="1202" w:type="dxa"/>
            <w:tcBorders>
              <w:top w:val="nil"/>
              <w:left w:val="nil"/>
              <w:bottom w:val="single" w:color="auto" w:sz="4" w:space="0"/>
              <w:right w:val="single" w:color="auto" w:sz="4" w:space="0"/>
            </w:tcBorders>
            <w:vAlign w:val="center"/>
          </w:tcPr>
          <w:p w14:paraId="50C0B41A">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0BCA3AAA">
            <w:pPr>
              <w:widowControl/>
              <w:jc w:val="center"/>
              <w:rPr>
                <w:rFonts w:ascii="宋体" w:hAnsi="宋体" w:cs="宋体"/>
                <w:kern w:val="0"/>
                <w:sz w:val="24"/>
              </w:rPr>
            </w:pPr>
            <w:r>
              <w:rPr>
                <w:rFonts w:hint="eastAsia" w:ascii="宋体" w:hAnsi="宋体" w:cs="宋体"/>
                <w:kern w:val="0"/>
                <w:sz w:val="24"/>
              </w:rPr>
              <w:t>各风景区</w:t>
            </w:r>
          </w:p>
        </w:tc>
      </w:tr>
      <w:tr w14:paraId="6DD8CF0C">
        <w:tblPrEx>
          <w:tblCellMar>
            <w:top w:w="0" w:type="dxa"/>
            <w:left w:w="108" w:type="dxa"/>
            <w:bottom w:w="0" w:type="dxa"/>
            <w:right w:w="108" w:type="dxa"/>
          </w:tblCellMar>
        </w:tblPrEx>
        <w:trPr>
          <w:trHeight w:val="315" w:hRule="atLeast"/>
        </w:trPr>
        <w:tc>
          <w:tcPr>
            <w:tcW w:w="703" w:type="dxa"/>
            <w:vMerge w:val="continue"/>
            <w:tcBorders>
              <w:top w:val="nil"/>
              <w:left w:val="single" w:color="auto" w:sz="4" w:space="0"/>
              <w:bottom w:val="single" w:color="auto" w:sz="4" w:space="0"/>
              <w:right w:val="single" w:color="auto" w:sz="4" w:space="0"/>
            </w:tcBorders>
            <w:vAlign w:val="center"/>
          </w:tcPr>
          <w:p w14:paraId="79DF3413">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2DDB34B">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0E33F76D">
            <w:pPr>
              <w:widowControl/>
              <w:jc w:val="center"/>
              <w:rPr>
                <w:rFonts w:ascii="宋体" w:hAnsi="宋体" w:cs="宋体"/>
                <w:kern w:val="0"/>
                <w:sz w:val="24"/>
              </w:rPr>
            </w:pPr>
            <w:r>
              <w:rPr>
                <w:rFonts w:hint="eastAsia" w:ascii="宋体" w:hAnsi="宋体" w:cs="宋体"/>
                <w:kern w:val="0"/>
                <w:sz w:val="24"/>
              </w:rPr>
              <w:t>国家中医药健康旅游示范基地</w:t>
            </w:r>
          </w:p>
        </w:tc>
        <w:tc>
          <w:tcPr>
            <w:tcW w:w="1555" w:type="dxa"/>
            <w:tcBorders>
              <w:top w:val="nil"/>
              <w:left w:val="nil"/>
              <w:bottom w:val="single" w:color="auto" w:sz="4" w:space="0"/>
              <w:right w:val="single" w:color="auto" w:sz="4" w:space="0"/>
            </w:tcBorders>
            <w:vAlign w:val="center"/>
          </w:tcPr>
          <w:p w14:paraId="7AA7C665">
            <w:pPr>
              <w:widowControl/>
              <w:jc w:val="center"/>
              <w:rPr>
                <w:kern w:val="0"/>
                <w:sz w:val="24"/>
              </w:rPr>
            </w:pPr>
            <w:r>
              <w:rPr>
                <w:kern w:val="0"/>
                <w:sz w:val="24"/>
              </w:rPr>
              <w:t>—</w:t>
            </w:r>
          </w:p>
        </w:tc>
        <w:tc>
          <w:tcPr>
            <w:tcW w:w="881" w:type="dxa"/>
            <w:tcBorders>
              <w:top w:val="nil"/>
              <w:left w:val="nil"/>
              <w:bottom w:val="single" w:color="auto" w:sz="4" w:space="0"/>
              <w:right w:val="single" w:color="auto" w:sz="4" w:space="0"/>
            </w:tcBorders>
            <w:vAlign w:val="center"/>
          </w:tcPr>
          <w:p w14:paraId="11731192">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0675D1B4">
            <w:pPr>
              <w:widowControl/>
              <w:jc w:val="center"/>
              <w:rPr>
                <w:kern w:val="0"/>
                <w:sz w:val="24"/>
              </w:rPr>
            </w:pPr>
            <w:r>
              <w:rPr>
                <w:kern w:val="0"/>
                <w:sz w:val="24"/>
              </w:rPr>
              <w:t>1000</w:t>
            </w:r>
            <w:r>
              <w:rPr>
                <w:rFonts w:hint="eastAsia"/>
                <w:kern w:val="0"/>
                <w:sz w:val="24"/>
              </w:rPr>
              <w:t>0</w:t>
            </w:r>
          </w:p>
        </w:tc>
        <w:tc>
          <w:tcPr>
            <w:tcW w:w="1202" w:type="dxa"/>
            <w:tcBorders>
              <w:top w:val="nil"/>
              <w:left w:val="nil"/>
              <w:bottom w:val="single" w:color="auto" w:sz="4" w:space="0"/>
              <w:right w:val="single" w:color="auto" w:sz="4" w:space="0"/>
            </w:tcBorders>
            <w:vAlign w:val="center"/>
          </w:tcPr>
          <w:p w14:paraId="70FA9AB0">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590D49E6">
            <w:pPr>
              <w:widowControl/>
              <w:jc w:val="center"/>
              <w:rPr>
                <w:rFonts w:ascii="宋体" w:hAnsi="宋体" w:cs="宋体"/>
                <w:kern w:val="0"/>
                <w:sz w:val="24"/>
              </w:rPr>
            </w:pPr>
            <w:r>
              <w:rPr>
                <w:rFonts w:hint="eastAsia" w:ascii="宋体" w:hAnsi="宋体" w:cs="宋体"/>
                <w:kern w:val="0"/>
                <w:sz w:val="24"/>
              </w:rPr>
              <w:t>美丽乡村等地</w:t>
            </w:r>
          </w:p>
        </w:tc>
      </w:tr>
      <w:tr w14:paraId="43841F4B">
        <w:tblPrEx>
          <w:tblCellMar>
            <w:top w:w="0" w:type="dxa"/>
            <w:left w:w="108" w:type="dxa"/>
            <w:bottom w:w="0" w:type="dxa"/>
            <w:right w:w="108" w:type="dxa"/>
          </w:tblCellMar>
        </w:tblPrEx>
        <w:trPr>
          <w:trHeight w:val="315" w:hRule="atLeast"/>
        </w:trPr>
        <w:tc>
          <w:tcPr>
            <w:tcW w:w="703" w:type="dxa"/>
            <w:vMerge w:val="continue"/>
            <w:tcBorders>
              <w:top w:val="nil"/>
              <w:left w:val="single" w:color="auto" w:sz="4" w:space="0"/>
              <w:bottom w:val="single" w:color="auto" w:sz="4" w:space="0"/>
              <w:right w:val="single" w:color="auto" w:sz="4" w:space="0"/>
            </w:tcBorders>
            <w:vAlign w:val="center"/>
          </w:tcPr>
          <w:p w14:paraId="318BFF0A">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62C3E9E3">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10F09FB4">
            <w:pPr>
              <w:widowControl/>
              <w:jc w:val="center"/>
              <w:rPr>
                <w:rFonts w:ascii="宋体" w:hAnsi="宋体" w:cs="宋体"/>
                <w:kern w:val="0"/>
                <w:sz w:val="24"/>
              </w:rPr>
            </w:pPr>
            <w:r>
              <w:rPr>
                <w:rFonts w:hint="eastAsia" w:ascii="宋体" w:hAnsi="宋体" w:cs="宋体"/>
                <w:kern w:val="0"/>
                <w:sz w:val="24"/>
              </w:rPr>
              <w:t>综合性热带森林康养基地</w:t>
            </w:r>
          </w:p>
        </w:tc>
        <w:tc>
          <w:tcPr>
            <w:tcW w:w="1555" w:type="dxa"/>
            <w:tcBorders>
              <w:top w:val="nil"/>
              <w:left w:val="nil"/>
              <w:bottom w:val="single" w:color="auto" w:sz="4" w:space="0"/>
              <w:right w:val="single" w:color="auto" w:sz="4" w:space="0"/>
            </w:tcBorders>
            <w:vAlign w:val="center"/>
          </w:tcPr>
          <w:p w14:paraId="7A2B87FD">
            <w:pPr>
              <w:widowControl/>
              <w:jc w:val="center"/>
              <w:rPr>
                <w:kern w:val="0"/>
                <w:sz w:val="24"/>
              </w:rPr>
            </w:pPr>
            <w:r>
              <w:rPr>
                <w:kern w:val="0"/>
                <w:sz w:val="24"/>
              </w:rPr>
              <w:t>—</w:t>
            </w:r>
          </w:p>
        </w:tc>
        <w:tc>
          <w:tcPr>
            <w:tcW w:w="881" w:type="dxa"/>
            <w:tcBorders>
              <w:top w:val="nil"/>
              <w:left w:val="nil"/>
              <w:bottom w:val="single" w:color="auto" w:sz="4" w:space="0"/>
              <w:right w:val="single" w:color="auto" w:sz="4" w:space="0"/>
            </w:tcBorders>
            <w:vAlign w:val="center"/>
          </w:tcPr>
          <w:p w14:paraId="730CFFAD">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54B978F9">
            <w:pPr>
              <w:widowControl/>
              <w:jc w:val="center"/>
              <w:rPr>
                <w:kern w:val="0"/>
                <w:sz w:val="24"/>
              </w:rPr>
            </w:pPr>
            <w:r>
              <w:rPr>
                <w:kern w:val="0"/>
                <w:sz w:val="24"/>
              </w:rPr>
              <w:t>1000</w:t>
            </w:r>
          </w:p>
        </w:tc>
        <w:tc>
          <w:tcPr>
            <w:tcW w:w="1202" w:type="dxa"/>
            <w:tcBorders>
              <w:top w:val="nil"/>
              <w:left w:val="nil"/>
              <w:bottom w:val="single" w:color="auto" w:sz="4" w:space="0"/>
              <w:right w:val="single" w:color="auto" w:sz="4" w:space="0"/>
            </w:tcBorders>
            <w:vAlign w:val="center"/>
          </w:tcPr>
          <w:p w14:paraId="6A62BC4D">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68DEB9A0">
            <w:pPr>
              <w:widowControl/>
              <w:jc w:val="center"/>
              <w:rPr>
                <w:rFonts w:ascii="宋体" w:hAnsi="宋体" w:cs="宋体"/>
                <w:kern w:val="0"/>
                <w:sz w:val="24"/>
              </w:rPr>
            </w:pPr>
            <w:r>
              <w:rPr>
                <w:rFonts w:hint="eastAsia" w:ascii="宋体" w:hAnsi="宋体" w:cs="宋体"/>
                <w:kern w:val="0"/>
                <w:sz w:val="24"/>
              </w:rPr>
              <w:t>全市范围</w:t>
            </w:r>
          </w:p>
        </w:tc>
      </w:tr>
      <w:tr w14:paraId="51E8CCD8">
        <w:tblPrEx>
          <w:tblCellMar>
            <w:top w:w="0" w:type="dxa"/>
            <w:left w:w="108" w:type="dxa"/>
            <w:bottom w:w="0" w:type="dxa"/>
            <w:right w:w="108" w:type="dxa"/>
          </w:tblCellMar>
        </w:tblPrEx>
        <w:trPr>
          <w:trHeight w:val="315" w:hRule="atLeast"/>
        </w:trPr>
        <w:tc>
          <w:tcPr>
            <w:tcW w:w="703" w:type="dxa"/>
            <w:vMerge w:val="continue"/>
            <w:tcBorders>
              <w:top w:val="nil"/>
              <w:left w:val="single" w:color="auto" w:sz="4" w:space="0"/>
              <w:bottom w:val="single" w:color="auto" w:sz="4" w:space="0"/>
              <w:right w:val="single" w:color="auto" w:sz="4" w:space="0"/>
            </w:tcBorders>
            <w:vAlign w:val="center"/>
          </w:tcPr>
          <w:p w14:paraId="3EB156DD">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345E353A">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1D2CBCDA">
            <w:pPr>
              <w:widowControl/>
              <w:jc w:val="center"/>
              <w:rPr>
                <w:rFonts w:ascii="宋体" w:hAnsi="宋体" w:cs="宋体"/>
                <w:kern w:val="0"/>
                <w:sz w:val="24"/>
              </w:rPr>
            </w:pPr>
            <w:r>
              <w:rPr>
                <w:rFonts w:hint="eastAsia" w:ascii="宋体" w:hAnsi="宋体" w:cs="宋体"/>
                <w:kern w:val="0"/>
                <w:sz w:val="24"/>
              </w:rPr>
              <w:t>完善森林康养基础设施</w:t>
            </w:r>
          </w:p>
        </w:tc>
        <w:tc>
          <w:tcPr>
            <w:tcW w:w="1555" w:type="dxa"/>
            <w:tcBorders>
              <w:top w:val="nil"/>
              <w:left w:val="nil"/>
              <w:bottom w:val="single" w:color="auto" w:sz="4" w:space="0"/>
              <w:right w:val="single" w:color="auto" w:sz="4" w:space="0"/>
            </w:tcBorders>
            <w:vAlign w:val="center"/>
          </w:tcPr>
          <w:p w14:paraId="5855B54F">
            <w:pPr>
              <w:widowControl/>
              <w:jc w:val="center"/>
              <w:rPr>
                <w:kern w:val="0"/>
                <w:sz w:val="24"/>
              </w:rPr>
            </w:pPr>
            <w:r>
              <w:rPr>
                <w:kern w:val="0"/>
                <w:sz w:val="24"/>
              </w:rPr>
              <w:t>—</w:t>
            </w:r>
          </w:p>
        </w:tc>
        <w:tc>
          <w:tcPr>
            <w:tcW w:w="881" w:type="dxa"/>
            <w:tcBorders>
              <w:top w:val="nil"/>
              <w:left w:val="nil"/>
              <w:bottom w:val="single" w:color="auto" w:sz="4" w:space="0"/>
              <w:right w:val="single" w:color="auto" w:sz="4" w:space="0"/>
            </w:tcBorders>
            <w:vAlign w:val="center"/>
          </w:tcPr>
          <w:p w14:paraId="6B1987CA">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4D7B4665">
            <w:pPr>
              <w:widowControl/>
              <w:jc w:val="center"/>
              <w:rPr>
                <w:kern w:val="0"/>
                <w:sz w:val="24"/>
              </w:rPr>
            </w:pPr>
            <w:r>
              <w:rPr>
                <w:kern w:val="0"/>
                <w:sz w:val="24"/>
              </w:rPr>
              <w:t>1000</w:t>
            </w:r>
          </w:p>
        </w:tc>
        <w:tc>
          <w:tcPr>
            <w:tcW w:w="1202" w:type="dxa"/>
            <w:tcBorders>
              <w:top w:val="nil"/>
              <w:left w:val="nil"/>
              <w:bottom w:val="single" w:color="auto" w:sz="4" w:space="0"/>
              <w:right w:val="single" w:color="auto" w:sz="4" w:space="0"/>
            </w:tcBorders>
            <w:vAlign w:val="center"/>
          </w:tcPr>
          <w:p w14:paraId="0D486DD5">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2EAA2F64">
            <w:pPr>
              <w:widowControl/>
              <w:jc w:val="center"/>
              <w:rPr>
                <w:rFonts w:ascii="宋体" w:hAnsi="宋体" w:cs="宋体"/>
                <w:kern w:val="0"/>
                <w:sz w:val="24"/>
              </w:rPr>
            </w:pPr>
            <w:r>
              <w:rPr>
                <w:rFonts w:hint="eastAsia" w:ascii="宋体" w:hAnsi="宋体" w:cs="宋体"/>
                <w:kern w:val="0"/>
                <w:sz w:val="24"/>
              </w:rPr>
              <w:t>全市范围</w:t>
            </w:r>
          </w:p>
        </w:tc>
      </w:tr>
      <w:tr w14:paraId="77EB8B1E">
        <w:tblPrEx>
          <w:tblCellMar>
            <w:top w:w="0" w:type="dxa"/>
            <w:left w:w="108" w:type="dxa"/>
            <w:bottom w:w="0" w:type="dxa"/>
            <w:right w:w="108" w:type="dxa"/>
          </w:tblCellMar>
        </w:tblPrEx>
        <w:trPr>
          <w:trHeight w:val="315" w:hRule="atLeast"/>
        </w:trPr>
        <w:tc>
          <w:tcPr>
            <w:tcW w:w="703" w:type="dxa"/>
            <w:vMerge w:val="continue"/>
            <w:tcBorders>
              <w:top w:val="nil"/>
              <w:left w:val="single" w:color="auto" w:sz="4" w:space="0"/>
              <w:bottom w:val="single" w:color="auto" w:sz="4" w:space="0"/>
              <w:right w:val="single" w:color="auto" w:sz="4" w:space="0"/>
            </w:tcBorders>
            <w:vAlign w:val="center"/>
          </w:tcPr>
          <w:p w14:paraId="6B07592D">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3F503F8">
            <w:pPr>
              <w:widowControl/>
              <w:jc w:val="left"/>
              <w:rPr>
                <w:rFonts w:ascii="宋体" w:hAnsi="宋体" w:cs="宋体"/>
                <w:kern w:val="0"/>
                <w:sz w:val="24"/>
              </w:rPr>
            </w:pPr>
          </w:p>
        </w:tc>
        <w:tc>
          <w:tcPr>
            <w:tcW w:w="3578" w:type="dxa"/>
            <w:tcBorders>
              <w:top w:val="nil"/>
              <w:left w:val="nil"/>
              <w:bottom w:val="single" w:color="auto" w:sz="4" w:space="0"/>
              <w:right w:val="single" w:color="auto" w:sz="4" w:space="0"/>
            </w:tcBorders>
            <w:vAlign w:val="center"/>
          </w:tcPr>
          <w:p w14:paraId="39A5F4DF">
            <w:pPr>
              <w:widowControl/>
              <w:jc w:val="center"/>
              <w:rPr>
                <w:rFonts w:ascii="宋体" w:hAnsi="宋体" w:cs="宋体"/>
                <w:kern w:val="0"/>
                <w:sz w:val="24"/>
              </w:rPr>
            </w:pPr>
            <w:r>
              <w:rPr>
                <w:rFonts w:hint="eastAsia" w:ascii="宋体" w:hAnsi="宋体" w:cs="宋体"/>
                <w:kern w:val="0"/>
                <w:sz w:val="24"/>
              </w:rPr>
              <w:t>加强森林康养人才建设</w:t>
            </w:r>
            <w:r>
              <w:rPr>
                <w:kern w:val="0"/>
                <w:sz w:val="24"/>
              </w:rPr>
              <w:t xml:space="preserve"> </w:t>
            </w:r>
          </w:p>
        </w:tc>
        <w:tc>
          <w:tcPr>
            <w:tcW w:w="1555" w:type="dxa"/>
            <w:tcBorders>
              <w:top w:val="nil"/>
              <w:left w:val="nil"/>
              <w:bottom w:val="single" w:color="auto" w:sz="4" w:space="0"/>
              <w:right w:val="single" w:color="auto" w:sz="4" w:space="0"/>
            </w:tcBorders>
            <w:vAlign w:val="center"/>
          </w:tcPr>
          <w:p w14:paraId="2EAFD632">
            <w:pPr>
              <w:widowControl/>
              <w:jc w:val="center"/>
              <w:rPr>
                <w:kern w:val="0"/>
                <w:sz w:val="24"/>
              </w:rPr>
            </w:pPr>
            <w:r>
              <w:rPr>
                <w:kern w:val="0"/>
                <w:sz w:val="24"/>
              </w:rPr>
              <w:t>—</w:t>
            </w:r>
          </w:p>
        </w:tc>
        <w:tc>
          <w:tcPr>
            <w:tcW w:w="881" w:type="dxa"/>
            <w:tcBorders>
              <w:top w:val="nil"/>
              <w:left w:val="nil"/>
              <w:bottom w:val="single" w:color="auto" w:sz="4" w:space="0"/>
              <w:right w:val="single" w:color="auto" w:sz="4" w:space="0"/>
            </w:tcBorders>
            <w:vAlign w:val="center"/>
          </w:tcPr>
          <w:p w14:paraId="2AB90512">
            <w:pPr>
              <w:widowControl/>
              <w:jc w:val="center"/>
              <w:rPr>
                <w:rFonts w:ascii="宋体" w:hAnsi="宋体" w:cs="宋体"/>
                <w:kern w:val="0"/>
                <w:sz w:val="24"/>
              </w:rPr>
            </w:pPr>
            <w:r>
              <w:rPr>
                <w:rFonts w:hint="eastAsia" w:ascii="宋体" w:hAnsi="宋体" w:cs="宋体"/>
                <w:kern w:val="0"/>
                <w:sz w:val="24"/>
              </w:rPr>
              <w:t>新建</w:t>
            </w:r>
          </w:p>
        </w:tc>
        <w:tc>
          <w:tcPr>
            <w:tcW w:w="1357" w:type="dxa"/>
            <w:tcBorders>
              <w:top w:val="nil"/>
              <w:left w:val="nil"/>
              <w:bottom w:val="single" w:color="auto" w:sz="4" w:space="0"/>
              <w:right w:val="single" w:color="auto" w:sz="4" w:space="0"/>
            </w:tcBorders>
            <w:vAlign w:val="center"/>
          </w:tcPr>
          <w:p w14:paraId="17045344">
            <w:pPr>
              <w:widowControl/>
              <w:jc w:val="center"/>
              <w:rPr>
                <w:kern w:val="0"/>
                <w:sz w:val="24"/>
              </w:rPr>
            </w:pPr>
            <w:r>
              <w:rPr>
                <w:kern w:val="0"/>
                <w:sz w:val="24"/>
              </w:rPr>
              <w:t>1000</w:t>
            </w:r>
          </w:p>
        </w:tc>
        <w:tc>
          <w:tcPr>
            <w:tcW w:w="1202" w:type="dxa"/>
            <w:tcBorders>
              <w:top w:val="nil"/>
              <w:left w:val="nil"/>
              <w:bottom w:val="single" w:color="auto" w:sz="4" w:space="0"/>
              <w:right w:val="single" w:color="auto" w:sz="4" w:space="0"/>
            </w:tcBorders>
            <w:vAlign w:val="center"/>
          </w:tcPr>
          <w:p w14:paraId="1BFB155F">
            <w:pPr>
              <w:widowControl/>
              <w:jc w:val="center"/>
              <w:rPr>
                <w:rFonts w:ascii="宋体" w:hAnsi="宋体" w:cs="宋体"/>
                <w:kern w:val="0"/>
                <w:sz w:val="24"/>
              </w:rPr>
            </w:pPr>
            <w:r>
              <w:rPr>
                <w:rFonts w:hint="eastAsia" w:ascii="宋体" w:hAnsi="宋体" w:cs="宋体"/>
                <w:kern w:val="0"/>
                <w:sz w:val="24"/>
              </w:rPr>
              <w:t>政府投资社会投资</w:t>
            </w:r>
          </w:p>
        </w:tc>
        <w:tc>
          <w:tcPr>
            <w:tcW w:w="3051" w:type="dxa"/>
            <w:tcBorders>
              <w:top w:val="nil"/>
              <w:left w:val="nil"/>
              <w:bottom w:val="single" w:color="auto" w:sz="4" w:space="0"/>
              <w:right w:val="single" w:color="auto" w:sz="4" w:space="0"/>
            </w:tcBorders>
            <w:vAlign w:val="center"/>
          </w:tcPr>
          <w:p w14:paraId="0A6FA3CC">
            <w:pPr>
              <w:widowControl/>
              <w:jc w:val="center"/>
              <w:rPr>
                <w:rFonts w:ascii="宋体" w:hAnsi="宋体" w:cs="宋体"/>
                <w:kern w:val="0"/>
                <w:sz w:val="24"/>
              </w:rPr>
            </w:pPr>
            <w:r>
              <w:rPr>
                <w:rFonts w:hint="eastAsia" w:ascii="宋体" w:hAnsi="宋体" w:cs="宋体"/>
                <w:kern w:val="0"/>
                <w:sz w:val="24"/>
              </w:rPr>
              <w:t>全市范围</w:t>
            </w:r>
          </w:p>
        </w:tc>
      </w:tr>
      <w:tr w14:paraId="0E94BADF">
        <w:tblPrEx>
          <w:tblCellMar>
            <w:top w:w="0" w:type="dxa"/>
            <w:left w:w="108" w:type="dxa"/>
            <w:bottom w:w="0" w:type="dxa"/>
            <w:right w:w="108" w:type="dxa"/>
          </w:tblCellMar>
        </w:tblPrEx>
        <w:trPr>
          <w:trHeight w:val="315" w:hRule="atLeast"/>
        </w:trPr>
        <w:tc>
          <w:tcPr>
            <w:tcW w:w="703" w:type="dxa"/>
            <w:vMerge w:val="continue"/>
            <w:tcBorders>
              <w:top w:val="nil"/>
              <w:left w:val="single" w:color="auto" w:sz="4" w:space="0"/>
              <w:bottom w:val="single" w:color="auto" w:sz="4" w:space="0"/>
              <w:right w:val="single" w:color="auto" w:sz="4" w:space="0"/>
            </w:tcBorders>
            <w:vAlign w:val="center"/>
          </w:tcPr>
          <w:p w14:paraId="2244FF14">
            <w:pPr>
              <w:widowControl/>
              <w:jc w:val="left"/>
              <w:rPr>
                <w:kern w:val="0"/>
                <w:sz w:val="24"/>
              </w:rPr>
            </w:pPr>
          </w:p>
        </w:tc>
        <w:tc>
          <w:tcPr>
            <w:tcW w:w="6679" w:type="dxa"/>
            <w:gridSpan w:val="3"/>
            <w:tcBorders>
              <w:top w:val="single" w:color="auto" w:sz="4" w:space="0"/>
              <w:left w:val="nil"/>
              <w:bottom w:val="single" w:color="auto" w:sz="4" w:space="0"/>
              <w:right w:val="single" w:color="auto" w:sz="4" w:space="0"/>
            </w:tcBorders>
            <w:vAlign w:val="center"/>
          </w:tcPr>
          <w:p w14:paraId="4BFA5B6F">
            <w:pPr>
              <w:widowControl/>
              <w:jc w:val="center"/>
              <w:rPr>
                <w:rFonts w:ascii="宋体" w:hAnsi="宋体" w:cs="宋体"/>
                <w:b/>
                <w:bCs/>
                <w:kern w:val="0"/>
                <w:sz w:val="24"/>
              </w:rPr>
            </w:pPr>
            <w:r>
              <w:rPr>
                <w:rFonts w:hint="eastAsia" w:ascii="宋体" w:hAnsi="宋体" w:cs="宋体"/>
                <w:b/>
                <w:bCs/>
                <w:kern w:val="0"/>
                <w:sz w:val="24"/>
              </w:rPr>
              <w:t>小计</w:t>
            </w:r>
          </w:p>
        </w:tc>
        <w:tc>
          <w:tcPr>
            <w:tcW w:w="881" w:type="dxa"/>
            <w:tcBorders>
              <w:top w:val="nil"/>
              <w:left w:val="nil"/>
              <w:bottom w:val="single" w:color="auto" w:sz="4" w:space="0"/>
              <w:right w:val="single" w:color="auto" w:sz="4" w:space="0"/>
            </w:tcBorders>
            <w:vAlign w:val="center"/>
          </w:tcPr>
          <w:p w14:paraId="5E92A1DD">
            <w:pPr>
              <w:widowControl/>
              <w:jc w:val="center"/>
              <w:rPr>
                <w:b/>
                <w:bCs/>
                <w:kern w:val="0"/>
                <w:sz w:val="24"/>
              </w:rPr>
            </w:pPr>
            <w:r>
              <w:rPr>
                <w:b/>
                <w:bCs/>
                <w:kern w:val="0"/>
                <w:sz w:val="24"/>
              </w:rPr>
              <w:t>　</w:t>
            </w:r>
          </w:p>
        </w:tc>
        <w:tc>
          <w:tcPr>
            <w:tcW w:w="1357" w:type="dxa"/>
            <w:tcBorders>
              <w:top w:val="nil"/>
              <w:left w:val="nil"/>
              <w:bottom w:val="single" w:color="auto" w:sz="4" w:space="0"/>
              <w:right w:val="single" w:color="auto" w:sz="4" w:space="0"/>
            </w:tcBorders>
            <w:vAlign w:val="center"/>
          </w:tcPr>
          <w:p w14:paraId="3A5894BF">
            <w:pPr>
              <w:widowControl/>
              <w:jc w:val="center"/>
              <w:rPr>
                <w:b/>
                <w:bCs/>
                <w:kern w:val="0"/>
                <w:sz w:val="24"/>
              </w:rPr>
            </w:pPr>
            <w:r>
              <w:rPr>
                <w:rFonts w:hint="eastAsia"/>
                <w:b/>
                <w:bCs/>
                <w:kern w:val="0"/>
                <w:sz w:val="24"/>
              </w:rPr>
              <w:t>616</w:t>
            </w:r>
            <w:r>
              <w:rPr>
                <w:b/>
                <w:bCs/>
                <w:kern w:val="0"/>
                <w:sz w:val="24"/>
              </w:rPr>
              <w:t>000</w:t>
            </w:r>
          </w:p>
        </w:tc>
        <w:tc>
          <w:tcPr>
            <w:tcW w:w="1202" w:type="dxa"/>
            <w:tcBorders>
              <w:top w:val="nil"/>
              <w:left w:val="nil"/>
              <w:bottom w:val="single" w:color="auto" w:sz="4" w:space="0"/>
              <w:right w:val="single" w:color="auto" w:sz="4" w:space="0"/>
            </w:tcBorders>
            <w:vAlign w:val="center"/>
          </w:tcPr>
          <w:p w14:paraId="734F27B8">
            <w:pPr>
              <w:widowControl/>
              <w:jc w:val="center"/>
              <w:rPr>
                <w:rFonts w:ascii="宋体" w:hAnsi="宋体" w:cs="宋体"/>
                <w:kern w:val="0"/>
                <w:sz w:val="24"/>
              </w:rPr>
            </w:pPr>
            <w:r>
              <w:rPr>
                <w:rFonts w:hint="eastAsia" w:ascii="宋体" w:hAnsi="宋体" w:cs="宋体"/>
                <w:kern w:val="0"/>
                <w:sz w:val="24"/>
              </w:rPr>
              <w:t>　</w:t>
            </w:r>
          </w:p>
        </w:tc>
        <w:tc>
          <w:tcPr>
            <w:tcW w:w="3051" w:type="dxa"/>
            <w:tcBorders>
              <w:top w:val="nil"/>
              <w:left w:val="nil"/>
              <w:bottom w:val="single" w:color="auto" w:sz="4" w:space="0"/>
              <w:right w:val="single" w:color="auto" w:sz="4" w:space="0"/>
            </w:tcBorders>
            <w:vAlign w:val="center"/>
          </w:tcPr>
          <w:p w14:paraId="3EB3B0DC">
            <w:pPr>
              <w:widowControl/>
              <w:jc w:val="center"/>
              <w:rPr>
                <w:rFonts w:ascii="宋体" w:hAnsi="宋体" w:cs="宋体"/>
                <w:kern w:val="0"/>
                <w:sz w:val="24"/>
              </w:rPr>
            </w:pPr>
            <w:r>
              <w:rPr>
                <w:rFonts w:hint="eastAsia" w:ascii="宋体" w:hAnsi="宋体" w:cs="宋体"/>
                <w:kern w:val="0"/>
                <w:sz w:val="24"/>
              </w:rPr>
              <w:t>　</w:t>
            </w:r>
          </w:p>
        </w:tc>
      </w:tr>
    </w:tbl>
    <w:p w14:paraId="7AD1B368">
      <w:pPr>
        <w:rPr>
          <w:rFonts w:hint="eastAsia" w:ascii="仿宋_GB2312" w:eastAsia="仿宋_GB2312"/>
          <w:b/>
          <w:sz w:val="24"/>
        </w:rPr>
      </w:pPr>
    </w:p>
    <w:p w14:paraId="59DC9809">
      <w:pPr>
        <w:rPr>
          <w:rFonts w:hint="eastAsia" w:ascii="仿宋_GB2312" w:eastAsia="仿宋_GB2312"/>
          <w:sz w:val="24"/>
        </w:rPr>
        <w:sectPr>
          <w:pgSz w:w="16838" w:h="11906" w:orient="landscape"/>
          <w:pgMar w:top="1800" w:right="1440" w:bottom="1800" w:left="1440" w:header="851" w:footer="992" w:gutter="0"/>
          <w:cols w:space="720" w:num="1"/>
          <w:docGrid w:type="lines" w:linePitch="312" w:charSpace="0"/>
        </w:sectPr>
      </w:pPr>
      <w:r>
        <w:rPr>
          <w:rFonts w:hint="eastAsia" w:ascii="仿宋_GB2312" w:eastAsia="仿宋_GB2312"/>
          <w:b/>
          <w:sz w:val="24"/>
        </w:rPr>
        <w:t>注：</w:t>
      </w:r>
      <w:r>
        <w:rPr>
          <w:rFonts w:hint="eastAsia" w:ascii="仿宋_GB2312" w:eastAsia="仿宋_GB2312"/>
          <w:sz w:val="24"/>
        </w:rPr>
        <w:t>政府投资根据地方财力和批复资金为建设投资依据，社会投资根据市场和企业实际投入为建设投资依据。</w:t>
      </w:r>
    </w:p>
    <w:p w14:paraId="7EC189D3">
      <w:pPr>
        <w:pStyle w:val="15"/>
        <w:rPr>
          <w:rFonts w:ascii="Times New Roman" w:hAnsi="Times New Roman" w:eastAsia="黑体"/>
          <w:sz w:val="36"/>
        </w:rPr>
      </w:pPr>
      <w:bookmarkStart w:id="67" w:name="_Toc82546081"/>
      <w:r>
        <w:rPr>
          <w:rFonts w:ascii="Times New Roman" w:hAnsi="Times New Roman" w:eastAsia="黑体"/>
          <w:sz w:val="36"/>
        </w:rPr>
        <w:t>第</w:t>
      </w:r>
      <w:r>
        <w:rPr>
          <w:rFonts w:hint="eastAsia" w:ascii="Times New Roman" w:hAnsi="Times New Roman" w:eastAsia="黑体"/>
          <w:sz w:val="36"/>
        </w:rPr>
        <w:t>七</w:t>
      </w:r>
      <w:r>
        <w:rPr>
          <w:rFonts w:ascii="Times New Roman" w:hAnsi="Times New Roman" w:eastAsia="黑体"/>
          <w:sz w:val="36"/>
        </w:rPr>
        <w:t xml:space="preserve">章 </w:t>
      </w:r>
      <w:bookmarkEnd w:id="52"/>
      <w:bookmarkEnd w:id="53"/>
      <w:bookmarkEnd w:id="54"/>
      <w:bookmarkEnd w:id="55"/>
      <w:bookmarkEnd w:id="56"/>
      <w:bookmarkEnd w:id="57"/>
      <w:bookmarkEnd w:id="58"/>
      <w:bookmarkStart w:id="68" w:name="_Toc62231002"/>
      <w:bookmarkStart w:id="69" w:name="_Toc4740"/>
      <w:bookmarkStart w:id="70" w:name="_Toc67391471"/>
      <w:bookmarkStart w:id="71" w:name="_Toc21971"/>
      <w:bookmarkStart w:id="72" w:name="_Toc1426"/>
      <w:bookmarkStart w:id="73" w:name="_Toc6211"/>
      <w:bookmarkStart w:id="74" w:name="_Toc9188"/>
      <w:bookmarkStart w:id="75" w:name="_Toc16300"/>
      <w:bookmarkStart w:id="76" w:name="_Toc12639"/>
      <w:bookmarkStart w:id="77" w:name="_Toc375"/>
      <w:bookmarkStart w:id="78" w:name="_Toc20436"/>
      <w:bookmarkStart w:id="79" w:name="_Toc32560"/>
      <w:r>
        <w:rPr>
          <w:rFonts w:hint="eastAsia" w:ascii="Times New Roman" w:hAnsi="Times New Roman" w:eastAsia="黑体"/>
          <w:sz w:val="36"/>
        </w:rPr>
        <w:t xml:space="preserve"> </w:t>
      </w:r>
      <w:r>
        <w:rPr>
          <w:rFonts w:ascii="Times New Roman" w:hAnsi="Times New Roman" w:eastAsia="黑体"/>
          <w:sz w:val="36"/>
        </w:rPr>
        <w:t>林木种苗与花卉产业规划</w:t>
      </w:r>
      <w:bookmarkEnd w:id="59"/>
      <w:bookmarkEnd w:id="60"/>
      <w:bookmarkEnd w:id="67"/>
      <w:bookmarkEnd w:id="68"/>
      <w:bookmarkEnd w:id="69"/>
      <w:bookmarkEnd w:id="70"/>
      <w:bookmarkEnd w:id="71"/>
      <w:bookmarkEnd w:id="72"/>
    </w:p>
    <w:p w14:paraId="61D16DD2">
      <w:pPr>
        <w:pStyle w:val="3"/>
        <w:spacing w:before="312" w:beforeLines="100" w:after="0" w:line="240" w:lineRule="auto"/>
        <w:rPr>
          <w:rFonts w:ascii="Times New Roman" w:hAnsi="Times New Roman" w:eastAsia="黑体"/>
        </w:rPr>
      </w:pPr>
      <w:bookmarkStart w:id="80" w:name="_Toc14266"/>
      <w:bookmarkStart w:id="81" w:name="_Toc25478"/>
      <w:bookmarkStart w:id="82" w:name="_Toc82546082"/>
      <w:r>
        <w:rPr>
          <w:rFonts w:hint="eastAsia" w:ascii="Times New Roman" w:hAnsi="Times New Roman" w:eastAsia="黑体"/>
        </w:rPr>
        <w:t>7</w:t>
      </w:r>
      <w:r>
        <w:rPr>
          <w:rFonts w:ascii="Times New Roman" w:hAnsi="Times New Roman" w:eastAsia="黑体"/>
        </w:rPr>
        <w:t>.1 产业现状</w:t>
      </w:r>
      <w:bookmarkEnd w:id="80"/>
      <w:bookmarkEnd w:id="81"/>
      <w:bookmarkEnd w:id="82"/>
    </w:p>
    <w:p w14:paraId="3A6EE908">
      <w:pPr>
        <w:autoSpaceDE w:val="0"/>
        <w:autoSpaceDN w:val="0"/>
        <w:adjustRightInd w:val="0"/>
        <w:ind w:firstLine="640" w:firstLineChars="200"/>
        <w:rPr>
          <w:rFonts w:hint="eastAsia" w:eastAsia="仿宋_GB2312"/>
          <w:sz w:val="32"/>
          <w:szCs w:val="32"/>
        </w:rPr>
      </w:pPr>
      <w:bookmarkStart w:id="83" w:name="_Toc68225111"/>
      <w:r>
        <w:rPr>
          <w:rFonts w:eastAsia="仿宋_GB2312"/>
          <w:sz w:val="32"/>
        </w:rPr>
        <w:t>截止2020年底，三亚市</w:t>
      </w:r>
      <w:r>
        <w:rPr>
          <w:rFonts w:hint="eastAsia" w:eastAsia="仿宋_GB2312"/>
          <w:sz w:val="32"/>
        </w:rPr>
        <w:t>林木种苗与花卉</w:t>
      </w:r>
      <w:r>
        <w:rPr>
          <w:rFonts w:eastAsia="仿宋_GB2312"/>
          <w:sz w:val="32"/>
        </w:rPr>
        <w:t>种植总面积</w:t>
      </w:r>
      <w:r>
        <w:rPr>
          <w:rFonts w:hint="eastAsia" w:eastAsia="仿宋_GB2312"/>
          <w:sz w:val="32"/>
        </w:rPr>
        <w:t>1255.4</w:t>
      </w:r>
      <w:r>
        <w:rPr>
          <w:rFonts w:eastAsia="仿宋_GB2312"/>
          <w:sz w:val="32"/>
        </w:rPr>
        <w:t xml:space="preserve"> hm</w:t>
      </w:r>
      <w:r>
        <w:rPr>
          <w:rFonts w:eastAsia="仿宋_GB2312"/>
          <w:sz w:val="32"/>
          <w:vertAlign w:val="superscript"/>
        </w:rPr>
        <w:t>2</w:t>
      </w:r>
      <w:r>
        <w:rPr>
          <w:rFonts w:eastAsia="仿宋_GB2312"/>
          <w:sz w:val="32"/>
        </w:rPr>
        <w:t>，年产值47296万元</w:t>
      </w:r>
      <w:r>
        <w:rPr>
          <w:rFonts w:hint="eastAsia" w:eastAsia="仿宋_GB2312"/>
          <w:sz w:val="32"/>
          <w:szCs w:val="32"/>
        </w:rPr>
        <w:t>（详见表7-1）</w:t>
      </w:r>
      <w:r>
        <w:rPr>
          <w:rFonts w:eastAsia="仿宋_GB2312"/>
          <w:sz w:val="32"/>
        </w:rPr>
        <w:t>。三亚市林木种苗资源保存的</w:t>
      </w:r>
      <w:r>
        <w:rPr>
          <w:rFonts w:hint="eastAsia" w:eastAsia="仿宋_GB2312"/>
          <w:sz w:val="32"/>
        </w:rPr>
        <w:t>国有</w:t>
      </w:r>
      <w:r>
        <w:rPr>
          <w:rFonts w:eastAsia="仿宋_GB2312"/>
          <w:sz w:val="32"/>
        </w:rPr>
        <w:t>单位主要以三亚市林业科学研究院</w:t>
      </w:r>
      <w:r>
        <w:rPr>
          <w:rFonts w:hint="eastAsia" w:eastAsia="仿宋_GB2312"/>
          <w:sz w:val="32"/>
        </w:rPr>
        <w:t>和三亚林场为主，总面积166.7 hm</w:t>
      </w:r>
      <w:r>
        <w:rPr>
          <w:rFonts w:hint="eastAsia" w:eastAsia="仿宋_GB2312"/>
          <w:sz w:val="32"/>
          <w:vertAlign w:val="superscript"/>
        </w:rPr>
        <w:t>2</w:t>
      </w:r>
      <w:r>
        <w:rPr>
          <w:rFonts w:hint="eastAsia" w:eastAsia="仿宋_GB2312"/>
          <w:sz w:val="32"/>
        </w:rPr>
        <w:t>，主要培育降香黄檀</w:t>
      </w:r>
      <w:r>
        <w:rPr>
          <w:rFonts w:eastAsia="仿宋_GB2312"/>
          <w:sz w:val="32"/>
        </w:rPr>
        <w:t>、</w:t>
      </w:r>
      <w:r>
        <w:rPr>
          <w:rFonts w:hint="eastAsia" w:eastAsia="仿宋_GB2312"/>
          <w:sz w:val="32"/>
        </w:rPr>
        <w:t>白木香</w:t>
      </w:r>
      <w:r>
        <w:rPr>
          <w:rFonts w:eastAsia="仿宋_GB2312"/>
          <w:sz w:val="32"/>
        </w:rPr>
        <w:t>、坡垒等珍贵树种和假苹婆、岭南山竹子等乡土树种</w:t>
      </w:r>
      <w:r>
        <w:rPr>
          <w:rFonts w:hint="eastAsia" w:eastAsia="仿宋_GB2312"/>
          <w:sz w:val="32"/>
        </w:rPr>
        <w:t>。林木种苗与花卉苗木繁育基地总</w:t>
      </w:r>
      <w:r>
        <w:rPr>
          <w:rFonts w:eastAsia="仿宋_GB2312"/>
          <w:sz w:val="32"/>
        </w:rPr>
        <w:t>面积236</w:t>
      </w:r>
      <w:r>
        <w:rPr>
          <w:rFonts w:hint="eastAsia" w:eastAsia="仿宋_GB2312"/>
          <w:sz w:val="32"/>
        </w:rPr>
        <w:t xml:space="preserve"> </w:t>
      </w:r>
      <w:r>
        <w:rPr>
          <w:rFonts w:eastAsia="仿宋_GB2312"/>
          <w:sz w:val="32"/>
        </w:rPr>
        <w:t>hm</w:t>
      </w:r>
      <w:r>
        <w:rPr>
          <w:rFonts w:eastAsia="仿宋_GB2312"/>
          <w:sz w:val="32"/>
          <w:vertAlign w:val="superscript"/>
        </w:rPr>
        <w:t>2</w:t>
      </w:r>
      <w:r>
        <w:rPr>
          <w:rFonts w:eastAsia="仿宋_GB2312"/>
          <w:sz w:val="32"/>
        </w:rPr>
        <w:t>，</w:t>
      </w:r>
      <w:r>
        <w:rPr>
          <w:rFonts w:hint="eastAsia" w:eastAsia="仿宋_GB2312"/>
          <w:sz w:val="32"/>
        </w:rPr>
        <w:t>相关企业92家，</w:t>
      </w:r>
      <w:r>
        <w:rPr>
          <w:rFonts w:eastAsia="仿宋_GB2312"/>
          <w:sz w:val="32"/>
        </w:rPr>
        <w:t>年产值1</w:t>
      </w:r>
      <w:r>
        <w:rPr>
          <w:rFonts w:eastAsia="仿宋_GB2312"/>
          <w:sz w:val="32"/>
          <w:szCs w:val="32"/>
        </w:rPr>
        <w:t>1218万元</w:t>
      </w:r>
      <w:r>
        <w:rPr>
          <w:rFonts w:hint="eastAsia" w:eastAsia="仿宋_GB2312"/>
          <w:sz w:val="32"/>
          <w:szCs w:val="32"/>
        </w:rPr>
        <w:t>；</w:t>
      </w:r>
      <w:r>
        <w:rPr>
          <w:rFonts w:eastAsia="仿宋_GB2312"/>
          <w:sz w:val="32"/>
        </w:rPr>
        <w:t>观赏花卉种植面积851.3 hm</w:t>
      </w:r>
      <w:r>
        <w:rPr>
          <w:rFonts w:eastAsia="仿宋_GB2312"/>
          <w:sz w:val="32"/>
          <w:vertAlign w:val="superscript"/>
        </w:rPr>
        <w:t>2</w:t>
      </w:r>
      <w:r>
        <w:rPr>
          <w:rFonts w:hint="eastAsia" w:eastAsia="仿宋_GB2312"/>
          <w:sz w:val="32"/>
        </w:rPr>
        <w:t>，</w:t>
      </w:r>
      <w:r>
        <w:rPr>
          <w:rFonts w:eastAsia="仿宋_GB2312"/>
          <w:sz w:val="32"/>
          <w:szCs w:val="32"/>
        </w:rPr>
        <w:t>年产值</w:t>
      </w:r>
      <w:r>
        <w:rPr>
          <w:kern w:val="0"/>
          <w:sz w:val="32"/>
          <w:szCs w:val="32"/>
        </w:rPr>
        <w:t>23678</w:t>
      </w:r>
      <w:r>
        <w:rPr>
          <w:rFonts w:eastAsia="仿宋_GB2312"/>
          <w:sz w:val="32"/>
          <w:szCs w:val="32"/>
        </w:rPr>
        <w:t>万元</w:t>
      </w:r>
      <w:r>
        <w:rPr>
          <w:rFonts w:hint="eastAsia" w:eastAsia="仿宋_GB2312"/>
          <w:sz w:val="32"/>
          <w:szCs w:val="32"/>
        </w:rPr>
        <w:t>；</w:t>
      </w:r>
      <w:r>
        <w:rPr>
          <w:rFonts w:eastAsia="仿宋_GB2312"/>
          <w:sz w:val="32"/>
          <w:szCs w:val="32"/>
        </w:rPr>
        <w:t>种苗花卉临时交易点6处</w:t>
      </w:r>
      <w:r>
        <w:rPr>
          <w:rFonts w:hint="eastAsia" w:eastAsia="仿宋_GB2312"/>
          <w:sz w:val="32"/>
          <w:szCs w:val="32"/>
        </w:rPr>
        <w:t>，</w:t>
      </w:r>
      <w:r>
        <w:rPr>
          <w:rFonts w:eastAsia="仿宋_GB2312"/>
          <w:sz w:val="32"/>
          <w:szCs w:val="32"/>
        </w:rPr>
        <w:t>占地面积1.4</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hint="eastAsia" w:eastAsia="仿宋_GB2312"/>
          <w:sz w:val="32"/>
          <w:szCs w:val="32"/>
        </w:rPr>
        <w:t>，</w:t>
      </w:r>
      <w:r>
        <w:rPr>
          <w:rFonts w:eastAsia="仿宋_GB2312"/>
          <w:sz w:val="32"/>
          <w:szCs w:val="32"/>
        </w:rPr>
        <w:t>年产值4200万元</w:t>
      </w:r>
      <w:r>
        <w:rPr>
          <w:rFonts w:hint="eastAsia" w:eastAsia="仿宋_GB2312"/>
          <w:sz w:val="32"/>
          <w:szCs w:val="32"/>
        </w:rPr>
        <w:t>；</w:t>
      </w:r>
      <w:r>
        <w:rPr>
          <w:rFonts w:eastAsia="仿宋_GB2312"/>
          <w:sz w:val="32"/>
          <w:szCs w:val="32"/>
        </w:rPr>
        <w:t>鲜花店铺112家，年产值8200万元</w:t>
      </w:r>
      <w:r>
        <w:rPr>
          <w:rFonts w:hint="eastAsia" w:eastAsia="仿宋_GB2312"/>
          <w:sz w:val="32"/>
          <w:szCs w:val="32"/>
        </w:rPr>
        <w:t>。</w:t>
      </w:r>
    </w:p>
    <w:p w14:paraId="4BEEA648">
      <w:pPr>
        <w:autoSpaceDE w:val="0"/>
        <w:autoSpaceDN w:val="0"/>
        <w:adjustRightInd w:val="0"/>
        <w:jc w:val="center"/>
        <w:rPr>
          <w:b/>
          <w:sz w:val="28"/>
        </w:rPr>
      </w:pPr>
      <w:r>
        <w:rPr>
          <w:b/>
          <w:sz w:val="28"/>
        </w:rPr>
        <w:t>表</w:t>
      </w:r>
      <w:r>
        <w:rPr>
          <w:rFonts w:hint="eastAsia"/>
          <w:b/>
          <w:sz w:val="28"/>
        </w:rPr>
        <w:t>7</w:t>
      </w:r>
      <w:r>
        <w:rPr>
          <w:b/>
          <w:sz w:val="28"/>
        </w:rPr>
        <w:t>-1 林木种苗与花卉产业基本情况</w:t>
      </w:r>
    </w:p>
    <w:tbl>
      <w:tblPr>
        <w:tblStyle w:val="18"/>
        <w:tblW w:w="0" w:type="auto"/>
        <w:jc w:val="center"/>
        <w:tblLayout w:type="fixed"/>
        <w:tblCellMar>
          <w:top w:w="0" w:type="dxa"/>
          <w:left w:w="108" w:type="dxa"/>
          <w:bottom w:w="0" w:type="dxa"/>
          <w:right w:w="108" w:type="dxa"/>
        </w:tblCellMar>
      </w:tblPr>
      <w:tblGrid>
        <w:gridCol w:w="3334"/>
        <w:gridCol w:w="2268"/>
        <w:gridCol w:w="2284"/>
      </w:tblGrid>
      <w:tr w14:paraId="30F68D2D">
        <w:tblPrEx>
          <w:tblCellMar>
            <w:top w:w="0" w:type="dxa"/>
            <w:left w:w="108" w:type="dxa"/>
            <w:bottom w:w="0" w:type="dxa"/>
            <w:right w:w="108" w:type="dxa"/>
          </w:tblCellMar>
        </w:tblPrEx>
        <w:trPr>
          <w:trHeight w:val="407" w:hRule="atLeast"/>
          <w:jc w:val="center"/>
        </w:trPr>
        <w:tc>
          <w:tcPr>
            <w:tcW w:w="3334" w:type="dxa"/>
            <w:tcBorders>
              <w:top w:val="single" w:color="auto" w:sz="4" w:space="0"/>
              <w:left w:val="single" w:color="auto" w:sz="4" w:space="0"/>
              <w:bottom w:val="single" w:color="auto" w:sz="4" w:space="0"/>
              <w:right w:val="single" w:color="auto" w:sz="4" w:space="0"/>
            </w:tcBorders>
            <w:noWrap/>
            <w:vAlign w:val="center"/>
          </w:tcPr>
          <w:p w14:paraId="1D6DF1D9">
            <w:pPr>
              <w:widowControl/>
              <w:jc w:val="center"/>
              <w:rPr>
                <w:b/>
                <w:bCs/>
                <w:kern w:val="0"/>
                <w:sz w:val="28"/>
                <w:szCs w:val="28"/>
              </w:rPr>
            </w:pPr>
            <w:r>
              <w:rPr>
                <w:b/>
                <w:bCs/>
                <w:kern w:val="0"/>
                <w:sz w:val="28"/>
                <w:szCs w:val="28"/>
              </w:rPr>
              <w:t>类型</w:t>
            </w:r>
          </w:p>
        </w:tc>
        <w:tc>
          <w:tcPr>
            <w:tcW w:w="2268" w:type="dxa"/>
            <w:tcBorders>
              <w:top w:val="single" w:color="auto" w:sz="4" w:space="0"/>
              <w:left w:val="nil"/>
              <w:bottom w:val="single" w:color="auto" w:sz="4" w:space="0"/>
              <w:right w:val="single" w:color="auto" w:sz="4" w:space="0"/>
            </w:tcBorders>
            <w:noWrap/>
            <w:vAlign w:val="center"/>
          </w:tcPr>
          <w:p w14:paraId="1DE3D592">
            <w:pPr>
              <w:widowControl/>
              <w:jc w:val="center"/>
              <w:rPr>
                <w:b/>
                <w:bCs/>
                <w:kern w:val="0"/>
                <w:sz w:val="28"/>
                <w:szCs w:val="28"/>
              </w:rPr>
            </w:pPr>
            <w:r>
              <w:rPr>
                <w:b/>
                <w:bCs/>
                <w:kern w:val="0"/>
                <w:sz w:val="28"/>
                <w:szCs w:val="28"/>
              </w:rPr>
              <w:t>面积（hm</w:t>
            </w:r>
            <w:r>
              <w:rPr>
                <w:b/>
                <w:bCs/>
                <w:kern w:val="0"/>
                <w:sz w:val="28"/>
                <w:szCs w:val="28"/>
                <w:vertAlign w:val="superscript"/>
              </w:rPr>
              <w:t>2</w:t>
            </w:r>
            <w:r>
              <w:rPr>
                <w:b/>
                <w:bCs/>
                <w:kern w:val="0"/>
                <w:sz w:val="28"/>
                <w:szCs w:val="28"/>
              </w:rPr>
              <w:t>）</w:t>
            </w:r>
          </w:p>
        </w:tc>
        <w:tc>
          <w:tcPr>
            <w:tcW w:w="2284" w:type="dxa"/>
            <w:tcBorders>
              <w:top w:val="single" w:color="auto" w:sz="4" w:space="0"/>
              <w:left w:val="nil"/>
              <w:bottom w:val="single" w:color="auto" w:sz="4" w:space="0"/>
              <w:right w:val="single" w:color="auto" w:sz="4" w:space="0"/>
            </w:tcBorders>
            <w:noWrap/>
            <w:vAlign w:val="center"/>
          </w:tcPr>
          <w:p w14:paraId="4884FD4F">
            <w:pPr>
              <w:widowControl/>
              <w:jc w:val="center"/>
              <w:rPr>
                <w:b/>
                <w:bCs/>
                <w:kern w:val="0"/>
                <w:sz w:val="28"/>
                <w:szCs w:val="28"/>
              </w:rPr>
            </w:pPr>
            <w:r>
              <w:rPr>
                <w:b/>
                <w:bCs/>
                <w:kern w:val="0"/>
                <w:sz w:val="28"/>
                <w:szCs w:val="28"/>
              </w:rPr>
              <w:t>产值（万元）</w:t>
            </w:r>
          </w:p>
        </w:tc>
      </w:tr>
      <w:tr w14:paraId="72035E7A">
        <w:tblPrEx>
          <w:tblCellMar>
            <w:top w:w="0" w:type="dxa"/>
            <w:left w:w="108" w:type="dxa"/>
            <w:bottom w:w="0" w:type="dxa"/>
            <w:right w:w="108" w:type="dxa"/>
          </w:tblCellMar>
        </w:tblPrEx>
        <w:trPr>
          <w:trHeight w:val="371" w:hRule="atLeast"/>
          <w:jc w:val="center"/>
        </w:trPr>
        <w:tc>
          <w:tcPr>
            <w:tcW w:w="3334" w:type="dxa"/>
            <w:tcBorders>
              <w:top w:val="nil"/>
              <w:left w:val="single" w:color="auto" w:sz="4" w:space="0"/>
              <w:bottom w:val="single" w:color="auto" w:sz="4" w:space="0"/>
              <w:right w:val="single" w:color="auto" w:sz="4" w:space="0"/>
            </w:tcBorders>
            <w:noWrap/>
            <w:vAlign w:val="center"/>
          </w:tcPr>
          <w:p w14:paraId="7D92CA24">
            <w:pPr>
              <w:widowControl/>
              <w:jc w:val="center"/>
              <w:rPr>
                <w:kern w:val="0"/>
                <w:sz w:val="28"/>
                <w:szCs w:val="28"/>
              </w:rPr>
            </w:pPr>
            <w:r>
              <w:rPr>
                <w:rFonts w:hint="eastAsia"/>
                <w:kern w:val="0"/>
                <w:sz w:val="28"/>
                <w:szCs w:val="28"/>
              </w:rPr>
              <w:t>国有单位</w:t>
            </w:r>
          </w:p>
        </w:tc>
        <w:tc>
          <w:tcPr>
            <w:tcW w:w="2268" w:type="dxa"/>
            <w:tcBorders>
              <w:top w:val="nil"/>
              <w:left w:val="nil"/>
              <w:bottom w:val="single" w:color="auto" w:sz="4" w:space="0"/>
              <w:right w:val="single" w:color="auto" w:sz="4" w:space="0"/>
            </w:tcBorders>
            <w:noWrap/>
            <w:vAlign w:val="center"/>
          </w:tcPr>
          <w:p w14:paraId="0361BC45">
            <w:pPr>
              <w:widowControl/>
              <w:jc w:val="center"/>
              <w:rPr>
                <w:kern w:val="0"/>
                <w:sz w:val="28"/>
                <w:szCs w:val="28"/>
              </w:rPr>
            </w:pPr>
            <w:r>
              <w:rPr>
                <w:kern w:val="0"/>
                <w:sz w:val="28"/>
                <w:szCs w:val="28"/>
              </w:rPr>
              <w:t>166.7</w:t>
            </w:r>
          </w:p>
        </w:tc>
        <w:tc>
          <w:tcPr>
            <w:tcW w:w="2284" w:type="dxa"/>
            <w:tcBorders>
              <w:top w:val="nil"/>
              <w:left w:val="nil"/>
              <w:bottom w:val="single" w:color="auto" w:sz="4" w:space="0"/>
              <w:right w:val="single" w:color="auto" w:sz="4" w:space="0"/>
            </w:tcBorders>
            <w:noWrap/>
            <w:vAlign w:val="center"/>
          </w:tcPr>
          <w:p w14:paraId="578059D6">
            <w:pPr>
              <w:widowControl/>
              <w:jc w:val="center"/>
              <w:rPr>
                <w:kern w:val="0"/>
                <w:sz w:val="28"/>
                <w:szCs w:val="28"/>
              </w:rPr>
            </w:pPr>
            <w:r>
              <w:rPr>
                <w:rFonts w:hint="eastAsia"/>
                <w:kern w:val="0"/>
                <w:sz w:val="28"/>
                <w:szCs w:val="28"/>
              </w:rPr>
              <w:t>—</w:t>
            </w:r>
          </w:p>
        </w:tc>
      </w:tr>
      <w:tr w14:paraId="1C0E1177">
        <w:tblPrEx>
          <w:tblCellMar>
            <w:top w:w="0" w:type="dxa"/>
            <w:left w:w="108" w:type="dxa"/>
            <w:bottom w:w="0" w:type="dxa"/>
            <w:right w:w="108" w:type="dxa"/>
          </w:tblCellMar>
        </w:tblPrEx>
        <w:trPr>
          <w:trHeight w:val="262" w:hRule="atLeast"/>
          <w:jc w:val="center"/>
        </w:trPr>
        <w:tc>
          <w:tcPr>
            <w:tcW w:w="3334" w:type="dxa"/>
            <w:tcBorders>
              <w:top w:val="nil"/>
              <w:left w:val="single" w:color="auto" w:sz="4" w:space="0"/>
              <w:bottom w:val="single" w:color="auto" w:sz="4" w:space="0"/>
              <w:right w:val="single" w:color="auto" w:sz="4" w:space="0"/>
            </w:tcBorders>
            <w:noWrap/>
            <w:vAlign w:val="center"/>
          </w:tcPr>
          <w:p w14:paraId="064C5234">
            <w:pPr>
              <w:widowControl/>
              <w:jc w:val="center"/>
              <w:rPr>
                <w:kern w:val="0"/>
                <w:sz w:val="28"/>
                <w:szCs w:val="28"/>
              </w:rPr>
            </w:pPr>
            <w:r>
              <w:rPr>
                <w:kern w:val="0"/>
                <w:sz w:val="28"/>
                <w:szCs w:val="28"/>
              </w:rPr>
              <w:t>苗木繁育基地</w:t>
            </w:r>
          </w:p>
        </w:tc>
        <w:tc>
          <w:tcPr>
            <w:tcW w:w="2268" w:type="dxa"/>
            <w:tcBorders>
              <w:top w:val="nil"/>
              <w:left w:val="nil"/>
              <w:bottom w:val="single" w:color="auto" w:sz="4" w:space="0"/>
              <w:right w:val="single" w:color="auto" w:sz="4" w:space="0"/>
            </w:tcBorders>
            <w:noWrap/>
            <w:vAlign w:val="center"/>
          </w:tcPr>
          <w:p w14:paraId="38FA4D50">
            <w:pPr>
              <w:widowControl/>
              <w:jc w:val="center"/>
              <w:rPr>
                <w:kern w:val="0"/>
                <w:sz w:val="28"/>
                <w:szCs w:val="28"/>
              </w:rPr>
            </w:pPr>
            <w:r>
              <w:rPr>
                <w:kern w:val="0"/>
                <w:sz w:val="28"/>
                <w:szCs w:val="28"/>
              </w:rPr>
              <w:t>236</w:t>
            </w:r>
            <w:r>
              <w:rPr>
                <w:rFonts w:hint="eastAsia"/>
                <w:kern w:val="0"/>
                <w:sz w:val="28"/>
                <w:szCs w:val="28"/>
              </w:rPr>
              <w:t>.0</w:t>
            </w:r>
          </w:p>
        </w:tc>
        <w:tc>
          <w:tcPr>
            <w:tcW w:w="2284" w:type="dxa"/>
            <w:tcBorders>
              <w:top w:val="nil"/>
              <w:left w:val="nil"/>
              <w:bottom w:val="single" w:color="auto" w:sz="4" w:space="0"/>
              <w:right w:val="single" w:color="auto" w:sz="4" w:space="0"/>
            </w:tcBorders>
            <w:noWrap/>
            <w:vAlign w:val="center"/>
          </w:tcPr>
          <w:p w14:paraId="7574C748">
            <w:pPr>
              <w:widowControl/>
              <w:jc w:val="center"/>
              <w:rPr>
                <w:kern w:val="0"/>
                <w:sz w:val="28"/>
                <w:szCs w:val="28"/>
              </w:rPr>
            </w:pPr>
            <w:r>
              <w:rPr>
                <w:kern w:val="0"/>
                <w:sz w:val="28"/>
                <w:szCs w:val="28"/>
              </w:rPr>
              <w:t>11218</w:t>
            </w:r>
          </w:p>
        </w:tc>
      </w:tr>
      <w:tr w14:paraId="568C53D2">
        <w:tblPrEx>
          <w:tblCellMar>
            <w:top w:w="0" w:type="dxa"/>
            <w:left w:w="108" w:type="dxa"/>
            <w:bottom w:w="0" w:type="dxa"/>
            <w:right w:w="108" w:type="dxa"/>
          </w:tblCellMar>
        </w:tblPrEx>
        <w:trPr>
          <w:trHeight w:val="225" w:hRule="atLeast"/>
          <w:jc w:val="center"/>
        </w:trPr>
        <w:tc>
          <w:tcPr>
            <w:tcW w:w="3334" w:type="dxa"/>
            <w:tcBorders>
              <w:top w:val="nil"/>
              <w:left w:val="single" w:color="auto" w:sz="4" w:space="0"/>
              <w:bottom w:val="single" w:color="auto" w:sz="4" w:space="0"/>
              <w:right w:val="single" w:color="auto" w:sz="4" w:space="0"/>
            </w:tcBorders>
            <w:noWrap/>
            <w:vAlign w:val="center"/>
          </w:tcPr>
          <w:p w14:paraId="62C0C2E4">
            <w:pPr>
              <w:widowControl/>
              <w:jc w:val="center"/>
              <w:rPr>
                <w:kern w:val="0"/>
                <w:sz w:val="28"/>
                <w:szCs w:val="28"/>
              </w:rPr>
            </w:pPr>
            <w:r>
              <w:rPr>
                <w:kern w:val="0"/>
                <w:sz w:val="28"/>
                <w:szCs w:val="28"/>
              </w:rPr>
              <w:t>观赏绿化苗木种植</w:t>
            </w:r>
          </w:p>
        </w:tc>
        <w:tc>
          <w:tcPr>
            <w:tcW w:w="2268" w:type="dxa"/>
            <w:tcBorders>
              <w:top w:val="nil"/>
              <w:left w:val="nil"/>
              <w:bottom w:val="single" w:color="auto" w:sz="4" w:space="0"/>
              <w:right w:val="single" w:color="auto" w:sz="4" w:space="0"/>
            </w:tcBorders>
            <w:noWrap/>
            <w:vAlign w:val="center"/>
          </w:tcPr>
          <w:p w14:paraId="18019BAB">
            <w:pPr>
              <w:widowControl/>
              <w:jc w:val="center"/>
              <w:rPr>
                <w:kern w:val="0"/>
                <w:sz w:val="28"/>
                <w:szCs w:val="28"/>
              </w:rPr>
            </w:pPr>
            <w:r>
              <w:rPr>
                <w:kern w:val="0"/>
                <w:sz w:val="28"/>
                <w:szCs w:val="28"/>
              </w:rPr>
              <w:t>851.3</w:t>
            </w:r>
          </w:p>
        </w:tc>
        <w:tc>
          <w:tcPr>
            <w:tcW w:w="2284" w:type="dxa"/>
            <w:tcBorders>
              <w:top w:val="nil"/>
              <w:left w:val="nil"/>
              <w:bottom w:val="single" w:color="auto" w:sz="4" w:space="0"/>
              <w:right w:val="single" w:color="auto" w:sz="4" w:space="0"/>
            </w:tcBorders>
            <w:noWrap/>
            <w:vAlign w:val="center"/>
          </w:tcPr>
          <w:p w14:paraId="10BDA5BF">
            <w:pPr>
              <w:widowControl/>
              <w:jc w:val="center"/>
              <w:rPr>
                <w:kern w:val="0"/>
                <w:sz w:val="28"/>
                <w:szCs w:val="28"/>
              </w:rPr>
            </w:pPr>
            <w:r>
              <w:rPr>
                <w:kern w:val="0"/>
                <w:sz w:val="28"/>
                <w:szCs w:val="28"/>
              </w:rPr>
              <w:t>23678</w:t>
            </w:r>
          </w:p>
        </w:tc>
      </w:tr>
      <w:tr w14:paraId="5E18D2B8">
        <w:tblPrEx>
          <w:tblCellMar>
            <w:top w:w="0" w:type="dxa"/>
            <w:left w:w="108" w:type="dxa"/>
            <w:bottom w:w="0" w:type="dxa"/>
            <w:right w:w="108" w:type="dxa"/>
          </w:tblCellMar>
        </w:tblPrEx>
        <w:trPr>
          <w:trHeight w:val="187" w:hRule="atLeast"/>
          <w:jc w:val="center"/>
        </w:trPr>
        <w:tc>
          <w:tcPr>
            <w:tcW w:w="3334" w:type="dxa"/>
            <w:tcBorders>
              <w:top w:val="nil"/>
              <w:left w:val="single" w:color="auto" w:sz="4" w:space="0"/>
              <w:bottom w:val="single" w:color="auto" w:sz="4" w:space="0"/>
              <w:right w:val="single" w:color="auto" w:sz="4" w:space="0"/>
            </w:tcBorders>
            <w:noWrap/>
            <w:vAlign w:val="center"/>
          </w:tcPr>
          <w:p w14:paraId="60788B69">
            <w:pPr>
              <w:widowControl/>
              <w:jc w:val="center"/>
              <w:rPr>
                <w:kern w:val="0"/>
                <w:sz w:val="28"/>
                <w:szCs w:val="28"/>
              </w:rPr>
            </w:pPr>
            <w:r>
              <w:rPr>
                <w:kern w:val="0"/>
                <w:sz w:val="28"/>
                <w:szCs w:val="28"/>
              </w:rPr>
              <w:t>种苗临时交易点</w:t>
            </w:r>
          </w:p>
        </w:tc>
        <w:tc>
          <w:tcPr>
            <w:tcW w:w="2268" w:type="dxa"/>
            <w:tcBorders>
              <w:top w:val="nil"/>
              <w:left w:val="nil"/>
              <w:bottom w:val="single" w:color="auto" w:sz="4" w:space="0"/>
              <w:right w:val="single" w:color="auto" w:sz="4" w:space="0"/>
            </w:tcBorders>
            <w:noWrap/>
            <w:vAlign w:val="center"/>
          </w:tcPr>
          <w:p w14:paraId="0B89191C">
            <w:pPr>
              <w:widowControl/>
              <w:jc w:val="center"/>
              <w:rPr>
                <w:kern w:val="0"/>
                <w:sz w:val="28"/>
                <w:szCs w:val="28"/>
              </w:rPr>
            </w:pPr>
            <w:r>
              <w:rPr>
                <w:kern w:val="0"/>
                <w:sz w:val="28"/>
                <w:szCs w:val="28"/>
              </w:rPr>
              <w:t>1.4</w:t>
            </w:r>
          </w:p>
        </w:tc>
        <w:tc>
          <w:tcPr>
            <w:tcW w:w="2284" w:type="dxa"/>
            <w:tcBorders>
              <w:top w:val="nil"/>
              <w:left w:val="nil"/>
              <w:bottom w:val="single" w:color="auto" w:sz="4" w:space="0"/>
              <w:right w:val="single" w:color="auto" w:sz="4" w:space="0"/>
            </w:tcBorders>
            <w:noWrap/>
            <w:vAlign w:val="center"/>
          </w:tcPr>
          <w:p w14:paraId="2594F21C">
            <w:pPr>
              <w:widowControl/>
              <w:jc w:val="center"/>
              <w:rPr>
                <w:kern w:val="0"/>
                <w:sz w:val="28"/>
                <w:szCs w:val="28"/>
              </w:rPr>
            </w:pPr>
            <w:r>
              <w:rPr>
                <w:kern w:val="0"/>
                <w:sz w:val="28"/>
                <w:szCs w:val="28"/>
              </w:rPr>
              <w:t>4200</w:t>
            </w:r>
          </w:p>
        </w:tc>
      </w:tr>
      <w:tr w14:paraId="55A9DD17">
        <w:tblPrEx>
          <w:tblCellMar>
            <w:top w:w="0" w:type="dxa"/>
            <w:left w:w="108" w:type="dxa"/>
            <w:bottom w:w="0" w:type="dxa"/>
            <w:right w:w="108" w:type="dxa"/>
          </w:tblCellMar>
        </w:tblPrEx>
        <w:trPr>
          <w:trHeight w:val="149" w:hRule="atLeast"/>
          <w:jc w:val="center"/>
        </w:trPr>
        <w:tc>
          <w:tcPr>
            <w:tcW w:w="3334" w:type="dxa"/>
            <w:tcBorders>
              <w:top w:val="nil"/>
              <w:left w:val="single" w:color="auto" w:sz="4" w:space="0"/>
              <w:bottom w:val="single" w:color="auto" w:sz="4" w:space="0"/>
              <w:right w:val="single" w:color="auto" w:sz="4" w:space="0"/>
            </w:tcBorders>
            <w:noWrap/>
            <w:vAlign w:val="center"/>
          </w:tcPr>
          <w:p w14:paraId="7958BFAC">
            <w:pPr>
              <w:widowControl/>
              <w:jc w:val="center"/>
              <w:rPr>
                <w:kern w:val="0"/>
                <w:sz w:val="28"/>
                <w:szCs w:val="28"/>
              </w:rPr>
            </w:pPr>
            <w:r>
              <w:rPr>
                <w:kern w:val="0"/>
                <w:sz w:val="28"/>
                <w:szCs w:val="28"/>
              </w:rPr>
              <w:t>鲜花店铺</w:t>
            </w:r>
          </w:p>
        </w:tc>
        <w:tc>
          <w:tcPr>
            <w:tcW w:w="2268" w:type="dxa"/>
            <w:tcBorders>
              <w:top w:val="nil"/>
              <w:left w:val="nil"/>
              <w:bottom w:val="single" w:color="auto" w:sz="4" w:space="0"/>
              <w:right w:val="single" w:color="auto" w:sz="4" w:space="0"/>
            </w:tcBorders>
            <w:noWrap/>
            <w:vAlign w:val="center"/>
          </w:tcPr>
          <w:p w14:paraId="5CBE19BA">
            <w:pPr>
              <w:widowControl/>
              <w:jc w:val="center"/>
              <w:rPr>
                <w:kern w:val="0"/>
                <w:sz w:val="28"/>
                <w:szCs w:val="28"/>
              </w:rPr>
            </w:pPr>
            <w:r>
              <w:rPr>
                <w:kern w:val="0"/>
                <w:sz w:val="28"/>
                <w:szCs w:val="28"/>
              </w:rPr>
              <w:t>112家</w:t>
            </w:r>
          </w:p>
        </w:tc>
        <w:tc>
          <w:tcPr>
            <w:tcW w:w="2284" w:type="dxa"/>
            <w:tcBorders>
              <w:top w:val="nil"/>
              <w:left w:val="nil"/>
              <w:bottom w:val="single" w:color="auto" w:sz="4" w:space="0"/>
              <w:right w:val="single" w:color="auto" w:sz="4" w:space="0"/>
            </w:tcBorders>
            <w:noWrap/>
            <w:vAlign w:val="center"/>
          </w:tcPr>
          <w:p w14:paraId="03EDD24F">
            <w:pPr>
              <w:widowControl/>
              <w:jc w:val="center"/>
              <w:rPr>
                <w:kern w:val="0"/>
                <w:sz w:val="28"/>
                <w:szCs w:val="28"/>
              </w:rPr>
            </w:pPr>
            <w:r>
              <w:rPr>
                <w:kern w:val="0"/>
                <w:sz w:val="28"/>
                <w:szCs w:val="28"/>
              </w:rPr>
              <w:t>8200</w:t>
            </w:r>
          </w:p>
        </w:tc>
      </w:tr>
      <w:tr w14:paraId="4D3CBF6C">
        <w:tblPrEx>
          <w:tblCellMar>
            <w:top w:w="0" w:type="dxa"/>
            <w:left w:w="108" w:type="dxa"/>
            <w:bottom w:w="0" w:type="dxa"/>
            <w:right w:w="108" w:type="dxa"/>
          </w:tblCellMar>
        </w:tblPrEx>
        <w:trPr>
          <w:trHeight w:val="239" w:hRule="atLeast"/>
          <w:jc w:val="center"/>
        </w:trPr>
        <w:tc>
          <w:tcPr>
            <w:tcW w:w="3334" w:type="dxa"/>
            <w:tcBorders>
              <w:top w:val="nil"/>
              <w:left w:val="single" w:color="auto" w:sz="4" w:space="0"/>
              <w:bottom w:val="single" w:color="auto" w:sz="4" w:space="0"/>
              <w:right w:val="single" w:color="auto" w:sz="4" w:space="0"/>
            </w:tcBorders>
            <w:noWrap/>
            <w:vAlign w:val="center"/>
          </w:tcPr>
          <w:p w14:paraId="7093A4A1">
            <w:pPr>
              <w:widowControl/>
              <w:jc w:val="center"/>
              <w:rPr>
                <w:kern w:val="0"/>
                <w:sz w:val="28"/>
                <w:szCs w:val="28"/>
              </w:rPr>
            </w:pPr>
            <w:r>
              <w:rPr>
                <w:kern w:val="0"/>
                <w:sz w:val="28"/>
                <w:szCs w:val="28"/>
              </w:rPr>
              <w:t>合计</w:t>
            </w:r>
          </w:p>
        </w:tc>
        <w:tc>
          <w:tcPr>
            <w:tcW w:w="2268" w:type="dxa"/>
            <w:tcBorders>
              <w:top w:val="nil"/>
              <w:left w:val="nil"/>
              <w:bottom w:val="single" w:color="auto" w:sz="4" w:space="0"/>
              <w:right w:val="single" w:color="auto" w:sz="4" w:space="0"/>
            </w:tcBorders>
            <w:noWrap/>
            <w:vAlign w:val="center"/>
          </w:tcPr>
          <w:p w14:paraId="6B1F9631">
            <w:pPr>
              <w:widowControl/>
              <w:jc w:val="center"/>
              <w:rPr>
                <w:kern w:val="0"/>
                <w:sz w:val="28"/>
                <w:szCs w:val="28"/>
              </w:rPr>
            </w:pPr>
            <w:r>
              <w:rPr>
                <w:kern w:val="0"/>
                <w:sz w:val="28"/>
                <w:szCs w:val="28"/>
              </w:rPr>
              <w:t>1255.4</w:t>
            </w:r>
          </w:p>
        </w:tc>
        <w:tc>
          <w:tcPr>
            <w:tcW w:w="2284" w:type="dxa"/>
            <w:tcBorders>
              <w:top w:val="nil"/>
              <w:left w:val="nil"/>
              <w:bottom w:val="single" w:color="auto" w:sz="4" w:space="0"/>
              <w:right w:val="single" w:color="auto" w:sz="4" w:space="0"/>
            </w:tcBorders>
            <w:noWrap/>
            <w:vAlign w:val="center"/>
          </w:tcPr>
          <w:p w14:paraId="35D1D09C">
            <w:pPr>
              <w:widowControl/>
              <w:jc w:val="center"/>
              <w:rPr>
                <w:kern w:val="0"/>
                <w:sz w:val="28"/>
                <w:szCs w:val="28"/>
              </w:rPr>
            </w:pPr>
            <w:r>
              <w:rPr>
                <w:kern w:val="0"/>
                <w:sz w:val="28"/>
                <w:szCs w:val="28"/>
              </w:rPr>
              <w:t>47296</w:t>
            </w:r>
          </w:p>
        </w:tc>
      </w:tr>
      <w:bookmarkEnd w:id="83"/>
    </w:tbl>
    <w:p w14:paraId="2E886867">
      <w:pPr>
        <w:autoSpaceDE w:val="0"/>
        <w:autoSpaceDN w:val="0"/>
        <w:adjustRightInd w:val="0"/>
        <w:spacing w:before="156" w:beforeLines="50"/>
        <w:ind w:firstLine="640" w:firstLineChars="200"/>
        <w:rPr>
          <w:rFonts w:eastAsia="仿宋_GB2312"/>
          <w:sz w:val="32"/>
          <w:szCs w:val="32"/>
        </w:rPr>
      </w:pPr>
      <w:r>
        <w:rPr>
          <w:rFonts w:eastAsia="仿宋_GB2312"/>
          <w:sz w:val="32"/>
        </w:rPr>
        <w:t>经调查统计，林业种苗与花卉繁育基地主要以吉阳区为主</w:t>
      </w:r>
      <w:r>
        <w:rPr>
          <w:rFonts w:hint="eastAsia" w:eastAsia="仿宋_GB2312"/>
          <w:sz w:val="32"/>
        </w:rPr>
        <w:t>，</w:t>
      </w:r>
      <w:r>
        <w:rPr>
          <w:rFonts w:eastAsia="仿宋_GB2312"/>
          <w:sz w:val="32"/>
        </w:rPr>
        <w:t>年培育种苗856.5万株，年销售种苗427.1万株</w:t>
      </w:r>
      <w:r>
        <w:rPr>
          <w:rFonts w:hint="eastAsia" w:eastAsia="仿宋_GB2312"/>
          <w:sz w:val="32"/>
        </w:rPr>
        <w:t>。</w:t>
      </w:r>
      <w:r>
        <w:rPr>
          <w:rFonts w:eastAsia="仿宋_GB2312"/>
          <w:sz w:val="32"/>
        </w:rPr>
        <w:t>观赏</w:t>
      </w:r>
      <w:r>
        <w:rPr>
          <w:rFonts w:hint="eastAsia" w:eastAsia="仿宋_GB2312"/>
          <w:sz w:val="32"/>
        </w:rPr>
        <w:t>花卉</w:t>
      </w:r>
      <w:r>
        <w:rPr>
          <w:rFonts w:eastAsia="仿宋_GB2312"/>
          <w:sz w:val="32"/>
        </w:rPr>
        <w:t>种植面积851.3</w:t>
      </w:r>
      <w:r>
        <w:rPr>
          <w:rFonts w:hint="eastAsia" w:eastAsia="仿宋_GB2312"/>
          <w:sz w:val="32"/>
        </w:rPr>
        <w:t xml:space="preserve"> </w:t>
      </w:r>
      <w:r>
        <w:rPr>
          <w:rFonts w:eastAsia="仿宋_GB2312"/>
          <w:sz w:val="32"/>
        </w:rPr>
        <w:t>hm</w:t>
      </w:r>
      <w:r>
        <w:rPr>
          <w:rFonts w:eastAsia="仿宋_GB2312"/>
          <w:sz w:val="32"/>
          <w:vertAlign w:val="superscript"/>
        </w:rPr>
        <w:t>2</w:t>
      </w:r>
      <w:r>
        <w:rPr>
          <w:rFonts w:hint="eastAsia" w:eastAsia="仿宋_GB2312"/>
          <w:sz w:val="32"/>
        </w:rPr>
        <w:t>，</w:t>
      </w:r>
      <w:r>
        <w:rPr>
          <w:rFonts w:eastAsia="仿宋_GB2312"/>
          <w:sz w:val="32"/>
        </w:rPr>
        <w:t>以鸡冠花</w:t>
      </w:r>
      <w:r>
        <w:rPr>
          <w:rFonts w:hint="eastAsia" w:eastAsia="仿宋_GB2312"/>
          <w:sz w:val="32"/>
        </w:rPr>
        <w:t>、</w:t>
      </w:r>
      <w:r>
        <w:rPr>
          <w:rFonts w:eastAsia="仿宋_GB2312"/>
          <w:sz w:val="32"/>
        </w:rPr>
        <w:t>万寿菊等观赏草本植物为主</w:t>
      </w:r>
      <w:r>
        <w:rPr>
          <w:rFonts w:hint="eastAsia" w:eastAsia="仿宋_GB2312"/>
          <w:sz w:val="32"/>
        </w:rPr>
        <w:t>；</w:t>
      </w:r>
      <w:r>
        <w:rPr>
          <w:rFonts w:eastAsia="仿宋_GB2312"/>
          <w:sz w:val="32"/>
          <w:szCs w:val="32"/>
        </w:rPr>
        <w:t>种苗临时交易点6处，销售数量334.5万盆，主要经营销售兰花、富贵竹等，春节期间销售金额占全年销售总额的42%。现有鲜花店铺112家，主要经营销售兰花、玫瑰、康乃馨、百合等鲜花，年销售鲜花、鲜切花2315万支</w:t>
      </w:r>
      <w:r>
        <w:rPr>
          <w:rFonts w:hint="eastAsia" w:eastAsia="仿宋_GB2312"/>
          <w:sz w:val="32"/>
          <w:szCs w:val="32"/>
        </w:rPr>
        <w:t>。</w:t>
      </w:r>
    </w:p>
    <w:p w14:paraId="421A0CE9">
      <w:pPr>
        <w:autoSpaceDE w:val="0"/>
        <w:autoSpaceDN w:val="0"/>
        <w:adjustRightInd w:val="0"/>
        <w:ind w:firstLine="640" w:firstLineChars="200"/>
        <w:rPr>
          <w:rFonts w:eastAsia="仿宋_GB2312"/>
          <w:sz w:val="32"/>
          <w:szCs w:val="32"/>
        </w:rPr>
      </w:pPr>
      <w:r>
        <w:rPr>
          <w:rFonts w:hint="eastAsia" w:eastAsia="仿宋_GB2312"/>
          <w:sz w:val="32"/>
          <w:szCs w:val="32"/>
        </w:rPr>
        <w:t>林木种苗与花卉</w:t>
      </w:r>
      <w:r>
        <w:rPr>
          <w:rFonts w:eastAsia="仿宋_GB2312"/>
          <w:sz w:val="32"/>
          <w:szCs w:val="32"/>
        </w:rPr>
        <w:t>产业</w:t>
      </w:r>
      <w:r>
        <w:rPr>
          <w:rFonts w:hint="eastAsia" w:eastAsia="仿宋_GB2312"/>
          <w:sz w:val="32"/>
          <w:szCs w:val="32"/>
        </w:rPr>
        <w:t>可以发展为</w:t>
      </w:r>
      <w:r>
        <w:rPr>
          <w:rFonts w:eastAsia="仿宋_GB2312"/>
          <w:sz w:val="32"/>
          <w:szCs w:val="32"/>
        </w:rPr>
        <w:t>三亚地方“三农”经济的重要支柱产业，并助力农民实现脱贫增收，助力三亚美丽乡村建设</w:t>
      </w:r>
      <w:r>
        <w:rPr>
          <w:rFonts w:hint="eastAsia" w:eastAsia="仿宋_GB2312"/>
          <w:sz w:val="32"/>
          <w:szCs w:val="32"/>
        </w:rPr>
        <w:t>，</w:t>
      </w:r>
      <w:r>
        <w:rPr>
          <w:rFonts w:eastAsia="仿宋_GB2312"/>
          <w:sz w:val="32"/>
          <w:szCs w:val="32"/>
        </w:rPr>
        <w:t>实现巩固拓展脱贫攻坚成果与乡村振兴的有效</w:t>
      </w:r>
      <w:r>
        <w:rPr>
          <w:rFonts w:hint="eastAsia" w:eastAsia="仿宋_GB2312"/>
          <w:sz w:val="32"/>
          <w:szCs w:val="32"/>
        </w:rPr>
        <w:t>衔接。</w:t>
      </w:r>
    </w:p>
    <w:p w14:paraId="7C6E2A25">
      <w:pPr>
        <w:pStyle w:val="3"/>
        <w:spacing w:before="0" w:after="0" w:line="240" w:lineRule="auto"/>
        <w:rPr>
          <w:rFonts w:ascii="Times New Roman" w:hAnsi="Times New Roman" w:eastAsia="黑体"/>
        </w:rPr>
      </w:pPr>
      <w:bookmarkStart w:id="84" w:name="_Toc82546083"/>
      <w:bookmarkStart w:id="85" w:name="_Toc8590"/>
      <w:r>
        <w:rPr>
          <w:rFonts w:hint="eastAsia" w:ascii="Times New Roman" w:hAnsi="Times New Roman" w:eastAsia="黑体"/>
        </w:rPr>
        <w:t>7</w:t>
      </w:r>
      <w:r>
        <w:rPr>
          <w:rFonts w:ascii="Times New Roman" w:hAnsi="Times New Roman" w:eastAsia="黑体"/>
        </w:rPr>
        <w:t>.2 存在的主要问题</w:t>
      </w:r>
      <w:bookmarkEnd w:id="84"/>
      <w:bookmarkEnd w:id="85"/>
    </w:p>
    <w:p w14:paraId="2953D60A">
      <w:pPr>
        <w:autoSpaceDE w:val="0"/>
        <w:autoSpaceDN w:val="0"/>
        <w:adjustRightInd w:val="0"/>
        <w:ind w:firstLine="640" w:firstLineChars="200"/>
        <w:rPr>
          <w:rFonts w:eastAsia="仿宋_GB2312"/>
          <w:sz w:val="32"/>
          <w:szCs w:val="32"/>
        </w:rPr>
      </w:pPr>
      <w:r>
        <w:rPr>
          <w:rFonts w:eastAsia="仿宋_GB2312"/>
          <w:sz w:val="32"/>
          <w:szCs w:val="32"/>
        </w:rPr>
        <w:t>（1）缺乏统筹规划布局，耕地</w:t>
      </w:r>
      <w:r>
        <w:rPr>
          <w:rFonts w:hint="eastAsia" w:eastAsia="仿宋_GB2312"/>
          <w:sz w:val="32"/>
          <w:szCs w:val="32"/>
        </w:rPr>
        <w:t>保护</w:t>
      </w:r>
      <w:r>
        <w:rPr>
          <w:rFonts w:eastAsia="仿宋_GB2312"/>
          <w:sz w:val="32"/>
          <w:szCs w:val="32"/>
        </w:rPr>
        <w:t>压力与产业发展空间矛盾。三亚市的林木种苗与花卉产业发展规划与布局尚未形成</w:t>
      </w:r>
      <w:r>
        <w:rPr>
          <w:rFonts w:hint="eastAsia" w:eastAsia="仿宋_GB2312"/>
          <w:sz w:val="32"/>
          <w:szCs w:val="32"/>
        </w:rPr>
        <w:t>，</w:t>
      </w:r>
      <w:r>
        <w:rPr>
          <w:rFonts w:eastAsia="仿宋_GB2312"/>
          <w:sz w:val="32"/>
          <w:szCs w:val="32"/>
        </w:rPr>
        <w:t>部分苗圃育苗基地占用基本农田情况较为严重（约有1/3的苗圃基地占用到基本农田）。</w:t>
      </w:r>
    </w:p>
    <w:p w14:paraId="1046F635">
      <w:pPr>
        <w:autoSpaceDE w:val="0"/>
        <w:autoSpaceDN w:val="0"/>
        <w:adjustRightInd w:val="0"/>
        <w:ind w:firstLine="640" w:firstLineChars="200"/>
        <w:rPr>
          <w:rFonts w:eastAsia="仿宋_GB2312"/>
          <w:sz w:val="32"/>
          <w:szCs w:val="32"/>
        </w:rPr>
      </w:pPr>
      <w:r>
        <w:rPr>
          <w:rFonts w:eastAsia="仿宋_GB2312"/>
          <w:sz w:val="32"/>
          <w:szCs w:val="32"/>
        </w:rPr>
        <w:t>（2）规模化、专业化程度不高。全市</w:t>
      </w:r>
      <w:r>
        <w:rPr>
          <w:rFonts w:hint="eastAsia" w:eastAsia="仿宋_GB2312"/>
          <w:sz w:val="32"/>
          <w:szCs w:val="32"/>
        </w:rPr>
        <w:t>花卉</w:t>
      </w:r>
      <w:r>
        <w:rPr>
          <w:rFonts w:eastAsia="仿宋_GB2312"/>
          <w:sz w:val="32"/>
          <w:szCs w:val="32"/>
        </w:rPr>
        <w:t>产业总体种</w:t>
      </w:r>
    </w:p>
    <w:p w14:paraId="0D60080E">
      <w:pPr>
        <w:autoSpaceDE w:val="0"/>
        <w:autoSpaceDN w:val="0"/>
        <w:adjustRightInd w:val="0"/>
        <w:rPr>
          <w:rFonts w:eastAsia="仿宋_GB2312"/>
          <w:sz w:val="32"/>
          <w:szCs w:val="32"/>
        </w:rPr>
      </w:pPr>
      <w:r>
        <w:rPr>
          <w:rFonts w:eastAsia="仿宋_GB2312"/>
          <w:sz w:val="32"/>
          <w:szCs w:val="32"/>
        </w:rPr>
        <w:t>植面积不大，产值</w:t>
      </w:r>
      <w:r>
        <w:rPr>
          <w:rFonts w:hint="eastAsia" w:eastAsia="仿宋_GB2312"/>
          <w:sz w:val="32"/>
          <w:szCs w:val="32"/>
        </w:rPr>
        <w:t>低，</w:t>
      </w:r>
      <w:r>
        <w:rPr>
          <w:rFonts w:eastAsia="仿宋_GB2312"/>
          <w:sz w:val="32"/>
          <w:szCs w:val="32"/>
        </w:rPr>
        <w:t>未形成真正意义上的规模化、标准化、产业化生产，花卉龙头企业数量少，带动能力较弱，未形成“龙头企业+合作社+</w:t>
      </w:r>
      <w:r>
        <w:rPr>
          <w:rFonts w:hint="eastAsia" w:eastAsia="仿宋_GB2312"/>
          <w:sz w:val="32"/>
          <w:szCs w:val="32"/>
        </w:rPr>
        <w:t>基地+</w:t>
      </w:r>
      <w:r>
        <w:rPr>
          <w:rFonts w:eastAsia="仿宋_GB2312"/>
          <w:sz w:val="32"/>
          <w:szCs w:val="32"/>
        </w:rPr>
        <w:t>农户”集成产业群，市场竞争力难以提高。</w:t>
      </w:r>
    </w:p>
    <w:p w14:paraId="3821A86D">
      <w:pPr>
        <w:autoSpaceDE w:val="0"/>
        <w:autoSpaceDN w:val="0"/>
        <w:adjustRightInd w:val="0"/>
        <w:ind w:left="640"/>
        <w:rPr>
          <w:rFonts w:hint="eastAsia" w:eastAsia="仿宋_GB2312"/>
          <w:sz w:val="32"/>
          <w:szCs w:val="32"/>
        </w:rPr>
      </w:pPr>
      <w:r>
        <w:rPr>
          <w:rFonts w:hint="eastAsia" w:eastAsia="仿宋_GB2312"/>
          <w:sz w:val="32"/>
          <w:szCs w:val="32"/>
        </w:rPr>
        <w:t>（3）科技</w:t>
      </w:r>
      <w:r>
        <w:rPr>
          <w:rFonts w:eastAsia="仿宋_GB2312"/>
          <w:sz w:val="32"/>
          <w:szCs w:val="32"/>
        </w:rPr>
        <w:t>投入</w:t>
      </w:r>
      <w:r>
        <w:rPr>
          <w:rFonts w:hint="eastAsia" w:eastAsia="仿宋_GB2312"/>
          <w:sz w:val="32"/>
          <w:szCs w:val="32"/>
        </w:rPr>
        <w:t>不足</w:t>
      </w:r>
      <w:r>
        <w:rPr>
          <w:rFonts w:eastAsia="仿宋_GB2312"/>
          <w:sz w:val="32"/>
          <w:szCs w:val="32"/>
        </w:rPr>
        <w:t>。</w:t>
      </w:r>
      <w:r>
        <w:rPr>
          <w:rFonts w:hint="eastAsia" w:eastAsia="仿宋_GB2312"/>
          <w:sz w:val="32"/>
          <w:szCs w:val="32"/>
        </w:rPr>
        <w:t>花卉</w:t>
      </w:r>
      <w:r>
        <w:rPr>
          <w:rFonts w:eastAsia="仿宋_GB2312"/>
          <w:sz w:val="32"/>
          <w:szCs w:val="32"/>
        </w:rPr>
        <w:t>企业缺乏</w:t>
      </w:r>
      <w:r>
        <w:rPr>
          <w:rFonts w:hint="eastAsia" w:eastAsia="仿宋_GB2312"/>
          <w:sz w:val="32"/>
          <w:szCs w:val="32"/>
        </w:rPr>
        <w:t>高端研究</w:t>
      </w:r>
      <w:r>
        <w:rPr>
          <w:rFonts w:eastAsia="仿宋_GB2312"/>
          <w:sz w:val="32"/>
          <w:szCs w:val="32"/>
        </w:rPr>
        <w:t>人才，尤</w:t>
      </w:r>
    </w:p>
    <w:p w14:paraId="7E471EEF">
      <w:pPr>
        <w:autoSpaceDE w:val="0"/>
        <w:autoSpaceDN w:val="0"/>
        <w:adjustRightInd w:val="0"/>
        <w:rPr>
          <w:rFonts w:hint="eastAsia" w:eastAsia="仿宋_GB2312"/>
          <w:sz w:val="32"/>
          <w:szCs w:val="32"/>
        </w:rPr>
      </w:pPr>
      <w:r>
        <w:rPr>
          <w:rFonts w:eastAsia="仿宋_GB2312"/>
          <w:sz w:val="32"/>
          <w:szCs w:val="32"/>
        </w:rPr>
        <w:t>其在新品种培育和生产配套技术研发方面能力低。表现为花卉新品种和关键技术均从省外引进，具有自主知识产权的新品种和新技术少，难以参与高端产品市场竞争。企业与科研机构结合不紧密，缺乏资源的有效整合和技术协作，致使一些科研成果得不到及时推广和应用</w:t>
      </w:r>
      <w:r>
        <w:rPr>
          <w:rFonts w:hint="eastAsia" w:eastAsia="仿宋_GB2312"/>
          <w:sz w:val="32"/>
          <w:szCs w:val="32"/>
        </w:rPr>
        <w:t>。</w:t>
      </w:r>
      <w:r>
        <w:rPr>
          <w:rFonts w:eastAsia="仿宋_GB2312"/>
          <w:sz w:val="32"/>
          <w:szCs w:val="32"/>
        </w:rPr>
        <w:t>行业</w:t>
      </w:r>
      <w:r>
        <w:rPr>
          <w:rFonts w:hint="eastAsia" w:eastAsia="仿宋_GB2312"/>
          <w:sz w:val="32"/>
          <w:szCs w:val="32"/>
        </w:rPr>
        <w:t>内</w:t>
      </w:r>
      <w:r>
        <w:rPr>
          <w:rFonts w:eastAsia="仿宋_GB2312"/>
          <w:sz w:val="32"/>
          <w:szCs w:val="32"/>
        </w:rPr>
        <w:t>科技创新能力</w:t>
      </w:r>
      <w:r>
        <w:rPr>
          <w:rFonts w:hint="eastAsia" w:eastAsia="仿宋_GB2312"/>
          <w:sz w:val="32"/>
          <w:szCs w:val="32"/>
        </w:rPr>
        <w:t>和资金投入均</w:t>
      </w:r>
      <w:r>
        <w:rPr>
          <w:rFonts w:eastAsia="仿宋_GB2312"/>
          <w:sz w:val="32"/>
          <w:szCs w:val="32"/>
        </w:rPr>
        <w:t>有待提</w:t>
      </w:r>
      <w:r>
        <w:rPr>
          <w:rFonts w:hint="eastAsia" w:eastAsia="仿宋_GB2312"/>
          <w:sz w:val="32"/>
          <w:szCs w:val="32"/>
        </w:rPr>
        <w:t>升。</w:t>
      </w:r>
    </w:p>
    <w:p w14:paraId="097A9FA7">
      <w:pPr>
        <w:autoSpaceDE w:val="0"/>
        <w:autoSpaceDN w:val="0"/>
        <w:adjustRightInd w:val="0"/>
        <w:ind w:firstLine="640" w:firstLineChars="200"/>
        <w:rPr>
          <w:rFonts w:eastAsia="仿宋_GB2312"/>
          <w:sz w:val="32"/>
          <w:szCs w:val="32"/>
        </w:rPr>
      </w:pPr>
      <w:r>
        <w:rPr>
          <w:rFonts w:eastAsia="仿宋_GB2312"/>
          <w:sz w:val="32"/>
          <w:szCs w:val="32"/>
        </w:rPr>
        <w:t>（4）交易体系不健全。三亚市尚未建立一个成规模的花卉交易市场，只有零星几处临时搭建的销售点，销售渠道相对狭窄，销售方式较为单一。销售运输渠道多为空运，物流中间环节较多、流程繁琐、耗时费钱，且保鲜、冷藏、运输、</w:t>
      </w:r>
      <w:r>
        <w:rPr>
          <w:rFonts w:hint="eastAsia" w:eastAsia="仿宋_GB2312"/>
          <w:sz w:val="32"/>
          <w:szCs w:val="32"/>
        </w:rPr>
        <w:t>隔检</w:t>
      </w:r>
      <w:r>
        <w:rPr>
          <w:rFonts w:eastAsia="仿宋_GB2312"/>
          <w:sz w:val="32"/>
          <w:szCs w:val="32"/>
        </w:rPr>
        <w:t>等物流基础设施相对落后，产品</w:t>
      </w:r>
      <w:r>
        <w:rPr>
          <w:rFonts w:hint="eastAsia" w:eastAsia="仿宋_GB2312"/>
          <w:sz w:val="32"/>
          <w:szCs w:val="32"/>
        </w:rPr>
        <w:t>交易</w:t>
      </w:r>
      <w:r>
        <w:rPr>
          <w:rFonts w:eastAsia="仿宋_GB2312"/>
          <w:sz w:val="32"/>
          <w:szCs w:val="32"/>
        </w:rPr>
        <w:t>体系不健全已成为三亚花卉外销的制约因素。</w:t>
      </w:r>
    </w:p>
    <w:p w14:paraId="404B81A4">
      <w:pPr>
        <w:snapToGrid w:val="0"/>
        <w:spacing w:line="600" w:lineRule="exact"/>
        <w:ind w:firstLine="640" w:firstLineChars="200"/>
        <w:rPr>
          <w:rFonts w:hint="eastAsia" w:eastAsia="仿宋_GB2312"/>
          <w:sz w:val="32"/>
          <w:szCs w:val="32"/>
        </w:rPr>
      </w:pPr>
      <w:r>
        <w:rPr>
          <w:rFonts w:eastAsia="仿宋_GB2312"/>
          <w:sz w:val="32"/>
          <w:szCs w:val="32"/>
        </w:rPr>
        <w:t>（5）与旅游业结合不够。三亚市委市政府强调将热带花卉产业与旅游业有机结合起来，企业投资建成了花卉主题公园、生态大观园、农业观光园等，如“玫瑰谷”、“国家水稻公园”、“兰花世界”等，这些以花卉展、花卉主题的旅游景点已产生效益，对花卉产业发展起到一定的推动作用，但花卉旅游节运作模式还有待改进，发展思路、运营模式、策划策略等方面进行尚未统一规划。</w:t>
      </w:r>
    </w:p>
    <w:p w14:paraId="2BB93E5B">
      <w:pPr>
        <w:snapToGrid w:val="0"/>
        <w:spacing w:line="600" w:lineRule="exact"/>
        <w:ind w:firstLine="640" w:firstLineChars="200"/>
        <w:rPr>
          <w:rFonts w:eastAsia="仿宋_GB2312"/>
          <w:sz w:val="32"/>
          <w:szCs w:val="32"/>
        </w:rPr>
      </w:pPr>
      <w:r>
        <w:rPr>
          <w:rFonts w:hint="eastAsia" w:eastAsia="仿宋_GB2312"/>
          <w:sz w:val="32"/>
          <w:szCs w:val="32"/>
        </w:rPr>
        <w:t>（6）政策扶持不</w:t>
      </w:r>
      <w:r>
        <w:rPr>
          <w:rFonts w:eastAsia="仿宋_GB2312"/>
          <w:sz w:val="32"/>
          <w:szCs w:val="32"/>
        </w:rPr>
        <w:t>到位</w:t>
      </w:r>
      <w:r>
        <w:rPr>
          <w:rFonts w:hint="eastAsia" w:eastAsia="仿宋_GB2312"/>
          <w:sz w:val="32"/>
          <w:szCs w:val="32"/>
        </w:rPr>
        <w:t>。一是尚未有支持花卉产业发展的持续性政策和措施，企业得不到政府资金的有效扶持。二是尚未有花卉销售绿色通道，造成花卉运输不畅，运输成本增加</w:t>
      </w:r>
      <w:r>
        <w:rPr>
          <w:rFonts w:eastAsia="仿宋_GB2312"/>
          <w:sz w:val="32"/>
          <w:szCs w:val="32"/>
        </w:rPr>
        <w:t>。</w:t>
      </w:r>
      <w:r>
        <w:rPr>
          <w:rFonts w:hint="eastAsia" w:eastAsia="仿宋_GB2312"/>
          <w:sz w:val="32"/>
          <w:szCs w:val="32"/>
        </w:rPr>
        <w:t>三是花卉企业还未申请到贷款贴息。四是花卉产业没有纳入保险体系，企业投资风险大。五是花卉基地旅游设施用地受限，游客服务中心等基础设施难以建设，一二三产业难以较好地融合。</w:t>
      </w:r>
    </w:p>
    <w:p w14:paraId="7C99F15C">
      <w:pPr>
        <w:pStyle w:val="3"/>
        <w:spacing w:before="0" w:after="0" w:line="240" w:lineRule="auto"/>
        <w:rPr>
          <w:rFonts w:ascii="Times New Roman" w:hAnsi="Times New Roman" w:eastAsia="黑体"/>
        </w:rPr>
      </w:pPr>
      <w:bookmarkStart w:id="86" w:name="_Toc18425"/>
      <w:bookmarkStart w:id="87" w:name="_Toc82546084"/>
      <w:r>
        <w:rPr>
          <w:rFonts w:hint="eastAsia" w:ascii="Times New Roman" w:hAnsi="Times New Roman" w:eastAsia="黑体"/>
        </w:rPr>
        <w:t>7</w:t>
      </w:r>
      <w:r>
        <w:rPr>
          <w:rFonts w:ascii="Times New Roman" w:hAnsi="Times New Roman" w:eastAsia="黑体"/>
        </w:rPr>
        <w:t>.3 总体布局与规划目标</w:t>
      </w:r>
      <w:bookmarkEnd w:id="86"/>
      <w:bookmarkEnd w:id="87"/>
    </w:p>
    <w:p w14:paraId="38CD617D">
      <w:pPr>
        <w:ind w:firstLine="643" w:firstLineChars="200"/>
        <w:rPr>
          <w:rStyle w:val="44"/>
          <w:rFonts w:hAnsi="Times New Roman" w:eastAsia="仿宋_GB2312" w:cs="Times New Roman"/>
          <w:b/>
          <w:bCs/>
          <w:sz w:val="32"/>
          <w:szCs w:val="32"/>
        </w:rPr>
      </w:pPr>
      <w:r>
        <w:rPr>
          <w:rStyle w:val="44"/>
          <w:rFonts w:hAnsi="Times New Roman" w:eastAsia="仿宋_GB2312" w:cs="Times New Roman"/>
          <w:b/>
          <w:bCs/>
          <w:sz w:val="32"/>
          <w:szCs w:val="32"/>
        </w:rPr>
        <w:t>（1）总体布局</w:t>
      </w:r>
    </w:p>
    <w:p w14:paraId="3A21D70C">
      <w:pPr>
        <w:ind w:firstLine="640" w:firstLineChars="200"/>
        <w:rPr>
          <w:rStyle w:val="44"/>
          <w:rFonts w:hAnsi="Times New Roman" w:eastAsia="仿宋_GB2312" w:cs="Times New Roman"/>
          <w:sz w:val="32"/>
          <w:szCs w:val="32"/>
        </w:rPr>
      </w:pPr>
      <w:r>
        <w:rPr>
          <w:rStyle w:val="44"/>
          <w:rFonts w:hAnsi="Times New Roman" w:eastAsia="仿宋_GB2312" w:cs="Times New Roman"/>
          <w:sz w:val="32"/>
          <w:szCs w:val="32"/>
        </w:rPr>
        <w:t>紧紧围绕</w:t>
      </w:r>
      <w:r>
        <w:rPr>
          <w:rFonts w:eastAsia="仿宋_GB2312"/>
          <w:sz w:val="32"/>
          <w:szCs w:val="32"/>
        </w:rPr>
        <w:t>三亚市国民经济和社会发展第十四个五年规划和二</w:t>
      </w:r>
      <w:r>
        <w:rPr>
          <w:sz w:val="32"/>
          <w:szCs w:val="32"/>
        </w:rPr>
        <w:t>〇</w:t>
      </w:r>
      <w:r>
        <w:rPr>
          <w:rFonts w:eastAsia="仿宋_GB2312"/>
          <w:sz w:val="32"/>
          <w:szCs w:val="32"/>
        </w:rPr>
        <w:t>三五年远景目标</w:t>
      </w:r>
      <w:r>
        <w:rPr>
          <w:rFonts w:hint="eastAsia" w:eastAsia="仿宋_GB2312"/>
          <w:sz w:val="32"/>
          <w:szCs w:val="32"/>
        </w:rPr>
        <w:t>纲要，</w:t>
      </w:r>
      <w:r>
        <w:rPr>
          <w:rFonts w:hint="eastAsia" w:eastAsia="仿宋_GB2312"/>
          <w:kern w:val="0"/>
          <w:sz w:val="32"/>
          <w:szCs w:val="32"/>
        </w:rPr>
        <w:t>以育才生态区“三亚后花园”为总体定位，以规划新建的“林产品交易中心”为纽带；以建设</w:t>
      </w:r>
      <w:r>
        <w:rPr>
          <w:rStyle w:val="44"/>
          <w:rFonts w:hAnsi="Times New Roman" w:eastAsia="仿宋_GB2312" w:cs="Times New Roman"/>
          <w:sz w:val="32"/>
          <w:szCs w:val="32"/>
        </w:rPr>
        <w:t>培育林木和花卉种苗品牌和龙头企业为抓手，着力推进三亚现代林木种苗与花卉产业建设，使林木种苗与花卉产业成为三亚市国民经济和社会</w:t>
      </w:r>
      <w:r>
        <w:rPr>
          <w:rStyle w:val="44"/>
          <w:rFonts w:hint="eastAsia" w:hAnsi="Times New Roman" w:eastAsia="仿宋_GB2312" w:cs="Times New Roman"/>
          <w:sz w:val="32"/>
          <w:szCs w:val="32"/>
        </w:rPr>
        <w:t>发</w:t>
      </w:r>
      <w:r>
        <w:rPr>
          <w:rStyle w:val="44"/>
          <w:rFonts w:hAnsi="Times New Roman" w:eastAsia="仿宋_GB2312" w:cs="Times New Roman"/>
          <w:sz w:val="32"/>
          <w:szCs w:val="32"/>
        </w:rPr>
        <w:t>展中重要的产业之一，对于三亚市绿化美化环境、调整产业结构、增加农民收入、扩大社会就业、提高人民生活质量、促进经济社会发展和生态文明建设等发挥重要作用。</w:t>
      </w:r>
    </w:p>
    <w:p w14:paraId="3F43AAA5">
      <w:pPr>
        <w:ind w:firstLine="643" w:firstLineChars="200"/>
        <w:rPr>
          <w:rStyle w:val="44"/>
          <w:rFonts w:hAnsi="Times New Roman" w:eastAsia="仿宋_GB2312" w:cs="Times New Roman"/>
          <w:b/>
          <w:bCs/>
          <w:sz w:val="32"/>
          <w:szCs w:val="32"/>
        </w:rPr>
      </w:pPr>
      <w:r>
        <w:rPr>
          <w:rStyle w:val="44"/>
          <w:rFonts w:hAnsi="Times New Roman" w:eastAsia="仿宋_GB2312" w:cs="Times New Roman"/>
          <w:b/>
          <w:bCs/>
          <w:sz w:val="32"/>
          <w:szCs w:val="32"/>
        </w:rPr>
        <w:t>（2）规划目标</w:t>
      </w:r>
    </w:p>
    <w:p w14:paraId="21F65A21">
      <w:pPr>
        <w:pBdr>
          <w:top w:val="none" w:color="auto" w:sz="0" w:space="1"/>
          <w:left w:val="none" w:color="auto" w:sz="0" w:space="4"/>
          <w:bottom w:val="none" w:color="auto" w:sz="0" w:space="5"/>
          <w:right w:val="none" w:color="auto" w:sz="0" w:space="4"/>
        </w:pBdr>
        <w:ind w:firstLine="643" w:firstLineChars="200"/>
        <w:jc w:val="left"/>
        <w:rPr>
          <w:rFonts w:eastAsia="仿宋_GB2312"/>
          <w:b/>
          <w:bCs/>
          <w:kern w:val="0"/>
          <w:sz w:val="32"/>
          <w:szCs w:val="32"/>
        </w:rPr>
      </w:pPr>
      <w:r>
        <w:rPr>
          <w:rFonts w:eastAsia="仿宋_GB2312"/>
          <w:b/>
          <w:bCs/>
          <w:kern w:val="0"/>
          <w:sz w:val="32"/>
          <w:szCs w:val="32"/>
        </w:rPr>
        <w:t>近期(2021～2025年)目标：</w:t>
      </w:r>
    </w:p>
    <w:p w14:paraId="02EC63D5">
      <w:pPr>
        <w:pBdr>
          <w:top w:val="none" w:color="auto" w:sz="0" w:space="1"/>
          <w:left w:val="none" w:color="auto" w:sz="0" w:space="4"/>
          <w:bottom w:val="none" w:color="auto" w:sz="0" w:space="5"/>
          <w:right w:val="none" w:color="auto" w:sz="0" w:space="4"/>
        </w:pBdr>
        <w:ind w:firstLine="640" w:firstLineChars="200"/>
        <w:jc w:val="left"/>
        <w:rPr>
          <w:rFonts w:eastAsia="仿宋_GB2312"/>
          <w:kern w:val="0"/>
          <w:sz w:val="32"/>
          <w:szCs w:val="32"/>
        </w:rPr>
      </w:pPr>
      <w:r>
        <w:rPr>
          <w:rFonts w:hint="eastAsia" w:ascii="宋体" w:hAnsi="宋体" w:cs="宋体"/>
          <w:kern w:val="0"/>
          <w:sz w:val="32"/>
          <w:szCs w:val="32"/>
        </w:rPr>
        <w:t>①</w:t>
      </w:r>
      <w:r>
        <w:rPr>
          <w:rFonts w:eastAsia="仿宋_GB2312"/>
          <w:kern w:val="0"/>
          <w:sz w:val="32"/>
          <w:szCs w:val="32"/>
        </w:rPr>
        <w:t>建设林木种苗与花卉繁育基地</w:t>
      </w:r>
      <w:r>
        <w:rPr>
          <w:rFonts w:hint="eastAsia" w:eastAsia="仿宋_GB2312"/>
          <w:kern w:val="0"/>
          <w:sz w:val="32"/>
          <w:szCs w:val="32"/>
        </w:rPr>
        <w:t>，</w:t>
      </w:r>
      <w:r>
        <w:rPr>
          <w:rFonts w:eastAsia="仿宋_GB2312"/>
          <w:kern w:val="0"/>
          <w:sz w:val="32"/>
          <w:szCs w:val="32"/>
        </w:rPr>
        <w:t>打造育才</w:t>
      </w:r>
      <w:r>
        <w:rPr>
          <w:rFonts w:hint="eastAsia" w:eastAsia="仿宋_GB2312"/>
          <w:kern w:val="0"/>
          <w:sz w:val="32"/>
          <w:szCs w:val="32"/>
        </w:rPr>
        <w:t>种苗</w:t>
      </w:r>
      <w:r>
        <w:rPr>
          <w:rFonts w:eastAsia="仿宋_GB2312"/>
          <w:kern w:val="0"/>
          <w:sz w:val="32"/>
          <w:szCs w:val="32"/>
        </w:rPr>
        <w:t>花卉产业园，主要包括林木种苗繁育基地</w:t>
      </w:r>
      <w:r>
        <w:rPr>
          <w:rFonts w:hint="eastAsia" w:eastAsia="仿宋_GB2312"/>
          <w:kern w:val="0"/>
          <w:sz w:val="32"/>
          <w:szCs w:val="32"/>
        </w:rPr>
        <w:t>6</w:t>
      </w:r>
      <w:r>
        <w:rPr>
          <w:rFonts w:eastAsia="仿宋_GB2312"/>
          <w:kern w:val="0"/>
          <w:sz w:val="32"/>
          <w:szCs w:val="32"/>
        </w:rPr>
        <w:t>7hm</w:t>
      </w:r>
      <w:r>
        <w:rPr>
          <w:rFonts w:eastAsia="仿宋_GB2312"/>
          <w:kern w:val="0"/>
          <w:sz w:val="32"/>
          <w:szCs w:val="32"/>
          <w:vertAlign w:val="superscript"/>
        </w:rPr>
        <w:t>2</w:t>
      </w:r>
      <w:r>
        <w:rPr>
          <w:rFonts w:hint="eastAsia" w:eastAsia="仿宋_GB2312"/>
          <w:kern w:val="0"/>
          <w:sz w:val="32"/>
          <w:szCs w:val="32"/>
        </w:rPr>
        <w:t>、</w:t>
      </w:r>
      <w:r>
        <w:rPr>
          <w:rFonts w:eastAsia="仿宋_GB2312"/>
          <w:kern w:val="0"/>
          <w:sz w:val="32"/>
          <w:szCs w:val="32"/>
        </w:rPr>
        <w:t>林木种苗良种基地</w:t>
      </w:r>
      <w:r>
        <w:rPr>
          <w:rFonts w:hint="eastAsia" w:eastAsia="仿宋_GB2312"/>
          <w:kern w:val="0"/>
          <w:sz w:val="32"/>
          <w:szCs w:val="32"/>
        </w:rPr>
        <w:t>20hm</w:t>
      </w:r>
      <w:r>
        <w:rPr>
          <w:rFonts w:hint="eastAsia" w:eastAsia="仿宋_GB2312"/>
          <w:kern w:val="0"/>
          <w:sz w:val="32"/>
          <w:szCs w:val="32"/>
          <w:vertAlign w:val="superscript"/>
        </w:rPr>
        <w:t>2</w:t>
      </w:r>
      <w:r>
        <w:rPr>
          <w:rFonts w:hint="eastAsia" w:eastAsia="仿宋_GB2312"/>
          <w:kern w:val="0"/>
          <w:sz w:val="32"/>
          <w:szCs w:val="32"/>
        </w:rPr>
        <w:t>和花卉</w:t>
      </w:r>
      <w:r>
        <w:rPr>
          <w:rFonts w:eastAsia="仿宋_GB2312"/>
          <w:kern w:val="0"/>
          <w:sz w:val="32"/>
          <w:szCs w:val="32"/>
        </w:rPr>
        <w:t>产业园267 hm</w:t>
      </w:r>
      <w:r>
        <w:rPr>
          <w:rFonts w:eastAsia="仿宋_GB2312"/>
          <w:kern w:val="0"/>
          <w:sz w:val="32"/>
          <w:szCs w:val="32"/>
          <w:vertAlign w:val="superscript"/>
        </w:rPr>
        <w:t>2</w:t>
      </w:r>
      <w:r>
        <w:rPr>
          <w:rFonts w:hint="eastAsia" w:eastAsia="仿宋_GB2312"/>
          <w:kern w:val="0"/>
          <w:sz w:val="32"/>
          <w:szCs w:val="32"/>
        </w:rPr>
        <w:t>；</w:t>
      </w:r>
      <w:r>
        <w:rPr>
          <w:rFonts w:eastAsia="仿宋_GB2312"/>
          <w:kern w:val="0"/>
          <w:sz w:val="32"/>
          <w:szCs w:val="32"/>
        </w:rPr>
        <w:t xml:space="preserve"> </w:t>
      </w:r>
    </w:p>
    <w:p w14:paraId="41BE8C90">
      <w:pPr>
        <w:pBdr>
          <w:top w:val="none" w:color="auto" w:sz="0" w:space="1"/>
          <w:left w:val="none" w:color="auto" w:sz="0" w:space="4"/>
          <w:bottom w:val="none" w:color="auto" w:sz="0" w:space="5"/>
          <w:right w:val="none" w:color="auto" w:sz="0" w:space="4"/>
        </w:pBdr>
        <w:ind w:firstLine="640" w:firstLineChars="200"/>
        <w:jc w:val="left"/>
        <w:rPr>
          <w:rStyle w:val="44"/>
          <w:rFonts w:hint="eastAsia" w:hAnsi="Times New Roman" w:eastAsia="仿宋_GB2312" w:cs="Times New Roman"/>
          <w:sz w:val="32"/>
          <w:szCs w:val="32"/>
        </w:rPr>
      </w:pPr>
      <w:r>
        <w:rPr>
          <w:rStyle w:val="44"/>
          <w:rFonts w:hint="eastAsia" w:ascii="宋体" w:hAnsi="宋体" w:eastAsia="宋体" w:cs="宋体"/>
          <w:sz w:val="32"/>
          <w:szCs w:val="32"/>
        </w:rPr>
        <w:t>②</w:t>
      </w:r>
      <w:r>
        <w:rPr>
          <w:rFonts w:eastAsia="仿宋_GB2312"/>
          <w:kern w:val="0"/>
          <w:sz w:val="32"/>
          <w:szCs w:val="32"/>
        </w:rPr>
        <w:t>建设国家林木种质资源库海南分库67 hm</w:t>
      </w:r>
      <w:r>
        <w:rPr>
          <w:rFonts w:eastAsia="仿宋_GB2312"/>
          <w:kern w:val="0"/>
          <w:sz w:val="32"/>
          <w:szCs w:val="32"/>
          <w:vertAlign w:val="superscript"/>
        </w:rPr>
        <w:t>2</w:t>
      </w:r>
      <w:r>
        <w:rPr>
          <w:rFonts w:hint="eastAsia" w:eastAsia="仿宋_GB2312"/>
          <w:kern w:val="0"/>
          <w:sz w:val="32"/>
          <w:szCs w:val="32"/>
        </w:rPr>
        <w:t>；</w:t>
      </w:r>
      <w:r>
        <w:rPr>
          <w:rFonts w:eastAsia="仿宋_GB2312"/>
          <w:kern w:val="0"/>
          <w:sz w:val="32"/>
          <w:szCs w:val="32"/>
        </w:rPr>
        <w:t>扩大</w:t>
      </w:r>
      <w:r>
        <w:rPr>
          <w:rStyle w:val="44"/>
          <w:rFonts w:hAnsi="Times New Roman" w:eastAsia="仿宋_GB2312" w:cs="Times New Roman"/>
          <w:sz w:val="32"/>
          <w:szCs w:val="32"/>
        </w:rPr>
        <w:t>提升国家热带兰花种质资源库</w:t>
      </w:r>
      <w:r>
        <w:rPr>
          <w:rStyle w:val="44"/>
          <w:rFonts w:hint="eastAsia" w:hAnsi="Times New Roman" w:eastAsia="仿宋_GB2312" w:cs="Times New Roman"/>
          <w:sz w:val="32"/>
          <w:szCs w:val="32"/>
        </w:rPr>
        <w:t>，</w:t>
      </w:r>
      <w:r>
        <w:rPr>
          <w:rStyle w:val="44"/>
          <w:rFonts w:hAnsi="Times New Roman" w:eastAsia="仿宋_GB2312" w:cs="Times New Roman"/>
          <w:sz w:val="32"/>
          <w:szCs w:val="32"/>
        </w:rPr>
        <w:t>建设规模</w:t>
      </w:r>
      <w:r>
        <w:rPr>
          <w:rStyle w:val="44"/>
          <w:rFonts w:hint="eastAsia" w:hAnsi="Times New Roman" w:eastAsia="仿宋_GB2312" w:cs="Times New Roman"/>
          <w:sz w:val="32"/>
          <w:szCs w:val="32"/>
        </w:rPr>
        <w:t>6.7</w:t>
      </w:r>
      <w:r>
        <w:rPr>
          <w:rFonts w:eastAsia="仿宋_GB2312"/>
          <w:kern w:val="0"/>
          <w:sz w:val="32"/>
          <w:szCs w:val="32"/>
        </w:rPr>
        <w:t xml:space="preserve"> hm</w:t>
      </w:r>
      <w:r>
        <w:rPr>
          <w:rFonts w:eastAsia="仿宋_GB2312"/>
          <w:kern w:val="0"/>
          <w:sz w:val="32"/>
          <w:szCs w:val="32"/>
          <w:vertAlign w:val="superscript"/>
        </w:rPr>
        <w:t>2</w:t>
      </w:r>
      <w:r>
        <w:rPr>
          <w:rStyle w:val="44"/>
          <w:rFonts w:hint="eastAsia" w:hAnsi="Times New Roman" w:eastAsia="仿宋_GB2312" w:cs="Times New Roman"/>
          <w:sz w:val="32"/>
          <w:szCs w:val="32"/>
        </w:rPr>
        <w:t>；</w:t>
      </w:r>
    </w:p>
    <w:p w14:paraId="46235445">
      <w:pPr>
        <w:pBdr>
          <w:top w:val="none" w:color="auto" w:sz="0" w:space="1"/>
          <w:left w:val="none" w:color="auto" w:sz="0" w:space="4"/>
          <w:bottom w:val="none" w:color="auto" w:sz="0" w:space="5"/>
          <w:right w:val="none" w:color="auto" w:sz="0" w:space="4"/>
        </w:pBdr>
        <w:ind w:firstLine="640" w:firstLineChars="200"/>
        <w:jc w:val="left"/>
        <w:rPr>
          <w:rStyle w:val="44"/>
          <w:rFonts w:hint="eastAsia" w:hAnsi="Times New Roman" w:eastAsia="仿宋_GB2312" w:cs="Times New Roman"/>
          <w:sz w:val="32"/>
          <w:szCs w:val="32"/>
        </w:rPr>
      </w:pPr>
      <w:r>
        <w:rPr>
          <w:rStyle w:val="44"/>
          <w:rFonts w:hint="eastAsia" w:hAnsi="Times New Roman" w:eastAsia="仿宋_GB2312" w:cs="Times New Roman"/>
          <w:sz w:val="32"/>
          <w:szCs w:val="32"/>
        </w:rPr>
        <w:t>③建设</w:t>
      </w:r>
      <w:r>
        <w:rPr>
          <w:rFonts w:eastAsia="仿宋_GB2312"/>
          <w:kern w:val="0"/>
          <w:sz w:val="32"/>
          <w:szCs w:val="32"/>
        </w:rPr>
        <w:t>花卉风情小镇1处</w:t>
      </w:r>
      <w:r>
        <w:rPr>
          <w:rFonts w:hint="eastAsia" w:eastAsia="仿宋_GB2312"/>
          <w:kern w:val="0"/>
          <w:sz w:val="32"/>
          <w:szCs w:val="32"/>
        </w:rPr>
        <w:t>；</w:t>
      </w:r>
    </w:p>
    <w:p w14:paraId="5464B162">
      <w:pPr>
        <w:pBdr>
          <w:top w:val="none" w:color="auto" w:sz="0" w:space="1"/>
          <w:left w:val="none" w:color="auto" w:sz="0" w:space="4"/>
          <w:bottom w:val="none" w:color="auto" w:sz="0" w:space="5"/>
          <w:right w:val="none" w:color="auto" w:sz="0" w:space="4"/>
        </w:pBdr>
        <w:ind w:firstLine="640" w:firstLineChars="200"/>
        <w:jc w:val="left"/>
        <w:rPr>
          <w:rFonts w:hint="eastAsia" w:eastAsia="仿宋_GB2312"/>
          <w:kern w:val="0"/>
          <w:sz w:val="32"/>
          <w:szCs w:val="32"/>
        </w:rPr>
      </w:pPr>
      <w:r>
        <w:rPr>
          <w:rStyle w:val="44"/>
          <w:rFonts w:hint="eastAsia" w:hAnsi="Times New Roman" w:eastAsia="仿宋_GB2312" w:cs="Times New Roman"/>
          <w:sz w:val="32"/>
          <w:szCs w:val="32"/>
        </w:rPr>
        <w:t>④</w:t>
      </w:r>
      <w:r>
        <w:rPr>
          <w:rFonts w:eastAsia="仿宋_GB2312"/>
          <w:kern w:val="0"/>
          <w:sz w:val="32"/>
          <w:szCs w:val="32"/>
        </w:rPr>
        <w:t>建设热带花卉主题公园1处</w:t>
      </w:r>
      <w:r>
        <w:rPr>
          <w:rFonts w:hint="eastAsia" w:eastAsia="仿宋_GB2312"/>
          <w:kern w:val="0"/>
          <w:sz w:val="32"/>
          <w:szCs w:val="32"/>
        </w:rPr>
        <w:t>；</w:t>
      </w:r>
    </w:p>
    <w:p w14:paraId="35F5E008">
      <w:pPr>
        <w:pBdr>
          <w:top w:val="none" w:color="auto" w:sz="0" w:space="1"/>
          <w:left w:val="none" w:color="auto" w:sz="0" w:space="4"/>
          <w:bottom w:val="none" w:color="auto" w:sz="0" w:space="5"/>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⑤建设南丁花卉生态村1处；</w:t>
      </w:r>
    </w:p>
    <w:p w14:paraId="34A06E2C">
      <w:pPr>
        <w:pBdr>
          <w:top w:val="none" w:color="auto" w:sz="0" w:space="1"/>
          <w:left w:val="none" w:color="auto" w:sz="0" w:space="4"/>
          <w:bottom w:val="none" w:color="auto" w:sz="0" w:space="5"/>
          <w:right w:val="none" w:color="auto" w:sz="0" w:space="4"/>
        </w:pBdr>
        <w:ind w:firstLine="640" w:firstLineChars="200"/>
        <w:jc w:val="left"/>
        <w:rPr>
          <w:rStyle w:val="44"/>
          <w:rFonts w:hAnsi="Times New Roman" w:eastAsia="仿宋_GB2312" w:cs="Times New Roman"/>
          <w:sz w:val="32"/>
          <w:szCs w:val="32"/>
        </w:rPr>
      </w:pPr>
      <w:r>
        <w:rPr>
          <w:rFonts w:hint="eastAsia" w:eastAsia="仿宋_GB2312"/>
          <w:kern w:val="0"/>
          <w:sz w:val="32"/>
          <w:szCs w:val="32"/>
        </w:rPr>
        <w:t>⑥</w:t>
      </w:r>
      <w:r>
        <w:rPr>
          <w:rFonts w:eastAsia="仿宋_GB2312"/>
          <w:kern w:val="0"/>
          <w:sz w:val="32"/>
          <w:szCs w:val="32"/>
        </w:rPr>
        <w:t>建设</w:t>
      </w:r>
      <w:r>
        <w:rPr>
          <w:rFonts w:hint="eastAsia" w:eastAsia="仿宋_GB2312"/>
          <w:kern w:val="0"/>
          <w:sz w:val="32"/>
          <w:szCs w:val="32"/>
        </w:rPr>
        <w:t>产业</w:t>
      </w:r>
      <w:r>
        <w:rPr>
          <w:rFonts w:eastAsia="仿宋_GB2312"/>
          <w:kern w:val="0"/>
          <w:sz w:val="32"/>
          <w:szCs w:val="32"/>
        </w:rPr>
        <w:t>孵化基地</w:t>
      </w:r>
      <w:r>
        <w:rPr>
          <w:rFonts w:hint="eastAsia" w:eastAsia="仿宋_GB2312"/>
          <w:kern w:val="0"/>
          <w:sz w:val="32"/>
          <w:szCs w:val="32"/>
        </w:rPr>
        <w:t>1处，种质隔离基地1处。</w:t>
      </w:r>
    </w:p>
    <w:p w14:paraId="09AF4A9B">
      <w:pPr>
        <w:pBdr>
          <w:top w:val="none" w:color="auto" w:sz="0" w:space="1"/>
          <w:left w:val="none" w:color="auto" w:sz="0" w:space="4"/>
          <w:bottom w:val="none" w:color="auto" w:sz="0" w:space="5"/>
          <w:right w:val="none" w:color="auto" w:sz="0" w:space="4"/>
        </w:pBdr>
        <w:ind w:firstLine="643" w:firstLineChars="200"/>
        <w:jc w:val="left"/>
        <w:rPr>
          <w:rFonts w:eastAsia="仿宋_GB2312"/>
          <w:b/>
          <w:bCs/>
          <w:kern w:val="0"/>
          <w:sz w:val="32"/>
          <w:szCs w:val="32"/>
        </w:rPr>
      </w:pPr>
      <w:r>
        <w:rPr>
          <w:rFonts w:eastAsia="仿宋_GB2312"/>
          <w:b/>
          <w:bCs/>
          <w:kern w:val="0"/>
          <w:sz w:val="32"/>
          <w:szCs w:val="32"/>
        </w:rPr>
        <w:t>中长期(2026～2035年)目标：</w:t>
      </w:r>
    </w:p>
    <w:p w14:paraId="24CDCDC3">
      <w:pPr>
        <w:pBdr>
          <w:top w:val="none" w:color="auto" w:sz="0" w:space="1"/>
          <w:left w:val="none" w:color="auto" w:sz="0" w:space="4"/>
          <w:bottom w:val="none" w:color="auto" w:sz="0" w:space="5"/>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①继续建设</w:t>
      </w:r>
      <w:r>
        <w:rPr>
          <w:rFonts w:eastAsia="仿宋_GB2312"/>
          <w:kern w:val="0"/>
          <w:sz w:val="32"/>
          <w:szCs w:val="32"/>
        </w:rPr>
        <w:t>林木种苗与花卉繁育基地</w:t>
      </w:r>
      <w:r>
        <w:rPr>
          <w:rFonts w:hint="eastAsia" w:eastAsia="仿宋_GB2312"/>
          <w:kern w:val="0"/>
          <w:sz w:val="32"/>
          <w:szCs w:val="32"/>
        </w:rPr>
        <w:t>；</w:t>
      </w:r>
    </w:p>
    <w:p w14:paraId="065B8730">
      <w:pPr>
        <w:pBdr>
          <w:top w:val="none" w:color="auto" w:sz="0" w:space="1"/>
          <w:left w:val="none" w:color="auto" w:sz="0" w:space="4"/>
          <w:bottom w:val="none" w:color="auto" w:sz="0" w:space="5"/>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②</w:t>
      </w:r>
      <w:r>
        <w:rPr>
          <w:rFonts w:eastAsia="仿宋_GB2312"/>
          <w:kern w:val="0"/>
          <w:sz w:val="32"/>
          <w:szCs w:val="32"/>
        </w:rPr>
        <w:t>新建</w:t>
      </w:r>
      <w:r>
        <w:rPr>
          <w:rFonts w:hint="eastAsia" w:eastAsia="仿宋_GB2312"/>
          <w:kern w:val="0"/>
          <w:sz w:val="32"/>
          <w:szCs w:val="32"/>
        </w:rPr>
        <w:t>（或提质）</w:t>
      </w:r>
      <w:r>
        <w:rPr>
          <w:rFonts w:eastAsia="仿宋_GB2312"/>
          <w:kern w:val="0"/>
          <w:sz w:val="32"/>
          <w:szCs w:val="32"/>
        </w:rPr>
        <w:t>花卉风情小镇</w:t>
      </w:r>
      <w:r>
        <w:rPr>
          <w:rFonts w:hint="eastAsia" w:eastAsia="仿宋_GB2312"/>
          <w:kern w:val="0"/>
          <w:sz w:val="32"/>
          <w:szCs w:val="32"/>
        </w:rPr>
        <w:t>3~5</w:t>
      </w:r>
      <w:r>
        <w:rPr>
          <w:rFonts w:eastAsia="仿宋_GB2312"/>
          <w:kern w:val="0"/>
          <w:sz w:val="32"/>
          <w:szCs w:val="32"/>
        </w:rPr>
        <w:t>处；</w:t>
      </w:r>
    </w:p>
    <w:p w14:paraId="005DEBA6">
      <w:pPr>
        <w:pBdr>
          <w:top w:val="none" w:color="auto" w:sz="0" w:space="1"/>
          <w:left w:val="none" w:color="auto" w:sz="0" w:space="4"/>
          <w:bottom w:val="none" w:color="auto" w:sz="0" w:space="5"/>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③建设南丁花卉生态村1处；</w:t>
      </w:r>
    </w:p>
    <w:p w14:paraId="2E25DD0D">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④</w:t>
      </w:r>
      <w:r>
        <w:rPr>
          <w:rFonts w:eastAsia="仿宋_GB2312"/>
          <w:kern w:val="0"/>
          <w:sz w:val="32"/>
          <w:szCs w:val="32"/>
        </w:rPr>
        <w:t>建设林产品交易中心</w:t>
      </w:r>
      <w:r>
        <w:rPr>
          <w:rFonts w:hint="eastAsia" w:eastAsia="仿宋_GB2312"/>
          <w:kern w:val="0"/>
          <w:sz w:val="32"/>
          <w:szCs w:val="32"/>
        </w:rPr>
        <w:t>和</w:t>
      </w:r>
      <w:r>
        <w:rPr>
          <w:rFonts w:eastAsia="仿宋_GB2312"/>
          <w:kern w:val="0"/>
          <w:sz w:val="32"/>
          <w:szCs w:val="32"/>
        </w:rPr>
        <w:t>会展中心各1处</w:t>
      </w:r>
      <w:r>
        <w:rPr>
          <w:rFonts w:hint="eastAsia" w:eastAsia="仿宋_GB2312"/>
          <w:kern w:val="0"/>
          <w:sz w:val="32"/>
          <w:szCs w:val="32"/>
        </w:rPr>
        <w:t>。</w:t>
      </w:r>
    </w:p>
    <w:p w14:paraId="7D9E19D5">
      <w:pPr>
        <w:pStyle w:val="3"/>
        <w:spacing w:before="0" w:after="0" w:line="240" w:lineRule="auto"/>
        <w:rPr>
          <w:rFonts w:hint="eastAsia" w:ascii="Times New Roman" w:hAnsi="Times New Roman" w:eastAsia="黑体"/>
        </w:rPr>
      </w:pPr>
      <w:bookmarkStart w:id="88" w:name="_Toc13300"/>
      <w:bookmarkStart w:id="89" w:name="_Toc82546085"/>
      <w:r>
        <w:rPr>
          <w:rFonts w:hint="eastAsia" w:ascii="Times New Roman" w:hAnsi="Times New Roman" w:eastAsia="黑体"/>
        </w:rPr>
        <w:t>7</w:t>
      </w:r>
      <w:r>
        <w:rPr>
          <w:rFonts w:ascii="Times New Roman" w:hAnsi="Times New Roman" w:eastAsia="黑体"/>
        </w:rPr>
        <w:t>.4 重点建设</w:t>
      </w:r>
      <w:bookmarkEnd w:id="88"/>
      <w:r>
        <w:rPr>
          <w:rFonts w:ascii="Times New Roman" w:hAnsi="Times New Roman" w:eastAsia="黑体"/>
        </w:rPr>
        <w:t>工程或</w:t>
      </w:r>
      <w:bookmarkEnd w:id="89"/>
      <w:r>
        <w:rPr>
          <w:rFonts w:hint="eastAsia" w:ascii="Times New Roman" w:hAnsi="Times New Roman" w:eastAsia="黑体"/>
        </w:rPr>
        <w:t>规划储备项目</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23244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551EE00">
            <w:pPr>
              <w:spacing w:line="360" w:lineRule="auto"/>
              <w:jc w:val="center"/>
              <w:rPr>
                <w:rFonts w:hint="eastAsia" w:eastAsia="仿宋_GB2312"/>
                <w:b/>
                <w:bCs/>
                <w:sz w:val="32"/>
                <w:szCs w:val="32"/>
              </w:rPr>
            </w:pPr>
            <w:r>
              <w:rPr>
                <w:rFonts w:eastAsia="仿宋_GB2312"/>
                <w:b/>
                <w:bCs/>
                <w:sz w:val="32"/>
                <w:szCs w:val="32"/>
              </w:rPr>
              <w:t>林木</w:t>
            </w:r>
            <w:r>
              <w:rPr>
                <w:rFonts w:hint="eastAsia" w:eastAsia="仿宋_GB2312"/>
                <w:b/>
                <w:bCs/>
                <w:sz w:val="32"/>
                <w:szCs w:val="32"/>
              </w:rPr>
              <w:t>种苗</w:t>
            </w:r>
            <w:r>
              <w:rPr>
                <w:rFonts w:eastAsia="仿宋_GB2312"/>
                <w:b/>
                <w:bCs/>
                <w:sz w:val="32"/>
                <w:szCs w:val="32"/>
              </w:rPr>
              <w:t>与花卉产业重点工程或规划储备项目</w:t>
            </w:r>
          </w:p>
        </w:tc>
      </w:tr>
      <w:tr w14:paraId="42FA6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19C4DD9">
            <w:pPr>
              <w:pBdr>
                <w:top w:val="none" w:color="auto" w:sz="0" w:space="1"/>
                <w:left w:val="none" w:color="auto" w:sz="0" w:space="4"/>
                <w:bottom w:val="none" w:color="auto" w:sz="0" w:space="1"/>
                <w:right w:val="none" w:color="auto" w:sz="0" w:space="4"/>
              </w:pBdr>
              <w:jc w:val="left"/>
              <w:rPr>
                <w:rFonts w:hint="eastAsia" w:eastAsia="仿宋_GB2312"/>
                <w:b/>
                <w:bCs/>
                <w:sz w:val="32"/>
                <w:szCs w:val="32"/>
              </w:rPr>
            </w:pPr>
            <w:r>
              <w:rPr>
                <w:rFonts w:hint="eastAsia" w:eastAsia="仿宋_GB2312"/>
                <w:b/>
                <w:bCs/>
                <w:sz w:val="32"/>
                <w:szCs w:val="32"/>
              </w:rPr>
              <w:t>一、</w:t>
            </w:r>
            <w:r>
              <w:rPr>
                <w:rFonts w:eastAsia="仿宋_GB2312"/>
                <w:b/>
                <w:bCs/>
                <w:sz w:val="32"/>
                <w:szCs w:val="32"/>
              </w:rPr>
              <w:t>林木和花卉种苗繁育建设工程</w:t>
            </w:r>
          </w:p>
          <w:p w14:paraId="24635E1E">
            <w:pPr>
              <w:pBdr>
                <w:top w:val="none" w:color="auto" w:sz="0" w:space="1"/>
                <w:left w:val="none" w:color="auto" w:sz="0" w:space="4"/>
                <w:bottom w:val="none" w:color="auto" w:sz="0" w:space="1"/>
                <w:right w:val="none" w:color="auto" w:sz="0" w:space="4"/>
              </w:pBdr>
              <w:jc w:val="left"/>
              <w:rPr>
                <w:rFonts w:hint="eastAsia" w:eastAsia="仿宋_GB2312"/>
                <w:b/>
                <w:bCs/>
                <w:sz w:val="32"/>
                <w:szCs w:val="32"/>
              </w:rPr>
            </w:pPr>
            <w:r>
              <w:rPr>
                <w:rFonts w:hint="eastAsia" w:eastAsia="仿宋_GB2312"/>
                <w:b/>
                <w:bCs/>
                <w:sz w:val="32"/>
                <w:szCs w:val="32"/>
              </w:rPr>
              <w:t>（一）林木种苗繁育基地</w:t>
            </w:r>
          </w:p>
          <w:p w14:paraId="131E680A">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bCs/>
                <w:sz w:val="32"/>
                <w:szCs w:val="32"/>
              </w:rPr>
              <w:t>积极</w:t>
            </w:r>
            <w:r>
              <w:rPr>
                <w:rFonts w:eastAsia="仿宋_GB2312"/>
                <w:kern w:val="0"/>
                <w:sz w:val="32"/>
                <w:szCs w:val="32"/>
              </w:rPr>
              <w:t>培育大、中的乡土树种苗木、珍贵树种苗木、景观林带种苗、林下经济中药材种苗，以保障三亚市山体修复、城市绿化、森林质量提升、碳汇林、生态廊道、水源地防护林等用苗需求。建设规模67 hm</w:t>
            </w:r>
            <w:r>
              <w:rPr>
                <w:rFonts w:eastAsia="仿宋_GB2312"/>
                <w:kern w:val="0"/>
                <w:sz w:val="32"/>
                <w:szCs w:val="32"/>
                <w:vertAlign w:val="superscript"/>
              </w:rPr>
              <w:t>2</w:t>
            </w:r>
            <w:r>
              <w:rPr>
                <w:rFonts w:eastAsia="仿宋_GB2312"/>
                <w:kern w:val="0"/>
                <w:sz w:val="32"/>
                <w:szCs w:val="32"/>
              </w:rPr>
              <w:t>，至</w:t>
            </w:r>
            <w:r>
              <w:rPr>
                <w:rFonts w:hint="eastAsia" w:eastAsia="仿宋_GB2312"/>
                <w:kern w:val="0"/>
                <w:sz w:val="32"/>
                <w:szCs w:val="32"/>
              </w:rPr>
              <w:t>2025年，计划投资3000万元；至2035年，计划投资12000万元，总</w:t>
            </w:r>
            <w:r>
              <w:rPr>
                <w:rFonts w:eastAsia="仿宋_GB2312"/>
                <w:kern w:val="0"/>
                <w:sz w:val="32"/>
                <w:szCs w:val="32"/>
              </w:rPr>
              <w:t>投资1</w:t>
            </w:r>
            <w:r>
              <w:rPr>
                <w:rFonts w:hint="eastAsia" w:eastAsia="仿宋_GB2312"/>
                <w:kern w:val="0"/>
                <w:sz w:val="32"/>
                <w:szCs w:val="32"/>
              </w:rPr>
              <w:t>5</w:t>
            </w:r>
            <w:r>
              <w:rPr>
                <w:rFonts w:eastAsia="仿宋_GB2312"/>
                <w:kern w:val="0"/>
                <w:sz w:val="32"/>
                <w:szCs w:val="32"/>
              </w:rPr>
              <w:t>000万元。</w:t>
            </w:r>
          </w:p>
          <w:p w14:paraId="1089F185">
            <w:pPr>
              <w:spacing w:line="360" w:lineRule="auto"/>
              <w:rPr>
                <w:rFonts w:hint="eastAsia" w:eastAsia="仿宋_GB2312"/>
                <w:b/>
                <w:bCs/>
                <w:sz w:val="32"/>
                <w:szCs w:val="32"/>
              </w:rPr>
            </w:pPr>
            <w:r>
              <w:rPr>
                <w:rFonts w:hint="eastAsia" w:eastAsia="仿宋_GB2312"/>
                <w:b/>
                <w:bCs/>
                <w:sz w:val="32"/>
                <w:szCs w:val="32"/>
              </w:rPr>
              <w:t>（二）</w:t>
            </w:r>
            <w:r>
              <w:rPr>
                <w:rFonts w:eastAsia="仿宋_GB2312"/>
                <w:b/>
                <w:bCs/>
                <w:sz w:val="32"/>
                <w:szCs w:val="32"/>
              </w:rPr>
              <w:t>林木种苗良种基地</w:t>
            </w:r>
          </w:p>
          <w:p w14:paraId="17034366">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eastAsia="仿宋_GB2312"/>
                <w:kern w:val="0"/>
                <w:sz w:val="32"/>
                <w:szCs w:val="32"/>
              </w:rPr>
              <w:t>积极培育</w:t>
            </w:r>
            <w:r>
              <w:rPr>
                <w:rFonts w:hint="eastAsia" w:eastAsia="仿宋_GB2312"/>
                <w:kern w:val="0"/>
                <w:sz w:val="32"/>
                <w:szCs w:val="32"/>
              </w:rPr>
              <w:t>白木香</w:t>
            </w:r>
            <w:r>
              <w:rPr>
                <w:rFonts w:eastAsia="仿宋_GB2312"/>
                <w:kern w:val="0"/>
                <w:sz w:val="32"/>
                <w:szCs w:val="32"/>
              </w:rPr>
              <w:t>、</w:t>
            </w:r>
            <w:r>
              <w:rPr>
                <w:rFonts w:hint="eastAsia" w:eastAsia="仿宋_GB2312"/>
                <w:kern w:val="0"/>
                <w:sz w:val="32"/>
                <w:szCs w:val="32"/>
              </w:rPr>
              <w:t>降香黄檀</w:t>
            </w:r>
            <w:r>
              <w:rPr>
                <w:rFonts w:eastAsia="仿宋_GB2312"/>
                <w:kern w:val="0"/>
                <w:sz w:val="32"/>
                <w:szCs w:val="32"/>
              </w:rPr>
              <w:t>、油茶等树种</w:t>
            </w:r>
            <w:r>
              <w:rPr>
                <w:rFonts w:eastAsia="仿宋_GB2312"/>
                <w:sz w:val="32"/>
                <w:szCs w:val="32"/>
              </w:rPr>
              <w:t>优良种苗繁育基地</w:t>
            </w:r>
            <w:r>
              <w:rPr>
                <w:rFonts w:eastAsia="仿宋_GB2312"/>
                <w:kern w:val="0"/>
                <w:sz w:val="32"/>
                <w:szCs w:val="32"/>
              </w:rPr>
              <w:t>，培育芒果、槟榔、椰子</w:t>
            </w:r>
            <w:r>
              <w:rPr>
                <w:rFonts w:hint="eastAsia" w:eastAsia="仿宋_GB2312"/>
                <w:kern w:val="0"/>
                <w:sz w:val="32"/>
                <w:szCs w:val="32"/>
              </w:rPr>
              <w:t>、</w:t>
            </w:r>
            <w:r>
              <w:rPr>
                <w:rFonts w:eastAsia="仿宋_GB2312"/>
                <w:kern w:val="0"/>
                <w:sz w:val="32"/>
                <w:szCs w:val="32"/>
              </w:rPr>
              <w:t>莲雾、榴莲等经济林良种苗木，</w:t>
            </w:r>
            <w:r>
              <w:rPr>
                <w:rFonts w:eastAsia="仿宋_GB2312"/>
                <w:sz w:val="32"/>
                <w:szCs w:val="32"/>
              </w:rPr>
              <w:t>注重提高繁育基地的建设水平，完善基础设施、实验设备、苗木分级、包装、储运等先进的配套设施。计划建设</w:t>
            </w:r>
            <w:r>
              <w:rPr>
                <w:rFonts w:eastAsia="仿宋_GB2312"/>
                <w:kern w:val="0"/>
                <w:sz w:val="32"/>
                <w:szCs w:val="32"/>
              </w:rPr>
              <w:t>面积20 hm</w:t>
            </w:r>
            <w:r>
              <w:rPr>
                <w:rFonts w:eastAsia="仿宋_GB2312"/>
                <w:kern w:val="0"/>
                <w:sz w:val="32"/>
                <w:szCs w:val="32"/>
                <w:vertAlign w:val="superscript"/>
              </w:rPr>
              <w:t>2</w:t>
            </w:r>
            <w:r>
              <w:rPr>
                <w:rFonts w:eastAsia="仿宋_GB2312"/>
                <w:kern w:val="0"/>
                <w:sz w:val="32"/>
                <w:szCs w:val="32"/>
              </w:rPr>
              <w:t>，至</w:t>
            </w:r>
            <w:r>
              <w:rPr>
                <w:rFonts w:hint="eastAsia" w:eastAsia="仿宋_GB2312"/>
                <w:kern w:val="0"/>
                <w:sz w:val="32"/>
                <w:szCs w:val="32"/>
              </w:rPr>
              <w:t>2025年，计划投资3000万元；至2035年，计划投资6000万元，总</w:t>
            </w:r>
            <w:r>
              <w:rPr>
                <w:rFonts w:eastAsia="仿宋_GB2312"/>
                <w:kern w:val="0"/>
                <w:sz w:val="32"/>
                <w:szCs w:val="32"/>
              </w:rPr>
              <w:t>投资</w:t>
            </w:r>
            <w:r>
              <w:rPr>
                <w:rFonts w:hint="eastAsia" w:eastAsia="仿宋_GB2312"/>
                <w:kern w:val="0"/>
                <w:sz w:val="32"/>
                <w:szCs w:val="32"/>
              </w:rPr>
              <w:t>90</w:t>
            </w:r>
            <w:r>
              <w:rPr>
                <w:rFonts w:eastAsia="仿宋_GB2312"/>
                <w:kern w:val="0"/>
                <w:sz w:val="32"/>
                <w:szCs w:val="32"/>
              </w:rPr>
              <w:t>00万元。</w:t>
            </w:r>
          </w:p>
          <w:p w14:paraId="733D6FDA">
            <w:pPr>
              <w:pBdr>
                <w:top w:val="none" w:color="auto" w:sz="0" w:space="1"/>
                <w:left w:val="none" w:color="auto" w:sz="0" w:space="4"/>
                <w:bottom w:val="none" w:color="auto" w:sz="0" w:space="1"/>
                <w:right w:val="none" w:color="auto" w:sz="0" w:space="4"/>
              </w:pBdr>
              <w:jc w:val="left"/>
              <w:rPr>
                <w:rFonts w:hint="eastAsia" w:eastAsia="仿宋_GB2312"/>
                <w:b/>
                <w:bCs/>
                <w:sz w:val="32"/>
                <w:szCs w:val="32"/>
              </w:rPr>
            </w:pPr>
            <w:r>
              <w:rPr>
                <w:rFonts w:hint="eastAsia" w:eastAsia="仿宋_GB2312"/>
                <w:b/>
                <w:bCs/>
                <w:sz w:val="32"/>
                <w:szCs w:val="32"/>
              </w:rPr>
              <w:t>（三）花卉产业园</w:t>
            </w:r>
          </w:p>
          <w:p w14:paraId="16F8E932">
            <w:pPr>
              <w:spacing w:line="360" w:lineRule="auto"/>
              <w:ind w:firstLine="640" w:firstLineChars="200"/>
              <w:jc w:val="left"/>
              <w:rPr>
                <w:rFonts w:eastAsia="仿宋_GB2312"/>
                <w:kern w:val="0"/>
                <w:sz w:val="32"/>
                <w:szCs w:val="32"/>
              </w:rPr>
            </w:pPr>
            <w:r>
              <w:rPr>
                <w:rFonts w:eastAsia="仿宋_GB2312"/>
                <w:sz w:val="32"/>
                <w:szCs w:val="32"/>
              </w:rPr>
              <w:t>以育才生态区为中心，统一规划</w:t>
            </w:r>
            <w:r>
              <w:rPr>
                <w:rStyle w:val="44"/>
                <w:rFonts w:hAnsi="Times New Roman" w:eastAsia="仿宋_GB2312" w:cs="Times New Roman"/>
                <w:kern w:val="0"/>
                <w:sz w:val="32"/>
                <w:szCs w:val="32"/>
              </w:rPr>
              <w:t>种苗花卉繁育</w:t>
            </w:r>
            <w:r>
              <w:rPr>
                <w:rFonts w:eastAsia="仿宋_GB2312"/>
                <w:sz w:val="32"/>
                <w:szCs w:val="32"/>
              </w:rPr>
              <w:t>基地用地，</w:t>
            </w:r>
            <w:r>
              <w:rPr>
                <w:rFonts w:eastAsia="仿宋_GB2312"/>
                <w:kern w:val="0"/>
                <w:sz w:val="32"/>
                <w:szCs w:val="32"/>
              </w:rPr>
              <w:t>充分发挥独特的气候优势，大力培育“名、特、优、稀”花卉品种</w:t>
            </w:r>
            <w:r>
              <w:rPr>
                <w:rFonts w:hint="eastAsia" w:eastAsia="仿宋_GB2312"/>
                <w:kern w:val="0"/>
                <w:sz w:val="32"/>
                <w:szCs w:val="32"/>
              </w:rPr>
              <w:t>，</w:t>
            </w:r>
            <w:r>
              <w:rPr>
                <w:rFonts w:eastAsia="仿宋_GB2312"/>
                <w:sz w:val="32"/>
                <w:szCs w:val="32"/>
              </w:rPr>
              <w:t>将育才生态区打造成三亚市规模最大的种苗花卉</w:t>
            </w:r>
            <w:r>
              <w:rPr>
                <w:rFonts w:hint="eastAsia" w:eastAsia="仿宋_GB2312"/>
                <w:sz w:val="32"/>
                <w:szCs w:val="32"/>
              </w:rPr>
              <w:t>产业园。该产业园</w:t>
            </w:r>
            <w:r>
              <w:rPr>
                <w:rFonts w:eastAsia="仿宋_GB2312"/>
                <w:kern w:val="0"/>
                <w:sz w:val="32"/>
                <w:szCs w:val="32"/>
              </w:rPr>
              <w:t>分为园林绿化种苗繁育基地、种苗盆栽繁育基地、种苗盆景繁育基地、鲜切花</w:t>
            </w:r>
            <w:r>
              <w:rPr>
                <w:rStyle w:val="44"/>
                <w:rFonts w:hAnsi="Times New Roman" w:eastAsia="仿宋_GB2312" w:cs="Times New Roman"/>
                <w:kern w:val="0"/>
                <w:sz w:val="32"/>
                <w:szCs w:val="32"/>
              </w:rPr>
              <w:t>（枝/叶）生产基地等4个</w:t>
            </w:r>
            <w:r>
              <w:rPr>
                <w:rFonts w:eastAsia="仿宋_GB2312"/>
                <w:kern w:val="0"/>
                <w:sz w:val="32"/>
                <w:szCs w:val="32"/>
              </w:rPr>
              <w:t>类型培育种苗</w:t>
            </w:r>
            <w:r>
              <w:rPr>
                <w:rFonts w:hint="eastAsia" w:eastAsia="仿宋_GB2312"/>
                <w:kern w:val="0"/>
                <w:sz w:val="32"/>
                <w:szCs w:val="32"/>
              </w:rPr>
              <w:t>。</w:t>
            </w:r>
            <w:r>
              <w:rPr>
                <w:rFonts w:eastAsia="仿宋_GB2312"/>
                <w:kern w:val="0"/>
                <w:sz w:val="32"/>
                <w:szCs w:val="32"/>
              </w:rPr>
              <w:t>计</w:t>
            </w:r>
            <w:r>
              <w:rPr>
                <w:rFonts w:eastAsia="仿宋_GB2312"/>
                <w:sz w:val="32"/>
                <w:szCs w:val="32"/>
              </w:rPr>
              <w:t>划</w:t>
            </w:r>
            <w:r>
              <w:rPr>
                <w:rStyle w:val="44"/>
                <w:rFonts w:hAnsi="Times New Roman" w:eastAsia="仿宋_GB2312" w:cs="Times New Roman"/>
                <w:kern w:val="0"/>
                <w:sz w:val="32"/>
                <w:szCs w:val="32"/>
              </w:rPr>
              <w:t>建设面</w:t>
            </w:r>
            <w:r>
              <w:rPr>
                <w:rStyle w:val="44"/>
                <w:rFonts w:hAnsi="Times New Roman" w:eastAsia="仿宋_GB2312" w:cs="Times New Roman"/>
                <w:sz w:val="32"/>
                <w:szCs w:val="32"/>
              </w:rPr>
              <w:t>积267 hm</w:t>
            </w:r>
            <w:r>
              <w:rPr>
                <w:rStyle w:val="44"/>
                <w:rFonts w:hAnsi="Times New Roman" w:eastAsia="仿宋_GB2312" w:cs="Times New Roman"/>
                <w:sz w:val="32"/>
                <w:szCs w:val="32"/>
                <w:vertAlign w:val="superscript"/>
              </w:rPr>
              <w:t>2</w:t>
            </w:r>
            <w:r>
              <w:rPr>
                <w:rStyle w:val="44"/>
                <w:rFonts w:hAnsi="Times New Roman" w:eastAsia="仿宋_GB2312" w:cs="Times New Roman"/>
                <w:sz w:val="32"/>
                <w:szCs w:val="32"/>
              </w:rPr>
              <w:t>，至</w:t>
            </w:r>
            <w:r>
              <w:rPr>
                <w:rStyle w:val="44"/>
                <w:rFonts w:hint="eastAsia" w:hAnsi="Times New Roman" w:eastAsia="仿宋_GB2312" w:cs="Times New Roman"/>
                <w:sz w:val="32"/>
                <w:szCs w:val="32"/>
              </w:rPr>
              <w:t>2025年，</w:t>
            </w:r>
            <w:r>
              <w:rPr>
                <w:rStyle w:val="44"/>
                <w:rFonts w:hAnsi="Times New Roman" w:eastAsia="仿宋_GB2312" w:cs="Times New Roman"/>
                <w:sz w:val="32"/>
                <w:szCs w:val="32"/>
              </w:rPr>
              <w:t>计划投资</w:t>
            </w:r>
            <w:r>
              <w:rPr>
                <w:rStyle w:val="44"/>
                <w:rFonts w:hint="eastAsia" w:hAnsi="Times New Roman" w:eastAsia="仿宋_GB2312" w:cs="Times New Roman"/>
                <w:sz w:val="32"/>
                <w:szCs w:val="32"/>
              </w:rPr>
              <w:t>44000万元；至2035年，计划投资36000万元，总投资8</w:t>
            </w:r>
            <w:r>
              <w:rPr>
                <w:rStyle w:val="44"/>
                <w:rFonts w:hAnsi="Times New Roman" w:eastAsia="仿宋_GB2312" w:cs="Times New Roman"/>
                <w:sz w:val="32"/>
                <w:szCs w:val="32"/>
              </w:rPr>
              <w:t>00</w:t>
            </w:r>
            <w:r>
              <w:rPr>
                <w:rStyle w:val="44"/>
                <w:rFonts w:hint="eastAsia" w:hAnsi="Times New Roman" w:eastAsia="仿宋_GB2312" w:cs="Times New Roman"/>
                <w:sz w:val="32"/>
                <w:szCs w:val="32"/>
              </w:rPr>
              <w:t>0</w:t>
            </w:r>
            <w:r>
              <w:rPr>
                <w:rStyle w:val="44"/>
                <w:rFonts w:hAnsi="Times New Roman" w:eastAsia="仿宋_GB2312" w:cs="Times New Roman"/>
                <w:sz w:val="32"/>
                <w:szCs w:val="32"/>
              </w:rPr>
              <w:t>0万元</w:t>
            </w:r>
            <w:r>
              <w:rPr>
                <w:rFonts w:eastAsia="仿宋_GB2312"/>
                <w:sz w:val="32"/>
                <w:szCs w:val="32"/>
              </w:rPr>
              <w:t>。</w:t>
            </w:r>
          </w:p>
          <w:p w14:paraId="6616E553">
            <w:pPr>
              <w:autoSpaceDE w:val="0"/>
              <w:autoSpaceDN w:val="0"/>
              <w:adjustRightInd w:val="0"/>
              <w:ind w:firstLine="640" w:firstLineChars="200"/>
              <w:jc w:val="left"/>
              <w:rPr>
                <w:rStyle w:val="44"/>
                <w:rFonts w:hAnsi="Times New Roman" w:eastAsia="仿宋_GB2312" w:cs="Times New Roman"/>
                <w:sz w:val="32"/>
                <w:szCs w:val="32"/>
              </w:rPr>
            </w:pPr>
            <w:r>
              <w:rPr>
                <w:rStyle w:val="44"/>
                <w:rFonts w:hint="eastAsia" w:hAnsi="Times New Roman" w:eastAsia="仿宋_GB2312" w:cs="Times New Roman"/>
                <w:sz w:val="32"/>
                <w:szCs w:val="32"/>
              </w:rPr>
              <w:t>1、</w:t>
            </w:r>
            <w:r>
              <w:rPr>
                <w:rStyle w:val="44"/>
                <w:rFonts w:hAnsi="Times New Roman" w:eastAsia="仿宋_GB2312" w:cs="Times New Roman"/>
                <w:b/>
                <w:sz w:val="32"/>
                <w:szCs w:val="32"/>
              </w:rPr>
              <w:t>建设</w:t>
            </w:r>
            <w:r>
              <w:rPr>
                <w:rFonts w:eastAsia="仿宋_GB2312"/>
                <w:b/>
                <w:kern w:val="0"/>
                <w:sz w:val="32"/>
                <w:szCs w:val="32"/>
              </w:rPr>
              <w:t>园林绿化种苗繁育基地</w:t>
            </w:r>
            <w:r>
              <w:rPr>
                <w:rFonts w:hint="eastAsia" w:eastAsia="仿宋_GB2312"/>
                <w:kern w:val="0"/>
                <w:sz w:val="32"/>
                <w:szCs w:val="32"/>
              </w:rPr>
              <w:t>。</w:t>
            </w:r>
            <w:r>
              <w:rPr>
                <w:rFonts w:eastAsia="仿宋_GB2312"/>
                <w:sz w:val="32"/>
                <w:szCs w:val="32"/>
              </w:rPr>
              <w:t>培</w:t>
            </w:r>
            <w:r>
              <w:rPr>
                <w:rStyle w:val="44"/>
                <w:rFonts w:hAnsi="Times New Roman" w:eastAsia="仿宋_GB2312" w:cs="Times New Roman"/>
                <w:sz w:val="32"/>
                <w:szCs w:val="32"/>
              </w:rPr>
              <w:t>育观花、观叶、观果的灌木、草本植物及棕榈科植物等，</w:t>
            </w:r>
            <w:r>
              <w:rPr>
                <w:rFonts w:eastAsia="仿宋_GB2312"/>
                <w:kern w:val="0"/>
                <w:sz w:val="32"/>
                <w:szCs w:val="32"/>
              </w:rPr>
              <w:t>建设规模167 hm</w:t>
            </w:r>
            <w:r>
              <w:rPr>
                <w:rFonts w:eastAsia="仿宋_GB2312"/>
                <w:kern w:val="0"/>
                <w:sz w:val="32"/>
                <w:szCs w:val="32"/>
                <w:vertAlign w:val="superscript"/>
              </w:rPr>
              <w:t>2</w:t>
            </w:r>
            <w:r>
              <w:rPr>
                <w:rStyle w:val="44"/>
                <w:rFonts w:hAnsi="Times New Roman" w:eastAsia="仿宋_GB2312" w:cs="Times New Roman"/>
                <w:sz w:val="32"/>
                <w:szCs w:val="32"/>
              </w:rPr>
              <w:t>。观花灌/草植物有三角梅、朱槿、龙船花、沙漠玫瑰等灌木；肾蕨、鸟巢蕨、青葙、鹤望兰等草本植物。观叶、观果植物有变叶木、朱蕉、红车、尖叶木犀榄等。棕榈科植物有银海枣、丝葵、蒲葵、金山葵等</w:t>
            </w:r>
            <w:r>
              <w:rPr>
                <w:rFonts w:eastAsia="仿宋_GB2312"/>
                <w:kern w:val="0"/>
                <w:sz w:val="32"/>
                <w:szCs w:val="32"/>
              </w:rPr>
              <w:t>。至</w:t>
            </w:r>
            <w:r>
              <w:rPr>
                <w:rFonts w:hint="eastAsia" w:eastAsia="仿宋_GB2312"/>
                <w:kern w:val="0"/>
                <w:sz w:val="32"/>
                <w:szCs w:val="32"/>
              </w:rPr>
              <w:t>2025年，计划投资30000万元；至2035年，计划投资20000万元，总</w:t>
            </w:r>
            <w:r>
              <w:rPr>
                <w:rFonts w:eastAsia="仿宋_GB2312"/>
                <w:kern w:val="0"/>
                <w:sz w:val="32"/>
                <w:szCs w:val="32"/>
              </w:rPr>
              <w:t>投资</w:t>
            </w:r>
            <w:r>
              <w:rPr>
                <w:rFonts w:hint="eastAsia" w:eastAsia="仿宋_GB2312"/>
                <w:kern w:val="0"/>
                <w:sz w:val="32"/>
                <w:szCs w:val="32"/>
              </w:rPr>
              <w:t>50</w:t>
            </w:r>
            <w:r>
              <w:rPr>
                <w:rFonts w:eastAsia="仿宋_GB2312"/>
                <w:kern w:val="0"/>
                <w:sz w:val="32"/>
                <w:szCs w:val="32"/>
              </w:rPr>
              <w:t>000万元</w:t>
            </w:r>
            <w:r>
              <w:rPr>
                <w:rFonts w:hint="eastAsia" w:eastAsia="仿宋_GB2312"/>
                <w:kern w:val="0"/>
                <w:sz w:val="32"/>
                <w:szCs w:val="32"/>
              </w:rPr>
              <w:t>。</w:t>
            </w:r>
          </w:p>
          <w:p w14:paraId="176889E8">
            <w:pPr>
              <w:pStyle w:val="17"/>
              <w:ind w:firstLine="640" w:firstLineChars="200"/>
              <w:rPr>
                <w:rFonts w:hint="eastAsia" w:ascii="Times New Roman" w:hAnsi="Times New Roman" w:eastAsia="仿宋_GB2312"/>
                <w:kern w:val="0"/>
                <w:sz w:val="32"/>
                <w:szCs w:val="32"/>
              </w:rPr>
            </w:pPr>
            <w:r>
              <w:rPr>
                <w:rStyle w:val="44"/>
                <w:rFonts w:hint="eastAsia" w:hAnsi="Times New Roman" w:eastAsia="仿宋_GB2312" w:cs="Times New Roman"/>
                <w:sz w:val="32"/>
                <w:szCs w:val="32"/>
              </w:rPr>
              <w:t>2、</w:t>
            </w:r>
            <w:r>
              <w:rPr>
                <w:rStyle w:val="44"/>
                <w:rFonts w:hAnsi="Times New Roman" w:eastAsia="仿宋_GB2312" w:cs="Times New Roman"/>
                <w:b/>
                <w:sz w:val="32"/>
                <w:szCs w:val="32"/>
              </w:rPr>
              <w:t>建设</w:t>
            </w:r>
            <w:r>
              <w:rPr>
                <w:rFonts w:ascii="Times New Roman" w:hAnsi="Times New Roman" w:eastAsia="仿宋_GB2312"/>
                <w:b/>
                <w:kern w:val="0"/>
                <w:sz w:val="32"/>
                <w:szCs w:val="32"/>
              </w:rPr>
              <w:t>种苗盆栽繁育基地</w:t>
            </w:r>
            <w:r>
              <w:rPr>
                <w:rFonts w:hint="eastAsia" w:ascii="Times New Roman" w:hAnsi="Times New Roman" w:eastAsia="仿宋_GB2312"/>
                <w:kern w:val="0"/>
                <w:sz w:val="32"/>
                <w:szCs w:val="32"/>
              </w:rPr>
              <w:t>。</w:t>
            </w:r>
            <w:r>
              <w:rPr>
                <w:rFonts w:ascii="Times New Roman" w:hAnsi="Times New Roman" w:eastAsia="仿宋_GB2312"/>
                <w:kern w:val="0"/>
                <w:sz w:val="32"/>
                <w:szCs w:val="32"/>
              </w:rPr>
              <w:t>以</w:t>
            </w:r>
            <w:r>
              <w:rPr>
                <w:rStyle w:val="44"/>
                <w:rFonts w:hAnsi="Times New Roman" w:eastAsia="仿宋_GB2312" w:cs="Times New Roman"/>
                <w:sz w:val="32"/>
                <w:szCs w:val="32"/>
              </w:rPr>
              <w:t>培育</w:t>
            </w:r>
            <w:r>
              <w:rPr>
                <w:rFonts w:ascii="Times New Roman" w:hAnsi="Times New Roman" w:eastAsia="仿宋_GB2312"/>
                <w:kern w:val="0"/>
                <w:sz w:val="32"/>
                <w:szCs w:val="32"/>
              </w:rPr>
              <w:t>盆栽植物为主，重点发展热带兰花、红掌、三角梅、发财树、观赏凤梨等，建设规模60 hm</w:t>
            </w:r>
            <w:r>
              <w:rPr>
                <w:rFonts w:ascii="Times New Roman" w:hAnsi="Times New Roman" w:eastAsia="仿宋_GB2312"/>
                <w:kern w:val="0"/>
                <w:sz w:val="32"/>
                <w:szCs w:val="32"/>
                <w:vertAlign w:val="superscript"/>
              </w:rPr>
              <w:t>2</w:t>
            </w:r>
            <w:r>
              <w:rPr>
                <w:rFonts w:ascii="Times New Roman" w:hAnsi="Times New Roman" w:eastAsia="仿宋_GB2312"/>
                <w:kern w:val="0"/>
                <w:sz w:val="32"/>
                <w:szCs w:val="32"/>
              </w:rPr>
              <w:t>，</w:t>
            </w:r>
            <w:r>
              <w:rPr>
                <w:rFonts w:hint="eastAsia" w:ascii="Times New Roman" w:hAnsi="Times New Roman" w:eastAsia="仿宋_GB2312"/>
                <w:kern w:val="0"/>
                <w:sz w:val="32"/>
                <w:szCs w:val="32"/>
              </w:rPr>
              <w:t>至2025年，计划投资6000万元；至2035年，计划投资3000万元，总</w:t>
            </w:r>
            <w:r>
              <w:rPr>
                <w:rFonts w:ascii="Times New Roman" w:hAnsi="Times New Roman" w:eastAsia="仿宋_GB2312"/>
                <w:kern w:val="0"/>
                <w:sz w:val="32"/>
                <w:szCs w:val="32"/>
              </w:rPr>
              <w:t>投资</w:t>
            </w:r>
            <w:r>
              <w:rPr>
                <w:rFonts w:hint="eastAsia" w:ascii="Times New Roman" w:hAnsi="Times New Roman" w:eastAsia="仿宋_GB2312"/>
                <w:kern w:val="0"/>
                <w:sz w:val="32"/>
                <w:szCs w:val="32"/>
              </w:rPr>
              <w:t>900</w:t>
            </w:r>
            <w:r>
              <w:rPr>
                <w:rFonts w:ascii="Times New Roman" w:hAnsi="Times New Roman" w:eastAsia="仿宋_GB2312"/>
                <w:kern w:val="0"/>
                <w:sz w:val="32"/>
                <w:szCs w:val="32"/>
              </w:rPr>
              <w:t>0万元。</w:t>
            </w:r>
          </w:p>
          <w:p w14:paraId="207F3A36">
            <w:pPr>
              <w:pStyle w:val="17"/>
              <w:ind w:firstLine="640" w:firstLineChars="200"/>
              <w:rPr>
                <w:rFonts w:ascii="Times New Roman" w:hAnsi="Times New Roman"/>
                <w:sz w:val="32"/>
                <w:szCs w:val="32"/>
              </w:rPr>
            </w:pPr>
            <w:r>
              <w:rPr>
                <w:rStyle w:val="44"/>
                <w:rFonts w:hint="eastAsia" w:hAnsi="Times New Roman" w:eastAsia="仿宋_GB2312" w:cs="Times New Roman"/>
                <w:sz w:val="32"/>
                <w:szCs w:val="32"/>
              </w:rPr>
              <w:t>3、</w:t>
            </w:r>
            <w:r>
              <w:rPr>
                <w:rStyle w:val="44"/>
                <w:rFonts w:hAnsi="Times New Roman" w:eastAsia="仿宋_GB2312" w:cs="Times New Roman"/>
                <w:b/>
                <w:sz w:val="32"/>
                <w:szCs w:val="32"/>
              </w:rPr>
              <w:t>建设</w:t>
            </w:r>
            <w:r>
              <w:rPr>
                <w:rFonts w:ascii="Times New Roman" w:hAnsi="Times New Roman" w:eastAsia="仿宋_GB2312"/>
                <w:b/>
                <w:kern w:val="0"/>
                <w:sz w:val="32"/>
                <w:szCs w:val="32"/>
              </w:rPr>
              <w:t>种苗盆景繁育基地</w:t>
            </w:r>
            <w:r>
              <w:rPr>
                <w:rFonts w:hint="eastAsia" w:ascii="Times New Roman" w:hAnsi="Times New Roman" w:eastAsia="仿宋_GB2312"/>
                <w:kern w:val="0"/>
                <w:sz w:val="32"/>
                <w:szCs w:val="32"/>
              </w:rPr>
              <w:t>。</w:t>
            </w:r>
            <w:r>
              <w:rPr>
                <w:rFonts w:ascii="Times New Roman" w:hAnsi="Times New Roman" w:eastAsia="仿宋_GB2312"/>
                <w:kern w:val="0"/>
                <w:sz w:val="32"/>
                <w:szCs w:val="32"/>
              </w:rPr>
              <w:t>重点培育三</w:t>
            </w:r>
            <w:r>
              <w:rPr>
                <w:rStyle w:val="44"/>
                <w:rFonts w:hAnsi="Times New Roman" w:eastAsia="仿宋_GB2312" w:cs="Times New Roman"/>
                <w:sz w:val="32"/>
                <w:szCs w:val="32"/>
              </w:rPr>
              <w:t>角梅、沙漠玫瑰、九里香、小叶榕等大、中、小型盆景，</w:t>
            </w:r>
            <w:r>
              <w:rPr>
                <w:rFonts w:ascii="Times New Roman" w:hAnsi="Times New Roman" w:eastAsia="仿宋_GB2312"/>
                <w:kern w:val="0"/>
                <w:sz w:val="32"/>
                <w:szCs w:val="32"/>
              </w:rPr>
              <w:t>建设规模20 hm</w:t>
            </w:r>
            <w:r>
              <w:rPr>
                <w:rFonts w:ascii="Times New Roman" w:hAnsi="Times New Roman" w:eastAsia="仿宋_GB2312"/>
                <w:kern w:val="0"/>
                <w:sz w:val="32"/>
                <w:szCs w:val="32"/>
                <w:vertAlign w:val="superscript"/>
              </w:rPr>
              <w:t>2</w:t>
            </w:r>
            <w:r>
              <w:rPr>
                <w:rFonts w:hint="eastAsia" w:ascii="Times New Roman" w:hAnsi="Times New Roman" w:eastAsia="仿宋_GB2312"/>
                <w:kern w:val="0"/>
                <w:sz w:val="32"/>
                <w:szCs w:val="32"/>
              </w:rPr>
              <w:t>。至2025年，计划投资5000万元；至2035年，计划投资10000万元，总</w:t>
            </w:r>
            <w:r>
              <w:rPr>
                <w:rFonts w:ascii="Times New Roman" w:hAnsi="Times New Roman" w:eastAsia="仿宋_GB2312"/>
                <w:kern w:val="0"/>
                <w:sz w:val="32"/>
                <w:szCs w:val="32"/>
              </w:rPr>
              <w:t>投资</w:t>
            </w:r>
            <w:r>
              <w:rPr>
                <w:rFonts w:hint="eastAsia" w:ascii="Times New Roman" w:hAnsi="Times New Roman" w:eastAsia="仿宋_GB2312"/>
                <w:kern w:val="0"/>
                <w:sz w:val="32"/>
                <w:szCs w:val="32"/>
              </w:rPr>
              <w:t>1500</w:t>
            </w:r>
            <w:r>
              <w:rPr>
                <w:rFonts w:ascii="Times New Roman" w:hAnsi="Times New Roman" w:eastAsia="仿宋_GB2312"/>
                <w:kern w:val="0"/>
                <w:sz w:val="32"/>
                <w:szCs w:val="32"/>
              </w:rPr>
              <w:t>0万元。</w:t>
            </w:r>
          </w:p>
          <w:p w14:paraId="4BE8F48C">
            <w:pPr>
              <w:spacing w:line="360" w:lineRule="auto"/>
              <w:ind w:firstLine="640" w:firstLineChars="200"/>
              <w:rPr>
                <w:rFonts w:hint="eastAsia" w:eastAsia="仿宋_GB2312"/>
                <w:b/>
                <w:bCs/>
                <w:sz w:val="32"/>
                <w:szCs w:val="32"/>
              </w:rPr>
            </w:pPr>
            <w:r>
              <w:rPr>
                <w:rStyle w:val="44"/>
                <w:rFonts w:hint="eastAsia" w:hAnsi="Times New Roman" w:eastAsia="仿宋_GB2312" w:cs="Times New Roman"/>
                <w:sz w:val="32"/>
                <w:szCs w:val="32"/>
              </w:rPr>
              <w:t>4、</w:t>
            </w:r>
            <w:r>
              <w:rPr>
                <w:rStyle w:val="44"/>
                <w:rFonts w:hAnsi="Times New Roman" w:eastAsia="仿宋_GB2312" w:cs="Times New Roman"/>
                <w:b/>
                <w:sz w:val="32"/>
                <w:szCs w:val="32"/>
              </w:rPr>
              <w:t>建设鲜切花（枝/叶）生产基地</w:t>
            </w:r>
            <w:r>
              <w:rPr>
                <w:rStyle w:val="44"/>
                <w:rFonts w:hint="eastAsia" w:hAnsi="Times New Roman" w:eastAsia="仿宋_GB2312" w:cs="Times New Roman"/>
                <w:sz w:val="32"/>
                <w:szCs w:val="32"/>
              </w:rPr>
              <w:t>。</w:t>
            </w:r>
            <w:r>
              <w:rPr>
                <w:rStyle w:val="44"/>
                <w:rFonts w:hAnsi="Times New Roman" w:eastAsia="仿宋_GB2312" w:cs="Times New Roman"/>
                <w:sz w:val="32"/>
                <w:szCs w:val="32"/>
              </w:rPr>
              <w:t>重点发展菊花、红掌、睡莲等鲜切花，富贵竹、散尾葵、适当发展莫氏兰、鹤蕉、姜花等高档切花，</w:t>
            </w:r>
            <w:r>
              <w:rPr>
                <w:rFonts w:eastAsia="仿宋_GB2312"/>
                <w:kern w:val="0"/>
                <w:sz w:val="32"/>
                <w:szCs w:val="32"/>
              </w:rPr>
              <w:t>建设规模20 hm</w:t>
            </w:r>
            <w:r>
              <w:rPr>
                <w:rFonts w:eastAsia="仿宋_GB2312"/>
                <w:kern w:val="0"/>
                <w:sz w:val="32"/>
                <w:szCs w:val="32"/>
                <w:vertAlign w:val="superscript"/>
              </w:rPr>
              <w:t>2</w:t>
            </w:r>
            <w:r>
              <w:rPr>
                <w:rFonts w:eastAsia="仿宋_GB2312"/>
                <w:kern w:val="0"/>
                <w:sz w:val="32"/>
                <w:szCs w:val="32"/>
              </w:rPr>
              <w:t>，至</w:t>
            </w:r>
            <w:r>
              <w:rPr>
                <w:rFonts w:hint="eastAsia" w:eastAsia="仿宋_GB2312"/>
                <w:kern w:val="0"/>
                <w:sz w:val="32"/>
                <w:szCs w:val="32"/>
              </w:rPr>
              <w:t>2025年，计划投资3000万元；至2035年，计划投资3000万元，总</w:t>
            </w:r>
            <w:r>
              <w:rPr>
                <w:rFonts w:eastAsia="仿宋_GB2312"/>
                <w:kern w:val="0"/>
                <w:sz w:val="32"/>
                <w:szCs w:val="32"/>
              </w:rPr>
              <w:t>投资</w:t>
            </w:r>
            <w:r>
              <w:rPr>
                <w:rFonts w:hint="eastAsia" w:eastAsia="仿宋_GB2312"/>
                <w:kern w:val="0"/>
                <w:sz w:val="32"/>
                <w:szCs w:val="32"/>
              </w:rPr>
              <w:t>60</w:t>
            </w:r>
            <w:r>
              <w:rPr>
                <w:rFonts w:eastAsia="仿宋_GB2312"/>
                <w:kern w:val="0"/>
                <w:sz w:val="32"/>
                <w:szCs w:val="32"/>
              </w:rPr>
              <w:t>00万元。</w:t>
            </w:r>
          </w:p>
        </w:tc>
      </w:tr>
      <w:tr w14:paraId="1A6F2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1BE4547F">
            <w:pPr>
              <w:pStyle w:val="17"/>
              <w:ind w:firstLine="0" w:firstLineChars="0"/>
              <w:rPr>
                <w:rFonts w:hint="eastAsia" w:eastAsia="仿宋_GB2312"/>
                <w:b/>
                <w:bCs/>
                <w:sz w:val="32"/>
                <w:szCs w:val="32"/>
              </w:rPr>
            </w:pPr>
            <w:r>
              <w:rPr>
                <w:rFonts w:hint="eastAsia" w:eastAsia="仿宋_GB2312"/>
                <w:b/>
                <w:bCs/>
                <w:sz w:val="32"/>
                <w:szCs w:val="32"/>
              </w:rPr>
              <w:t>二、</w:t>
            </w:r>
            <w:r>
              <w:rPr>
                <w:rFonts w:eastAsia="仿宋_GB2312"/>
                <w:b/>
                <w:bCs/>
                <w:sz w:val="32"/>
                <w:szCs w:val="32"/>
              </w:rPr>
              <w:t>种质资源保存基地建设工程</w:t>
            </w:r>
          </w:p>
          <w:p w14:paraId="218A5C89">
            <w:pPr>
              <w:spacing w:line="360" w:lineRule="auto"/>
              <w:rPr>
                <w:rFonts w:hint="eastAsia" w:eastAsia="仿宋_GB2312"/>
                <w:b/>
                <w:bCs/>
                <w:sz w:val="32"/>
                <w:szCs w:val="32"/>
              </w:rPr>
            </w:pPr>
            <w:r>
              <w:rPr>
                <w:rFonts w:hint="eastAsia" w:eastAsia="仿宋_GB2312"/>
                <w:b/>
                <w:bCs/>
                <w:sz w:val="32"/>
                <w:szCs w:val="32"/>
              </w:rPr>
              <w:t>（一）国家林木种质资源库海南分库</w:t>
            </w:r>
          </w:p>
          <w:p w14:paraId="540CC9C9">
            <w:pPr>
              <w:spacing w:line="360" w:lineRule="auto"/>
              <w:ind w:firstLine="640" w:firstLineChars="200"/>
              <w:rPr>
                <w:rFonts w:eastAsia="仿宋_GB2312"/>
                <w:bCs/>
                <w:sz w:val="32"/>
                <w:szCs w:val="32"/>
              </w:rPr>
            </w:pPr>
            <w:r>
              <w:rPr>
                <w:rFonts w:hint="eastAsia" w:eastAsia="仿宋_GB2312"/>
                <w:bCs/>
                <w:sz w:val="32"/>
                <w:szCs w:val="32"/>
              </w:rPr>
              <w:t>积极将国家林木种质资源库海南分库项目落地三亚，充分发挥海南区位优势、政策优势、资源优势，推进种质资源管理集成创新。建设热带林木种质资源保存中心、科研开发中心、人才培养中心、种源交流中心和科普宣传中心，预计到2025年设施保存库保存热带林木种质资源4600 种42000 份，活体保存库保存资源3000种25000 株。建设该资源库是国家种质资源保护体系的重要组成部分，为国家生物育种创新体系构建和海南高技术服务业发展提供动力支撑。建设规模</w:t>
            </w:r>
            <w:r>
              <w:rPr>
                <w:rFonts w:eastAsia="仿宋_GB2312"/>
                <w:bCs/>
                <w:sz w:val="32"/>
                <w:szCs w:val="32"/>
              </w:rPr>
              <w:t>67 hm</w:t>
            </w:r>
            <w:r>
              <w:rPr>
                <w:rFonts w:eastAsia="仿宋_GB2312"/>
                <w:bCs/>
                <w:sz w:val="32"/>
                <w:szCs w:val="32"/>
                <w:vertAlign w:val="superscript"/>
              </w:rPr>
              <w:t>2</w:t>
            </w:r>
            <w:r>
              <w:rPr>
                <w:rFonts w:eastAsia="仿宋_GB2312"/>
                <w:bCs/>
                <w:sz w:val="32"/>
                <w:szCs w:val="32"/>
              </w:rPr>
              <w:t>，至</w:t>
            </w:r>
            <w:r>
              <w:rPr>
                <w:rFonts w:hint="eastAsia" w:eastAsia="仿宋_GB2312"/>
                <w:bCs/>
                <w:sz w:val="32"/>
                <w:szCs w:val="32"/>
              </w:rPr>
              <w:t>2025年</w:t>
            </w:r>
            <w:r>
              <w:rPr>
                <w:rFonts w:eastAsia="仿宋_GB2312"/>
                <w:bCs/>
                <w:sz w:val="32"/>
                <w:szCs w:val="32"/>
              </w:rPr>
              <w:t>计划投资30000万元。</w:t>
            </w:r>
          </w:p>
          <w:p w14:paraId="09A611F1">
            <w:pPr>
              <w:spacing w:line="360" w:lineRule="auto"/>
              <w:rPr>
                <w:rFonts w:hint="eastAsia" w:eastAsia="仿宋_GB2312"/>
                <w:b/>
                <w:bCs/>
                <w:sz w:val="32"/>
                <w:szCs w:val="32"/>
              </w:rPr>
            </w:pPr>
            <w:r>
              <w:rPr>
                <w:rFonts w:hint="eastAsia" w:eastAsia="仿宋_GB2312"/>
                <w:b/>
                <w:bCs/>
                <w:sz w:val="32"/>
                <w:szCs w:val="32"/>
              </w:rPr>
              <w:t>（二）国家热带兰花种质资源库（续建）</w:t>
            </w:r>
          </w:p>
          <w:p w14:paraId="430B0FEF">
            <w:pPr>
              <w:pStyle w:val="17"/>
              <w:ind w:firstLine="640" w:firstLineChars="200"/>
              <w:rPr>
                <w:rFonts w:hint="eastAsia" w:eastAsia="仿宋_GB2312"/>
                <w:b/>
                <w:bCs/>
                <w:sz w:val="32"/>
                <w:szCs w:val="32"/>
              </w:rPr>
            </w:pPr>
            <w:r>
              <w:rPr>
                <w:rFonts w:eastAsia="仿宋_GB2312"/>
                <w:sz w:val="32"/>
                <w:szCs w:val="32"/>
              </w:rPr>
              <w:t>依托三亚市</w:t>
            </w:r>
            <w:r>
              <w:rPr>
                <w:rFonts w:eastAsia="仿宋_GB2312"/>
                <w:kern w:val="0"/>
                <w:sz w:val="32"/>
                <w:szCs w:val="32"/>
              </w:rPr>
              <w:t>国家热带兰花种质资源库保存库，扩大提升</w:t>
            </w:r>
            <w:r>
              <w:rPr>
                <w:rFonts w:hint="eastAsia" w:eastAsia="仿宋_GB2312"/>
                <w:kern w:val="0"/>
                <w:sz w:val="32"/>
                <w:szCs w:val="32"/>
              </w:rPr>
              <w:t>国家热带兰花种质资源库建设规模。</w:t>
            </w:r>
            <w:r>
              <w:rPr>
                <w:rFonts w:eastAsia="仿宋_GB2312"/>
                <w:kern w:val="0"/>
                <w:sz w:val="32"/>
                <w:szCs w:val="32"/>
              </w:rPr>
              <w:t>建设花卉苗木种质资源大数据分中心</w:t>
            </w:r>
            <w:r>
              <w:rPr>
                <w:rFonts w:hint="eastAsia" w:eastAsia="仿宋_GB2312"/>
                <w:kern w:val="0"/>
                <w:sz w:val="32"/>
                <w:szCs w:val="32"/>
              </w:rPr>
              <w:t>、</w:t>
            </w:r>
            <w:r>
              <w:rPr>
                <w:rFonts w:eastAsia="仿宋_GB2312"/>
                <w:kern w:val="0"/>
                <w:sz w:val="32"/>
                <w:szCs w:val="32"/>
              </w:rPr>
              <w:t>活体保存中心</w:t>
            </w:r>
            <w:r>
              <w:rPr>
                <w:rFonts w:hint="eastAsia" w:eastAsia="仿宋_GB2312"/>
                <w:kern w:val="0"/>
                <w:sz w:val="32"/>
                <w:szCs w:val="32"/>
              </w:rPr>
              <w:t>、</w:t>
            </w:r>
            <w:r>
              <w:rPr>
                <w:rFonts w:eastAsia="仿宋_GB2312"/>
                <w:kern w:val="0"/>
                <w:sz w:val="32"/>
                <w:szCs w:val="32"/>
              </w:rPr>
              <w:t>科技创新中心、产业孵化中心等，完善基础配套设施建设，提高资源库的功能区划，打造</w:t>
            </w:r>
            <w:r>
              <w:rPr>
                <w:rFonts w:ascii="Times New Roman" w:hAnsi="Times New Roman" w:eastAsia="仿宋_GB2312"/>
                <w:kern w:val="0"/>
                <w:sz w:val="32"/>
                <w:szCs w:val="32"/>
              </w:rPr>
              <w:t>全球动植物种质资源引进中转基地热带野生兰科植物研究中心，为我国兰花产业壮大发展提供丰富的种质资源。建设规模6 .7 hm</w:t>
            </w:r>
            <w:r>
              <w:rPr>
                <w:rFonts w:ascii="Times New Roman" w:hAnsi="Times New Roman" w:eastAsia="仿宋_GB2312"/>
                <w:kern w:val="0"/>
                <w:sz w:val="32"/>
                <w:szCs w:val="32"/>
                <w:vertAlign w:val="superscript"/>
              </w:rPr>
              <w:t>2</w:t>
            </w:r>
            <w:r>
              <w:rPr>
                <w:rFonts w:ascii="Times New Roman" w:hAnsi="Times New Roman" w:eastAsia="仿宋_GB2312"/>
                <w:kern w:val="0"/>
                <w:sz w:val="32"/>
                <w:szCs w:val="32"/>
              </w:rPr>
              <w:t>，</w:t>
            </w:r>
            <w:r>
              <w:rPr>
                <w:rFonts w:hint="eastAsia" w:ascii="Times New Roman" w:hAnsi="Times New Roman" w:eastAsia="仿宋_GB2312"/>
                <w:kern w:val="0"/>
                <w:sz w:val="32"/>
                <w:szCs w:val="32"/>
              </w:rPr>
              <w:t>至2025年</w:t>
            </w:r>
            <w:r>
              <w:rPr>
                <w:rFonts w:ascii="Times New Roman" w:hAnsi="Times New Roman" w:eastAsia="仿宋_GB2312"/>
                <w:kern w:val="0"/>
                <w:sz w:val="32"/>
                <w:szCs w:val="32"/>
              </w:rPr>
              <w:t>计划投资7000万元。</w:t>
            </w:r>
          </w:p>
        </w:tc>
      </w:tr>
      <w:tr w14:paraId="6A11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4F7073D">
            <w:pPr>
              <w:spacing w:line="360" w:lineRule="auto"/>
              <w:jc w:val="left"/>
              <w:rPr>
                <w:rFonts w:hint="eastAsia" w:eastAsia="仿宋_GB2312"/>
                <w:b/>
                <w:bCs/>
                <w:sz w:val="32"/>
                <w:szCs w:val="32"/>
              </w:rPr>
            </w:pPr>
            <w:r>
              <w:rPr>
                <w:rFonts w:hint="eastAsia" w:eastAsia="仿宋_GB2312"/>
                <w:b/>
                <w:bCs/>
                <w:sz w:val="32"/>
                <w:szCs w:val="32"/>
              </w:rPr>
              <w:t>三、</w:t>
            </w:r>
            <w:r>
              <w:rPr>
                <w:rStyle w:val="44"/>
                <w:rFonts w:hAnsi="Times New Roman" w:eastAsia="仿宋_GB2312" w:cs="Times New Roman"/>
                <w:b/>
                <w:sz w:val="32"/>
                <w:szCs w:val="32"/>
              </w:rPr>
              <w:t>花卉旅游观光园建设工程</w:t>
            </w:r>
          </w:p>
          <w:p w14:paraId="03DD8A34">
            <w:pPr>
              <w:spacing w:line="360" w:lineRule="auto"/>
              <w:jc w:val="left"/>
              <w:rPr>
                <w:rFonts w:hint="eastAsia" w:eastAsia="仿宋_GB2312"/>
                <w:b/>
                <w:bCs/>
                <w:sz w:val="32"/>
                <w:szCs w:val="32"/>
              </w:rPr>
            </w:pPr>
            <w:r>
              <w:rPr>
                <w:rFonts w:hint="eastAsia" w:eastAsia="仿宋_GB2312"/>
                <w:b/>
                <w:bCs/>
                <w:sz w:val="32"/>
                <w:szCs w:val="32"/>
              </w:rPr>
              <w:t>（一）花卉旅游风情小镇</w:t>
            </w:r>
          </w:p>
          <w:p w14:paraId="650B949A">
            <w:pPr>
              <w:spacing w:line="360" w:lineRule="auto"/>
              <w:ind w:firstLine="640" w:firstLineChars="200"/>
              <w:jc w:val="left"/>
              <w:rPr>
                <w:rFonts w:hint="eastAsia" w:eastAsia="仿宋_GB2312"/>
                <w:kern w:val="0"/>
                <w:sz w:val="32"/>
                <w:szCs w:val="32"/>
              </w:rPr>
            </w:pPr>
            <w:r>
              <w:rPr>
                <w:rFonts w:eastAsia="仿宋_GB2312"/>
                <w:sz w:val="32"/>
                <w:szCs w:val="32"/>
              </w:rPr>
              <w:t>依托</w:t>
            </w:r>
            <w:r>
              <w:rPr>
                <w:rFonts w:eastAsia="仿宋_GB2312"/>
                <w:kern w:val="0"/>
                <w:sz w:val="32"/>
                <w:szCs w:val="32"/>
              </w:rPr>
              <w:t>亚龙湾国际玫瑰谷及美丽乡村博后村，充分发挥花卉龙头企业优势，合力打造以农田、水库、山林的原生态为主体，以五彩缤纷的玫瑰花为载体，集玫瑰种植、玫瑰文化展示、旅游休闲度假于一体的花卉风情小镇。至2025年，</w:t>
            </w:r>
            <w:r>
              <w:rPr>
                <w:rFonts w:hint="eastAsia" w:eastAsia="仿宋_GB2312"/>
                <w:kern w:val="0"/>
                <w:sz w:val="32"/>
                <w:szCs w:val="32"/>
              </w:rPr>
              <w:t>规划</w:t>
            </w:r>
            <w:r>
              <w:rPr>
                <w:rFonts w:eastAsia="仿宋_GB2312"/>
                <w:kern w:val="0"/>
                <w:sz w:val="32"/>
                <w:szCs w:val="32"/>
              </w:rPr>
              <w:t>建设花卉风情小镇1处，计划投资</w:t>
            </w:r>
            <w:r>
              <w:rPr>
                <w:rFonts w:hint="eastAsia" w:eastAsia="仿宋_GB2312"/>
                <w:kern w:val="0"/>
                <w:sz w:val="32"/>
                <w:szCs w:val="32"/>
              </w:rPr>
              <w:t>5</w:t>
            </w:r>
            <w:r>
              <w:rPr>
                <w:rFonts w:eastAsia="仿宋_GB2312"/>
                <w:kern w:val="0"/>
                <w:sz w:val="32"/>
                <w:szCs w:val="32"/>
              </w:rPr>
              <w:t>000万元；至2035年，</w:t>
            </w:r>
            <w:r>
              <w:rPr>
                <w:rFonts w:hint="eastAsia" w:eastAsia="仿宋_GB2312"/>
                <w:kern w:val="0"/>
                <w:sz w:val="32"/>
                <w:szCs w:val="32"/>
              </w:rPr>
              <w:t>规划</w:t>
            </w:r>
            <w:r>
              <w:rPr>
                <w:rFonts w:eastAsia="仿宋_GB2312"/>
                <w:kern w:val="0"/>
                <w:sz w:val="32"/>
                <w:szCs w:val="32"/>
              </w:rPr>
              <w:t>建设</w:t>
            </w:r>
            <w:r>
              <w:rPr>
                <w:rFonts w:hint="eastAsia" w:eastAsia="仿宋_GB2312"/>
                <w:kern w:val="0"/>
                <w:sz w:val="32"/>
                <w:szCs w:val="32"/>
              </w:rPr>
              <w:t>（或提质）</w:t>
            </w:r>
            <w:r>
              <w:rPr>
                <w:rFonts w:eastAsia="仿宋_GB2312"/>
                <w:kern w:val="0"/>
                <w:sz w:val="32"/>
                <w:szCs w:val="32"/>
              </w:rPr>
              <w:t>花卉风情小镇</w:t>
            </w:r>
            <w:r>
              <w:rPr>
                <w:rFonts w:hint="eastAsia" w:eastAsia="仿宋_GB2312"/>
                <w:kern w:val="0"/>
                <w:sz w:val="32"/>
                <w:szCs w:val="32"/>
              </w:rPr>
              <w:t>3~5</w:t>
            </w:r>
            <w:r>
              <w:rPr>
                <w:rFonts w:eastAsia="仿宋_GB2312"/>
                <w:kern w:val="0"/>
                <w:sz w:val="32"/>
                <w:szCs w:val="32"/>
              </w:rPr>
              <w:t>处，计划投资</w:t>
            </w:r>
            <w:r>
              <w:rPr>
                <w:rFonts w:hint="eastAsia" w:eastAsia="仿宋_GB2312"/>
                <w:kern w:val="0"/>
                <w:sz w:val="32"/>
                <w:szCs w:val="32"/>
              </w:rPr>
              <w:t>20</w:t>
            </w:r>
            <w:r>
              <w:rPr>
                <w:rFonts w:eastAsia="仿宋_GB2312"/>
                <w:kern w:val="0"/>
                <w:sz w:val="32"/>
                <w:szCs w:val="32"/>
              </w:rPr>
              <w:t>000万元</w:t>
            </w:r>
            <w:r>
              <w:rPr>
                <w:rFonts w:hint="eastAsia" w:eastAsia="仿宋_GB2312"/>
                <w:kern w:val="0"/>
                <w:sz w:val="32"/>
                <w:szCs w:val="32"/>
              </w:rPr>
              <w:t>，</w:t>
            </w:r>
            <w:r>
              <w:rPr>
                <w:rFonts w:eastAsia="仿宋_GB2312"/>
                <w:kern w:val="0"/>
                <w:sz w:val="32"/>
                <w:szCs w:val="32"/>
              </w:rPr>
              <w:t>总投资</w:t>
            </w:r>
            <w:r>
              <w:rPr>
                <w:rFonts w:hint="eastAsia" w:eastAsia="仿宋_GB2312"/>
                <w:kern w:val="0"/>
                <w:sz w:val="32"/>
                <w:szCs w:val="32"/>
              </w:rPr>
              <w:t>25000万元。</w:t>
            </w:r>
          </w:p>
          <w:p w14:paraId="0850BC21">
            <w:pPr>
              <w:spacing w:line="360" w:lineRule="auto"/>
              <w:jc w:val="left"/>
              <w:rPr>
                <w:rFonts w:hint="eastAsia" w:eastAsia="仿宋_GB2312"/>
                <w:b/>
                <w:kern w:val="0"/>
                <w:sz w:val="32"/>
                <w:szCs w:val="32"/>
              </w:rPr>
            </w:pPr>
            <w:r>
              <w:rPr>
                <w:rFonts w:hint="eastAsia" w:eastAsia="仿宋_GB2312"/>
                <w:b/>
                <w:bCs/>
                <w:sz w:val="32"/>
                <w:szCs w:val="32"/>
              </w:rPr>
              <w:t>（二）</w:t>
            </w:r>
            <w:r>
              <w:rPr>
                <w:rFonts w:eastAsia="仿宋_GB2312"/>
                <w:b/>
                <w:bCs/>
                <w:sz w:val="32"/>
                <w:szCs w:val="32"/>
              </w:rPr>
              <w:t>热</w:t>
            </w:r>
            <w:r>
              <w:rPr>
                <w:rFonts w:eastAsia="仿宋_GB2312"/>
                <w:b/>
                <w:kern w:val="0"/>
                <w:sz w:val="32"/>
                <w:szCs w:val="32"/>
              </w:rPr>
              <w:t>带花卉主题公园</w:t>
            </w:r>
          </w:p>
          <w:p w14:paraId="1C4DEBD9">
            <w:pPr>
              <w:spacing w:line="360" w:lineRule="auto"/>
              <w:ind w:firstLine="640" w:firstLineChars="200"/>
              <w:jc w:val="left"/>
              <w:rPr>
                <w:rFonts w:hint="eastAsia" w:eastAsia="仿宋_GB2312"/>
                <w:kern w:val="0"/>
                <w:sz w:val="32"/>
                <w:szCs w:val="32"/>
              </w:rPr>
            </w:pPr>
            <w:r>
              <w:rPr>
                <w:rFonts w:eastAsia="仿宋_GB2312"/>
                <w:kern w:val="0"/>
                <w:sz w:val="32"/>
                <w:szCs w:val="32"/>
              </w:rPr>
              <w:t>打造一个以兰花、玫瑰、三角梅等热带花卉的主题公园。同时结合科普教育基地建设，建成一个集热带花卉原生态栽培应用、特色科普旅游、生态休闲为一体的产业融合体，综合建成热带花卉自然学校，为市民休闲娱乐、学生科普教育提供基地。建设规模6.7 hm</w:t>
            </w:r>
            <w:r>
              <w:rPr>
                <w:rFonts w:eastAsia="仿宋_GB2312"/>
                <w:kern w:val="0"/>
                <w:sz w:val="32"/>
                <w:szCs w:val="32"/>
                <w:vertAlign w:val="superscript"/>
              </w:rPr>
              <w:t>2</w:t>
            </w:r>
            <w:r>
              <w:rPr>
                <w:rFonts w:eastAsia="仿宋_GB2312"/>
                <w:kern w:val="0"/>
                <w:sz w:val="32"/>
                <w:szCs w:val="32"/>
              </w:rPr>
              <w:t>，</w:t>
            </w:r>
            <w:r>
              <w:rPr>
                <w:rFonts w:eastAsia="仿宋_GB2312"/>
                <w:bCs/>
                <w:sz w:val="32"/>
                <w:szCs w:val="32"/>
              </w:rPr>
              <w:t>至</w:t>
            </w:r>
            <w:r>
              <w:rPr>
                <w:rFonts w:hint="eastAsia" w:eastAsia="仿宋_GB2312"/>
                <w:bCs/>
                <w:sz w:val="32"/>
                <w:szCs w:val="32"/>
              </w:rPr>
              <w:t>2025年</w:t>
            </w:r>
            <w:r>
              <w:rPr>
                <w:rFonts w:eastAsia="仿宋_GB2312"/>
                <w:kern w:val="0"/>
                <w:sz w:val="32"/>
                <w:szCs w:val="32"/>
              </w:rPr>
              <w:t>计划投资</w:t>
            </w:r>
            <w:r>
              <w:rPr>
                <w:rFonts w:hint="eastAsia" w:eastAsia="仿宋_GB2312"/>
                <w:kern w:val="0"/>
                <w:sz w:val="32"/>
                <w:szCs w:val="32"/>
              </w:rPr>
              <w:t>40</w:t>
            </w:r>
            <w:r>
              <w:rPr>
                <w:rFonts w:eastAsia="仿宋_GB2312"/>
                <w:kern w:val="0"/>
                <w:sz w:val="32"/>
                <w:szCs w:val="32"/>
              </w:rPr>
              <w:t>00万元。</w:t>
            </w:r>
          </w:p>
          <w:p w14:paraId="745D9D99">
            <w:pPr>
              <w:spacing w:line="360" w:lineRule="auto"/>
              <w:jc w:val="left"/>
              <w:rPr>
                <w:rFonts w:hint="eastAsia" w:eastAsia="仿宋_GB2312"/>
                <w:b/>
                <w:kern w:val="0"/>
                <w:sz w:val="32"/>
                <w:szCs w:val="32"/>
              </w:rPr>
            </w:pPr>
            <w:r>
              <w:rPr>
                <w:rFonts w:hint="eastAsia" w:eastAsia="仿宋_GB2312"/>
                <w:b/>
                <w:bCs/>
                <w:sz w:val="32"/>
                <w:szCs w:val="32"/>
              </w:rPr>
              <w:t>（三）南丁花卉生态村</w:t>
            </w:r>
          </w:p>
          <w:p w14:paraId="4673F882">
            <w:pPr>
              <w:spacing w:line="360" w:lineRule="auto"/>
              <w:ind w:firstLine="640" w:firstLineChars="200"/>
              <w:jc w:val="left"/>
              <w:rPr>
                <w:rFonts w:hint="eastAsia" w:eastAsia="仿宋_GB2312"/>
                <w:bCs/>
                <w:sz w:val="32"/>
                <w:szCs w:val="32"/>
              </w:rPr>
            </w:pPr>
            <w:r>
              <w:rPr>
                <w:rFonts w:hint="eastAsia" w:eastAsia="仿宋_GB2312"/>
                <w:bCs/>
                <w:sz w:val="32"/>
                <w:szCs w:val="32"/>
              </w:rPr>
              <w:t>建设以花卉为主题，结合市树市花景观的花卉生态观光园。以乡村振兴战略为指引，以促进三产融合发展为方向，优化产业结构，拉长产业链条，采用“农户+合作社+企业+互联网”模式，引进企业与合作社、农户三方合作开发，设置花卉展示区及交易市场，充分利用新能源，增加花卉产业附加值，带动农民致富，逐步实现绿色发展的特色美丽生态乡村。建设地点位于吉阳区南丁村，建设规模500 hm</w:t>
            </w:r>
            <w:r>
              <w:rPr>
                <w:rFonts w:hint="eastAsia" w:eastAsia="仿宋_GB2312"/>
                <w:bCs/>
                <w:sz w:val="32"/>
                <w:szCs w:val="32"/>
                <w:vertAlign w:val="superscript"/>
              </w:rPr>
              <w:t>2</w:t>
            </w:r>
            <w:r>
              <w:rPr>
                <w:rFonts w:hint="eastAsia" w:eastAsia="仿宋_GB2312"/>
                <w:bCs/>
                <w:sz w:val="32"/>
                <w:szCs w:val="32"/>
              </w:rPr>
              <w:t>，至2025年计划投资30000万元；至2035年，计划投资70000万元，总投资100000万元。</w:t>
            </w:r>
          </w:p>
        </w:tc>
      </w:tr>
      <w:tr w14:paraId="34AD9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963F8EB">
            <w:pPr>
              <w:spacing w:line="360" w:lineRule="auto"/>
              <w:rPr>
                <w:rFonts w:hint="eastAsia" w:eastAsia="仿宋_GB2312"/>
                <w:b/>
                <w:bCs/>
                <w:sz w:val="32"/>
                <w:szCs w:val="32"/>
              </w:rPr>
            </w:pPr>
            <w:r>
              <w:rPr>
                <w:rFonts w:hint="eastAsia" w:eastAsia="仿宋_GB2312"/>
                <w:b/>
                <w:bCs/>
                <w:sz w:val="32"/>
                <w:szCs w:val="32"/>
              </w:rPr>
              <w:t>四、</w:t>
            </w:r>
            <w:r>
              <w:rPr>
                <w:rStyle w:val="44"/>
                <w:rFonts w:hAnsi="Times New Roman" w:eastAsia="仿宋_GB2312" w:cs="Times New Roman"/>
                <w:b/>
                <w:sz w:val="32"/>
                <w:szCs w:val="32"/>
              </w:rPr>
              <w:t>林产品交易中心和会展中心建设工程</w:t>
            </w:r>
          </w:p>
          <w:p w14:paraId="4B511DF8">
            <w:pPr>
              <w:spacing w:line="360" w:lineRule="auto"/>
              <w:rPr>
                <w:rStyle w:val="44"/>
                <w:rFonts w:hint="eastAsia" w:hAnsi="Times New Roman" w:eastAsia="仿宋_GB2312" w:cs="Times New Roman"/>
                <w:b/>
                <w:sz w:val="32"/>
                <w:szCs w:val="32"/>
              </w:rPr>
            </w:pPr>
            <w:r>
              <w:rPr>
                <w:rFonts w:hint="eastAsia" w:eastAsia="仿宋_GB2312"/>
                <w:b/>
                <w:bCs/>
                <w:sz w:val="32"/>
                <w:szCs w:val="32"/>
              </w:rPr>
              <w:t>（一）</w:t>
            </w:r>
            <w:r>
              <w:rPr>
                <w:rStyle w:val="44"/>
                <w:rFonts w:hAnsi="Times New Roman" w:eastAsia="仿宋_GB2312" w:cs="Times New Roman"/>
                <w:b/>
                <w:sz w:val="32"/>
                <w:szCs w:val="32"/>
              </w:rPr>
              <w:t>林产品交易中心和会展中心</w:t>
            </w:r>
          </w:p>
          <w:p w14:paraId="01F7A1B1">
            <w:pPr>
              <w:spacing w:line="360" w:lineRule="auto"/>
              <w:ind w:firstLine="640" w:firstLineChars="200"/>
              <w:rPr>
                <w:rStyle w:val="44"/>
                <w:rFonts w:hint="eastAsia" w:hAnsi="Times New Roman" w:eastAsia="仿宋_GB2312" w:cs="Times New Roman"/>
                <w:sz w:val="32"/>
                <w:szCs w:val="32"/>
              </w:rPr>
            </w:pPr>
            <w:r>
              <w:rPr>
                <w:rStyle w:val="44"/>
                <w:rFonts w:hint="eastAsia" w:hAnsi="Times New Roman" w:eastAsia="仿宋_GB2312" w:cs="Times New Roman"/>
                <w:sz w:val="32"/>
                <w:szCs w:val="32"/>
              </w:rPr>
              <w:t>1、</w:t>
            </w:r>
            <w:r>
              <w:rPr>
                <w:rStyle w:val="44"/>
                <w:rFonts w:hAnsi="Times New Roman" w:eastAsia="仿宋_GB2312" w:cs="Times New Roman"/>
                <w:b/>
                <w:sz w:val="32"/>
                <w:szCs w:val="32"/>
              </w:rPr>
              <w:t>林产品交易中心</w:t>
            </w:r>
            <w:r>
              <w:rPr>
                <w:rStyle w:val="44"/>
                <w:rFonts w:hint="eastAsia" w:hAnsi="Times New Roman" w:eastAsia="仿宋_GB2312" w:cs="Times New Roman"/>
                <w:sz w:val="32"/>
                <w:szCs w:val="32"/>
              </w:rPr>
              <w:t>主要包括花鸟鱼虫交易市场、物流中心、林产工艺品、林下经济南药黎药展销中心、科普展示等，配套有大数据中心、拍卖交易中心、技术培训中心、自然教育中心等，建成林产品多功能的交易市场。充分发挥“一带一路”纽带作用，建立国内、国际林木花卉种苗销售网络，结合大数据分析，创新营销方式，推进线上线下共同发展，形成重要的交易基地、一体化物流服务中心的城市近郊交易综合体。建设地点为天涯区机场附近，建设规模66.7 hm</w:t>
            </w:r>
            <w:r>
              <w:rPr>
                <w:rStyle w:val="44"/>
                <w:rFonts w:hint="eastAsia" w:hAnsi="Times New Roman" w:eastAsia="仿宋_GB2312" w:cs="Times New Roman"/>
                <w:sz w:val="32"/>
                <w:szCs w:val="32"/>
                <w:vertAlign w:val="superscript"/>
              </w:rPr>
              <w:t>2</w:t>
            </w:r>
            <w:r>
              <w:rPr>
                <w:rStyle w:val="44"/>
                <w:rFonts w:hint="eastAsia" w:hAnsi="Times New Roman" w:eastAsia="仿宋_GB2312" w:cs="Times New Roman"/>
                <w:sz w:val="32"/>
                <w:szCs w:val="32"/>
              </w:rPr>
              <w:t>，至2035年计划投资50000万元。</w:t>
            </w:r>
          </w:p>
          <w:p w14:paraId="1402BAAD">
            <w:pPr>
              <w:spacing w:line="360" w:lineRule="auto"/>
              <w:ind w:firstLine="640" w:firstLineChars="200"/>
              <w:rPr>
                <w:rStyle w:val="44"/>
                <w:rFonts w:hint="eastAsia" w:hAnsi="Times New Roman" w:eastAsia="仿宋_GB2312" w:cs="Times New Roman"/>
                <w:sz w:val="32"/>
                <w:szCs w:val="32"/>
              </w:rPr>
            </w:pPr>
            <w:r>
              <w:rPr>
                <w:rStyle w:val="44"/>
                <w:rFonts w:hint="eastAsia" w:hAnsi="Times New Roman" w:eastAsia="仿宋_GB2312" w:cs="Times New Roman"/>
                <w:sz w:val="32"/>
                <w:szCs w:val="32"/>
              </w:rPr>
              <w:t>2、</w:t>
            </w:r>
            <w:r>
              <w:rPr>
                <w:rStyle w:val="44"/>
                <w:rFonts w:hint="eastAsia" w:hAnsi="Times New Roman" w:eastAsia="仿宋_GB2312" w:cs="Times New Roman"/>
                <w:b/>
                <w:sz w:val="32"/>
                <w:szCs w:val="32"/>
              </w:rPr>
              <w:t>会展中心</w:t>
            </w:r>
            <w:r>
              <w:rPr>
                <w:rStyle w:val="44"/>
                <w:rFonts w:hint="eastAsia" w:hAnsi="Times New Roman" w:eastAsia="仿宋_GB2312" w:cs="Times New Roman"/>
                <w:sz w:val="32"/>
                <w:szCs w:val="32"/>
              </w:rPr>
              <w:t>以培育产业会展为特色品牌体系，承办三亚国际花卉旅游节、其他国际性花卉博览会，还可定期或不定期举办一些科普展活动、产品展销会、新品种展示会、文化沙龙、技术交流与培训等。通过会展窗口集中宣传与展示三亚花卉产业新品种、新技术，引导花卉消费，推进国内外交流与合作，促进产业发展。</w:t>
            </w:r>
            <w:r>
              <w:rPr>
                <w:rFonts w:eastAsia="仿宋_GB2312"/>
                <w:kern w:val="0"/>
                <w:sz w:val="32"/>
                <w:szCs w:val="32"/>
              </w:rPr>
              <w:t>建设规模6.7 hm</w:t>
            </w:r>
            <w:r>
              <w:rPr>
                <w:rFonts w:eastAsia="仿宋_GB2312"/>
                <w:kern w:val="0"/>
                <w:sz w:val="32"/>
                <w:szCs w:val="32"/>
                <w:vertAlign w:val="superscript"/>
              </w:rPr>
              <w:t>2</w:t>
            </w:r>
            <w:r>
              <w:rPr>
                <w:rFonts w:eastAsia="仿宋_GB2312"/>
                <w:kern w:val="0"/>
                <w:sz w:val="32"/>
                <w:szCs w:val="32"/>
              </w:rPr>
              <w:t>，至</w:t>
            </w:r>
            <w:r>
              <w:rPr>
                <w:rFonts w:hint="eastAsia" w:eastAsia="仿宋_GB2312"/>
                <w:kern w:val="0"/>
                <w:sz w:val="32"/>
                <w:szCs w:val="32"/>
              </w:rPr>
              <w:t>2035年</w:t>
            </w:r>
            <w:r>
              <w:rPr>
                <w:rFonts w:eastAsia="仿宋_GB2312"/>
                <w:kern w:val="0"/>
                <w:sz w:val="32"/>
                <w:szCs w:val="32"/>
              </w:rPr>
              <w:t>计划投资</w:t>
            </w:r>
            <w:r>
              <w:rPr>
                <w:rFonts w:hint="eastAsia" w:eastAsia="仿宋_GB2312"/>
                <w:kern w:val="0"/>
                <w:sz w:val="32"/>
                <w:szCs w:val="32"/>
              </w:rPr>
              <w:t>10</w:t>
            </w:r>
            <w:r>
              <w:rPr>
                <w:rFonts w:eastAsia="仿宋_GB2312"/>
                <w:kern w:val="0"/>
                <w:sz w:val="32"/>
                <w:szCs w:val="32"/>
              </w:rPr>
              <w:t>000万元。</w:t>
            </w:r>
          </w:p>
          <w:p w14:paraId="47C03B3E">
            <w:pPr>
              <w:spacing w:line="360" w:lineRule="auto"/>
              <w:ind w:firstLine="640" w:firstLineChars="200"/>
              <w:rPr>
                <w:rFonts w:hint="eastAsia" w:eastAsia="仿宋_GB2312"/>
                <w:bCs/>
                <w:sz w:val="32"/>
                <w:szCs w:val="32"/>
              </w:rPr>
            </w:pPr>
            <w:r>
              <w:rPr>
                <w:rFonts w:hint="eastAsia" w:eastAsia="仿宋_GB2312"/>
                <w:bCs/>
                <w:sz w:val="32"/>
                <w:szCs w:val="32"/>
              </w:rPr>
              <w:t>产品交易与会展中心综合联体建设，建成后以花卉、林产工艺品等的交易为主体，以科普教育为文化核心，以博览会展为特色展销形式，形成集成林木好花卉种苗一二三产融合于一体的重要的城市交易综合体。</w:t>
            </w:r>
          </w:p>
        </w:tc>
      </w:tr>
      <w:tr w14:paraId="2F8ED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01FE0855">
            <w:pPr>
              <w:pStyle w:val="17"/>
              <w:ind w:firstLine="0" w:firstLineChars="0"/>
              <w:rPr>
                <w:rStyle w:val="44"/>
                <w:rFonts w:hint="eastAsia" w:hAnsi="Times New Roman" w:eastAsia="仿宋_GB2312" w:cs="Times New Roman"/>
                <w:b/>
                <w:sz w:val="32"/>
                <w:szCs w:val="32"/>
              </w:rPr>
            </w:pPr>
            <w:r>
              <w:rPr>
                <w:rFonts w:hint="eastAsia" w:eastAsia="仿宋_GB2312"/>
                <w:b/>
                <w:bCs/>
                <w:sz w:val="32"/>
                <w:szCs w:val="32"/>
              </w:rPr>
              <w:t>五、</w:t>
            </w:r>
            <w:r>
              <w:rPr>
                <w:rStyle w:val="44"/>
                <w:rFonts w:hAnsi="Times New Roman" w:eastAsia="仿宋_GB2312" w:cs="Times New Roman"/>
                <w:b/>
                <w:sz w:val="32"/>
                <w:szCs w:val="32"/>
              </w:rPr>
              <w:t>林业种业孵化基地建设工程</w:t>
            </w:r>
          </w:p>
          <w:p w14:paraId="099253CA">
            <w:pPr>
              <w:pStyle w:val="17"/>
              <w:ind w:firstLine="0" w:firstLineChars="0"/>
              <w:rPr>
                <w:rStyle w:val="44"/>
                <w:rFonts w:hAnsi="Times New Roman" w:eastAsia="仿宋_GB2312" w:cs="Times New Roman"/>
                <w:b/>
                <w:sz w:val="32"/>
                <w:szCs w:val="32"/>
              </w:rPr>
            </w:pPr>
            <w:r>
              <w:rPr>
                <w:rStyle w:val="44"/>
                <w:rFonts w:hint="eastAsia" w:hAnsi="Times New Roman" w:eastAsia="仿宋_GB2312" w:cs="Times New Roman"/>
                <w:b/>
                <w:sz w:val="32"/>
                <w:szCs w:val="32"/>
              </w:rPr>
              <w:t>（一）</w:t>
            </w:r>
            <w:r>
              <w:rPr>
                <w:rFonts w:ascii="Times New Roman" w:hAnsi="Times New Roman" w:eastAsia="仿宋_GB2312"/>
                <w:b/>
                <w:kern w:val="0"/>
                <w:sz w:val="32"/>
                <w:szCs w:val="32"/>
              </w:rPr>
              <w:t>林业种业孵化基地</w:t>
            </w:r>
          </w:p>
          <w:p w14:paraId="4DA5149F">
            <w:pPr>
              <w:pStyle w:val="17"/>
              <w:ind w:firstLine="640" w:firstLineChars="200"/>
              <w:rPr>
                <w:rFonts w:hint="eastAsia" w:ascii="Times New Roman" w:hAnsi="Times New Roman" w:eastAsia="仿宋_GB2312"/>
                <w:kern w:val="0"/>
                <w:sz w:val="32"/>
                <w:szCs w:val="32"/>
              </w:rPr>
            </w:pPr>
            <w:r>
              <w:rPr>
                <w:rFonts w:ascii="Times New Roman" w:hAnsi="Times New Roman" w:eastAsia="仿宋_GB2312"/>
                <w:kern w:val="0"/>
                <w:sz w:val="32"/>
                <w:szCs w:val="32"/>
              </w:rPr>
              <w:t>依托</w:t>
            </w:r>
            <w:r>
              <w:rPr>
                <w:rFonts w:hint="eastAsia" w:ascii="Times New Roman" w:hAnsi="Times New Roman" w:eastAsia="仿宋_GB2312"/>
                <w:kern w:val="0"/>
                <w:sz w:val="32"/>
                <w:szCs w:val="32"/>
              </w:rPr>
              <w:t>全球动植物种质资源引进中转基地建设</w:t>
            </w:r>
            <w:r>
              <w:rPr>
                <w:rFonts w:ascii="Times New Roman" w:hAnsi="Times New Roman" w:eastAsia="仿宋_GB2312"/>
                <w:kern w:val="0"/>
                <w:sz w:val="32"/>
                <w:szCs w:val="32"/>
              </w:rPr>
              <w:t>优势，建设</w:t>
            </w:r>
            <w:r>
              <w:rPr>
                <w:rFonts w:hint="eastAsia" w:ascii="Times New Roman" w:hAnsi="Times New Roman" w:eastAsia="仿宋_GB2312"/>
                <w:kern w:val="0"/>
                <w:sz w:val="32"/>
                <w:szCs w:val="32"/>
              </w:rPr>
              <w:t>林业种业</w:t>
            </w:r>
            <w:r>
              <w:rPr>
                <w:rFonts w:ascii="Times New Roman" w:hAnsi="Times New Roman" w:eastAsia="仿宋_GB2312"/>
                <w:kern w:val="0"/>
                <w:sz w:val="32"/>
                <w:szCs w:val="32"/>
              </w:rPr>
              <w:t>产业孵化基地，建立</w:t>
            </w:r>
            <w:r>
              <w:rPr>
                <w:rFonts w:hint="eastAsia" w:ascii="Times New Roman" w:hAnsi="Times New Roman" w:eastAsia="仿宋_GB2312"/>
                <w:kern w:val="0"/>
                <w:sz w:val="32"/>
                <w:szCs w:val="32"/>
              </w:rPr>
              <w:t>林业种业</w:t>
            </w:r>
            <w:r>
              <w:rPr>
                <w:rFonts w:ascii="Times New Roman" w:hAnsi="Times New Roman" w:eastAsia="仿宋_GB2312"/>
                <w:kern w:val="0"/>
                <w:sz w:val="32"/>
                <w:szCs w:val="32"/>
              </w:rPr>
              <w:t>创业服务中心，设立“三亚市</w:t>
            </w:r>
            <w:r>
              <w:rPr>
                <w:rFonts w:hint="eastAsia" w:ascii="Times New Roman" w:hAnsi="Times New Roman" w:eastAsia="仿宋_GB2312"/>
                <w:kern w:val="0"/>
                <w:sz w:val="32"/>
                <w:szCs w:val="32"/>
              </w:rPr>
              <w:t>林业</w:t>
            </w:r>
            <w:r>
              <w:rPr>
                <w:rFonts w:ascii="Times New Roman" w:hAnsi="Times New Roman" w:eastAsia="仿宋_GB2312"/>
                <w:kern w:val="0"/>
                <w:sz w:val="32"/>
                <w:szCs w:val="32"/>
              </w:rPr>
              <w:t>种业</w:t>
            </w:r>
            <w:r>
              <w:rPr>
                <w:rFonts w:hint="eastAsia" w:ascii="Times New Roman" w:hAnsi="Times New Roman" w:eastAsia="仿宋_GB2312"/>
                <w:kern w:val="0"/>
                <w:sz w:val="32"/>
                <w:szCs w:val="32"/>
              </w:rPr>
              <w:t>创新</w:t>
            </w:r>
            <w:r>
              <w:rPr>
                <w:rFonts w:ascii="Times New Roman" w:hAnsi="Times New Roman" w:eastAsia="仿宋_GB2312"/>
                <w:kern w:val="0"/>
                <w:sz w:val="32"/>
                <w:szCs w:val="32"/>
              </w:rPr>
              <w:t>基金”，为广大创业者开辟一片“试验田”，鼓励和扶持林业产业创新创业，鼓励科技创新，吸引高新企业到孵化基地创新创业。至2025年，建设林业种业孵化基地1处，建设地点为三亚崖州</w:t>
            </w:r>
            <w:r>
              <w:rPr>
                <w:rFonts w:hint="eastAsia" w:ascii="Times New Roman" w:hAnsi="Times New Roman" w:eastAsia="仿宋_GB2312"/>
                <w:kern w:val="0"/>
                <w:sz w:val="32"/>
                <w:szCs w:val="32"/>
              </w:rPr>
              <w:t>区，</w:t>
            </w:r>
            <w:r>
              <w:rPr>
                <w:rFonts w:ascii="Times New Roman" w:hAnsi="Times New Roman" w:eastAsia="仿宋_GB2312"/>
                <w:kern w:val="0"/>
                <w:sz w:val="32"/>
                <w:szCs w:val="32"/>
              </w:rPr>
              <w:t>建设规模3.3 hm</w:t>
            </w:r>
            <w:r>
              <w:rPr>
                <w:rFonts w:ascii="Times New Roman" w:hAnsi="Times New Roman" w:eastAsia="仿宋_GB2312"/>
                <w:kern w:val="0"/>
                <w:sz w:val="32"/>
                <w:szCs w:val="32"/>
                <w:vertAlign w:val="superscript"/>
              </w:rPr>
              <w:t>2</w:t>
            </w:r>
            <w:r>
              <w:rPr>
                <w:rFonts w:ascii="Times New Roman" w:hAnsi="Times New Roman" w:eastAsia="仿宋_GB2312"/>
                <w:kern w:val="0"/>
                <w:sz w:val="32"/>
                <w:szCs w:val="32"/>
              </w:rPr>
              <w:t>，至</w:t>
            </w:r>
            <w:r>
              <w:rPr>
                <w:rFonts w:hint="eastAsia" w:ascii="Times New Roman" w:hAnsi="Times New Roman" w:eastAsia="仿宋_GB2312"/>
                <w:kern w:val="0"/>
                <w:sz w:val="32"/>
                <w:szCs w:val="32"/>
              </w:rPr>
              <w:t>2025年计划</w:t>
            </w:r>
            <w:r>
              <w:rPr>
                <w:rFonts w:ascii="Times New Roman" w:hAnsi="Times New Roman" w:eastAsia="仿宋_GB2312"/>
                <w:kern w:val="0"/>
                <w:sz w:val="32"/>
                <w:szCs w:val="32"/>
              </w:rPr>
              <w:t>投资</w:t>
            </w:r>
            <w:r>
              <w:rPr>
                <w:rFonts w:hint="eastAsia" w:ascii="Times New Roman" w:hAnsi="Times New Roman" w:eastAsia="仿宋_GB2312"/>
                <w:kern w:val="0"/>
                <w:sz w:val="32"/>
                <w:szCs w:val="32"/>
              </w:rPr>
              <w:t>2</w:t>
            </w:r>
            <w:r>
              <w:rPr>
                <w:rFonts w:ascii="Times New Roman" w:hAnsi="Times New Roman" w:eastAsia="仿宋_GB2312"/>
                <w:kern w:val="0"/>
                <w:sz w:val="32"/>
                <w:szCs w:val="32"/>
              </w:rPr>
              <w:t>000万元</w:t>
            </w:r>
            <w:r>
              <w:rPr>
                <w:rFonts w:hint="eastAsia" w:ascii="Times New Roman" w:hAnsi="Times New Roman" w:eastAsia="仿宋_GB2312"/>
                <w:kern w:val="0"/>
                <w:sz w:val="32"/>
                <w:szCs w:val="32"/>
              </w:rPr>
              <w:t>。</w:t>
            </w:r>
          </w:p>
          <w:p w14:paraId="5114F6FC">
            <w:pPr>
              <w:pStyle w:val="17"/>
              <w:ind w:firstLine="0" w:firstLineChars="0"/>
              <w:rPr>
                <w:rStyle w:val="44"/>
                <w:rFonts w:hAnsi="Times New Roman" w:eastAsia="仿宋_GB2312" w:cs="Times New Roman"/>
                <w:b/>
                <w:sz w:val="32"/>
                <w:szCs w:val="32"/>
              </w:rPr>
            </w:pPr>
            <w:r>
              <w:rPr>
                <w:rStyle w:val="44"/>
                <w:rFonts w:hint="eastAsia" w:hAnsi="Times New Roman" w:eastAsia="仿宋_GB2312" w:cs="Times New Roman"/>
                <w:b/>
                <w:sz w:val="32"/>
                <w:szCs w:val="32"/>
              </w:rPr>
              <w:t>（二）种质隔离</w:t>
            </w:r>
            <w:r>
              <w:rPr>
                <w:rFonts w:ascii="Times New Roman" w:hAnsi="Times New Roman" w:eastAsia="仿宋_GB2312"/>
                <w:b/>
                <w:kern w:val="0"/>
                <w:sz w:val="32"/>
                <w:szCs w:val="32"/>
              </w:rPr>
              <w:t>基地</w:t>
            </w:r>
          </w:p>
          <w:p w14:paraId="2C540D4C">
            <w:pPr>
              <w:pStyle w:val="17"/>
              <w:ind w:firstLine="640" w:firstLineChars="200"/>
              <w:rPr>
                <w:rFonts w:hint="eastAsia" w:ascii="Times New Roman" w:hAnsi="Times New Roman" w:eastAsia="仿宋_GB2312"/>
                <w:kern w:val="0"/>
                <w:sz w:val="32"/>
                <w:szCs w:val="32"/>
              </w:rPr>
            </w:pPr>
            <w:r>
              <w:rPr>
                <w:rFonts w:hint="eastAsia" w:ascii="Times New Roman" w:hAnsi="Times New Roman" w:eastAsia="仿宋_GB2312"/>
                <w:kern w:val="0"/>
                <w:sz w:val="32"/>
                <w:szCs w:val="32"/>
              </w:rPr>
              <w:t>根据不同类别、不同品种植物种质对于隔离设施存在集中化、分散化等不同的建设需求，集中的种质隔离检疫区重点为新品种的引进，打造一个综合性、多功能的隔离检疫区。建设地点崖州区，至2025年，计划投资1000万元。</w:t>
            </w:r>
          </w:p>
        </w:tc>
      </w:tr>
    </w:tbl>
    <w:p w14:paraId="15F6E07A">
      <w:pPr>
        <w:rPr>
          <w:rFonts w:hint="eastAsia"/>
        </w:rPr>
      </w:pPr>
    </w:p>
    <w:p w14:paraId="3B0E5CFF">
      <w:pPr>
        <w:pStyle w:val="3"/>
        <w:spacing w:before="0" w:after="0" w:line="240" w:lineRule="auto"/>
        <w:rPr>
          <w:rFonts w:ascii="Times New Roman" w:hAnsi="Times New Roman" w:eastAsia="黑体"/>
        </w:rPr>
      </w:pPr>
      <w:bookmarkStart w:id="90" w:name="_Toc82546086"/>
      <w:r>
        <w:rPr>
          <w:rFonts w:hint="eastAsia" w:ascii="Times New Roman" w:hAnsi="Times New Roman" w:eastAsia="黑体"/>
        </w:rPr>
        <w:t>7</w:t>
      </w:r>
      <w:r>
        <w:rPr>
          <w:rFonts w:ascii="Times New Roman" w:hAnsi="Times New Roman" w:eastAsia="黑体"/>
        </w:rPr>
        <w:t>.</w:t>
      </w:r>
      <w:r>
        <w:rPr>
          <w:rFonts w:hint="eastAsia" w:ascii="Times New Roman" w:hAnsi="Times New Roman" w:eastAsia="黑体"/>
        </w:rPr>
        <w:t>5</w:t>
      </w:r>
      <w:r>
        <w:rPr>
          <w:rFonts w:ascii="Times New Roman" w:hAnsi="Times New Roman" w:eastAsia="黑体"/>
        </w:rPr>
        <w:t xml:space="preserve"> </w:t>
      </w:r>
      <w:r>
        <w:rPr>
          <w:rFonts w:hint="eastAsia" w:ascii="Times New Roman" w:hAnsi="Times New Roman" w:eastAsia="黑体"/>
        </w:rPr>
        <w:t>投资估算与资金来源</w:t>
      </w:r>
      <w:bookmarkEnd w:id="90"/>
    </w:p>
    <w:p w14:paraId="311270B7">
      <w:pPr>
        <w:spacing w:line="360" w:lineRule="auto"/>
        <w:ind w:firstLine="640" w:firstLineChars="200"/>
        <w:jc w:val="left"/>
        <w:rPr>
          <w:rStyle w:val="44"/>
          <w:rFonts w:hAnsi="Times New Roman" w:eastAsia="仿宋_GB2312" w:cs="Times New Roman"/>
          <w:sz w:val="32"/>
          <w:szCs w:val="32"/>
        </w:rPr>
        <w:sectPr>
          <w:pgSz w:w="11906" w:h="16838"/>
          <w:pgMar w:top="1440" w:right="1800" w:bottom="1440" w:left="1800" w:header="851" w:footer="992" w:gutter="0"/>
          <w:cols w:space="720" w:num="1"/>
          <w:docGrid w:type="lines" w:linePitch="312" w:charSpace="0"/>
        </w:sectPr>
      </w:pPr>
      <w:r>
        <w:rPr>
          <w:rStyle w:val="44"/>
          <w:rFonts w:hint="eastAsia" w:hAnsi="Times New Roman" w:eastAsia="仿宋_GB2312" w:cs="Times New Roman"/>
          <w:sz w:val="32"/>
          <w:szCs w:val="32"/>
        </w:rPr>
        <w:t>林木种苗与花卉产业共有5个重点工程12个规划储备项目，计划总投资333000万元，</w:t>
      </w:r>
      <w:r>
        <w:rPr>
          <w:rFonts w:hint="eastAsia" w:eastAsia="仿宋_GB2312"/>
          <w:sz w:val="32"/>
          <w:szCs w:val="32"/>
        </w:rPr>
        <w:t>其中2021~</w:t>
      </w:r>
      <w:r>
        <w:rPr>
          <w:rFonts w:eastAsia="仿宋_GB2312"/>
          <w:sz w:val="32"/>
          <w:szCs w:val="32"/>
        </w:rPr>
        <w:t>2025年累计投入资金</w:t>
      </w:r>
      <w:r>
        <w:rPr>
          <w:rFonts w:hint="eastAsia" w:eastAsia="仿宋_GB2312"/>
          <w:sz w:val="32"/>
          <w:szCs w:val="32"/>
        </w:rPr>
        <w:t>129000</w:t>
      </w:r>
      <w:r>
        <w:rPr>
          <w:rFonts w:eastAsia="仿宋_GB2312"/>
          <w:sz w:val="32"/>
          <w:szCs w:val="32"/>
        </w:rPr>
        <w:t>万元，</w:t>
      </w:r>
      <w:r>
        <w:rPr>
          <w:rFonts w:hint="eastAsia" w:eastAsia="仿宋_GB2312"/>
          <w:sz w:val="32"/>
          <w:szCs w:val="32"/>
        </w:rPr>
        <w:t>2026~</w:t>
      </w:r>
      <w:r>
        <w:rPr>
          <w:rFonts w:eastAsia="仿宋_GB2312"/>
          <w:sz w:val="32"/>
          <w:szCs w:val="32"/>
        </w:rPr>
        <w:t>2035年累计投入资金</w:t>
      </w:r>
      <w:r>
        <w:rPr>
          <w:rFonts w:hint="eastAsia" w:eastAsia="仿宋_GB2312"/>
          <w:sz w:val="32"/>
          <w:szCs w:val="32"/>
        </w:rPr>
        <w:t>204000</w:t>
      </w:r>
      <w:r>
        <w:rPr>
          <w:rFonts w:eastAsia="仿宋_GB2312"/>
          <w:sz w:val="32"/>
          <w:szCs w:val="32"/>
        </w:rPr>
        <w:t>万元</w:t>
      </w:r>
      <w:r>
        <w:rPr>
          <w:rFonts w:hint="eastAsia" w:eastAsia="仿宋_GB2312"/>
          <w:sz w:val="32"/>
          <w:szCs w:val="32"/>
        </w:rPr>
        <w:t>，</w:t>
      </w:r>
      <w:r>
        <w:rPr>
          <w:rStyle w:val="44"/>
          <w:rFonts w:hint="eastAsia" w:hAnsi="Times New Roman" w:eastAsia="仿宋_GB2312" w:cs="Times New Roman"/>
          <w:sz w:val="32"/>
          <w:szCs w:val="32"/>
        </w:rPr>
        <w:t>详见表7-2。</w:t>
      </w:r>
    </w:p>
    <w:p w14:paraId="2B7ADA4C">
      <w:pPr>
        <w:widowControl/>
        <w:spacing w:line="360" w:lineRule="auto"/>
        <w:jc w:val="center"/>
        <w:rPr>
          <w:rFonts w:hint="eastAsia"/>
          <w:b/>
          <w:kern w:val="0"/>
          <w:sz w:val="28"/>
          <w:szCs w:val="32"/>
        </w:rPr>
      </w:pPr>
      <w:r>
        <w:rPr>
          <w:b/>
          <w:kern w:val="0"/>
          <w:sz w:val="28"/>
          <w:szCs w:val="32"/>
        </w:rPr>
        <w:t>表</w:t>
      </w:r>
      <w:r>
        <w:rPr>
          <w:rFonts w:hint="eastAsia"/>
          <w:b/>
          <w:kern w:val="0"/>
          <w:sz w:val="28"/>
          <w:szCs w:val="32"/>
        </w:rPr>
        <w:t>7</w:t>
      </w:r>
      <w:r>
        <w:rPr>
          <w:b/>
          <w:kern w:val="0"/>
          <w:sz w:val="28"/>
          <w:szCs w:val="32"/>
        </w:rPr>
        <w:t>-2 林木种苗与花卉产业规划</w:t>
      </w:r>
      <w:r>
        <w:rPr>
          <w:rFonts w:hint="eastAsia"/>
          <w:b/>
          <w:kern w:val="0"/>
          <w:sz w:val="28"/>
          <w:szCs w:val="32"/>
        </w:rPr>
        <w:t>储备</w:t>
      </w:r>
      <w:r>
        <w:rPr>
          <w:b/>
          <w:kern w:val="0"/>
          <w:sz w:val="28"/>
          <w:szCs w:val="32"/>
        </w:rPr>
        <w:t>项目一览表</w:t>
      </w:r>
      <w:bookmarkEnd w:id="73"/>
    </w:p>
    <w:tbl>
      <w:tblPr>
        <w:tblStyle w:val="18"/>
        <w:tblW w:w="0" w:type="auto"/>
        <w:tblInd w:w="93" w:type="dxa"/>
        <w:tblLayout w:type="fixed"/>
        <w:tblCellMar>
          <w:top w:w="0" w:type="dxa"/>
          <w:left w:w="108" w:type="dxa"/>
          <w:bottom w:w="0" w:type="dxa"/>
          <w:right w:w="108" w:type="dxa"/>
        </w:tblCellMar>
      </w:tblPr>
      <w:tblGrid>
        <w:gridCol w:w="866"/>
        <w:gridCol w:w="1546"/>
        <w:gridCol w:w="3557"/>
        <w:gridCol w:w="1330"/>
        <w:gridCol w:w="1532"/>
        <w:gridCol w:w="1317"/>
        <w:gridCol w:w="1276"/>
        <w:gridCol w:w="2551"/>
      </w:tblGrid>
      <w:tr w14:paraId="1D5290FD">
        <w:tblPrEx>
          <w:tblCellMar>
            <w:top w:w="0" w:type="dxa"/>
            <w:left w:w="108" w:type="dxa"/>
            <w:bottom w:w="0" w:type="dxa"/>
            <w:right w:w="108" w:type="dxa"/>
          </w:tblCellMar>
        </w:tblPrEx>
        <w:trPr>
          <w:trHeight w:val="570" w:hRule="atLeast"/>
          <w:tblHeader/>
        </w:trPr>
        <w:tc>
          <w:tcPr>
            <w:tcW w:w="866" w:type="dxa"/>
            <w:tcBorders>
              <w:top w:val="single" w:color="auto" w:sz="4" w:space="0"/>
              <w:left w:val="single" w:color="auto" w:sz="4" w:space="0"/>
              <w:bottom w:val="single" w:color="auto" w:sz="4" w:space="0"/>
              <w:right w:val="single" w:color="auto" w:sz="4" w:space="0"/>
            </w:tcBorders>
            <w:vAlign w:val="center"/>
          </w:tcPr>
          <w:p w14:paraId="231569D5">
            <w:pPr>
              <w:widowControl/>
              <w:jc w:val="center"/>
              <w:rPr>
                <w:rFonts w:ascii="宋体" w:hAnsi="宋体" w:cs="宋体"/>
                <w:b/>
                <w:bCs/>
                <w:kern w:val="0"/>
                <w:sz w:val="24"/>
              </w:rPr>
            </w:pPr>
            <w:r>
              <w:rPr>
                <w:rFonts w:hint="eastAsia" w:ascii="宋体" w:hAnsi="宋体" w:cs="宋体"/>
                <w:b/>
                <w:bCs/>
                <w:kern w:val="0"/>
                <w:sz w:val="24"/>
              </w:rPr>
              <w:t>序号</w:t>
            </w:r>
          </w:p>
        </w:tc>
        <w:tc>
          <w:tcPr>
            <w:tcW w:w="1546" w:type="dxa"/>
            <w:tcBorders>
              <w:top w:val="single" w:color="auto" w:sz="4" w:space="0"/>
              <w:left w:val="nil"/>
              <w:bottom w:val="single" w:color="auto" w:sz="4" w:space="0"/>
              <w:right w:val="single" w:color="auto" w:sz="4" w:space="0"/>
            </w:tcBorders>
            <w:vAlign w:val="center"/>
          </w:tcPr>
          <w:p w14:paraId="0789CA27">
            <w:pPr>
              <w:widowControl/>
              <w:jc w:val="center"/>
              <w:rPr>
                <w:rFonts w:ascii="宋体" w:hAnsi="宋体" w:cs="宋体"/>
                <w:b/>
                <w:bCs/>
                <w:kern w:val="0"/>
                <w:sz w:val="24"/>
              </w:rPr>
            </w:pPr>
            <w:r>
              <w:rPr>
                <w:rFonts w:hint="eastAsia" w:ascii="宋体" w:hAnsi="宋体" w:cs="宋体"/>
                <w:b/>
                <w:bCs/>
                <w:kern w:val="0"/>
                <w:sz w:val="24"/>
              </w:rPr>
              <w:t>规划期</w:t>
            </w:r>
          </w:p>
        </w:tc>
        <w:tc>
          <w:tcPr>
            <w:tcW w:w="3557" w:type="dxa"/>
            <w:tcBorders>
              <w:top w:val="single" w:color="auto" w:sz="4" w:space="0"/>
              <w:left w:val="nil"/>
              <w:bottom w:val="single" w:color="auto" w:sz="4" w:space="0"/>
              <w:right w:val="single" w:color="auto" w:sz="4" w:space="0"/>
            </w:tcBorders>
            <w:vAlign w:val="center"/>
          </w:tcPr>
          <w:p w14:paraId="4C1CEF5E">
            <w:pPr>
              <w:widowControl/>
              <w:jc w:val="center"/>
              <w:rPr>
                <w:rFonts w:ascii="宋体" w:hAnsi="宋体" w:cs="宋体"/>
                <w:b/>
                <w:bCs/>
                <w:kern w:val="0"/>
                <w:sz w:val="24"/>
              </w:rPr>
            </w:pPr>
            <w:r>
              <w:rPr>
                <w:rFonts w:hint="eastAsia" w:ascii="宋体" w:hAnsi="宋体" w:cs="宋体"/>
                <w:b/>
                <w:bCs/>
                <w:kern w:val="0"/>
                <w:sz w:val="24"/>
              </w:rPr>
              <w:t>项目名称</w:t>
            </w:r>
          </w:p>
        </w:tc>
        <w:tc>
          <w:tcPr>
            <w:tcW w:w="1330" w:type="dxa"/>
            <w:tcBorders>
              <w:top w:val="single" w:color="auto" w:sz="4" w:space="0"/>
              <w:left w:val="nil"/>
              <w:bottom w:val="single" w:color="auto" w:sz="4" w:space="0"/>
              <w:right w:val="single" w:color="auto" w:sz="4" w:space="0"/>
            </w:tcBorders>
            <w:vAlign w:val="center"/>
          </w:tcPr>
          <w:p w14:paraId="0D17C1A4">
            <w:pPr>
              <w:widowControl/>
              <w:jc w:val="center"/>
              <w:rPr>
                <w:rFonts w:ascii="宋体" w:hAnsi="宋体" w:cs="宋体"/>
                <w:b/>
                <w:bCs/>
                <w:kern w:val="0"/>
                <w:sz w:val="24"/>
              </w:rPr>
            </w:pPr>
            <w:r>
              <w:rPr>
                <w:rFonts w:hint="eastAsia" w:ascii="宋体" w:hAnsi="宋体" w:cs="宋体"/>
                <w:b/>
                <w:bCs/>
                <w:kern w:val="0"/>
                <w:sz w:val="24"/>
              </w:rPr>
              <w:t>建设规模</w:t>
            </w:r>
          </w:p>
        </w:tc>
        <w:tc>
          <w:tcPr>
            <w:tcW w:w="1532" w:type="dxa"/>
            <w:tcBorders>
              <w:top w:val="single" w:color="auto" w:sz="4" w:space="0"/>
              <w:left w:val="nil"/>
              <w:bottom w:val="single" w:color="auto" w:sz="4" w:space="0"/>
              <w:right w:val="single" w:color="auto" w:sz="4" w:space="0"/>
            </w:tcBorders>
            <w:vAlign w:val="center"/>
          </w:tcPr>
          <w:p w14:paraId="636C77E8">
            <w:pPr>
              <w:widowControl/>
              <w:jc w:val="center"/>
              <w:rPr>
                <w:rFonts w:ascii="宋体" w:hAnsi="宋体" w:cs="宋体"/>
                <w:b/>
                <w:bCs/>
                <w:kern w:val="0"/>
                <w:sz w:val="24"/>
              </w:rPr>
            </w:pPr>
            <w:r>
              <w:rPr>
                <w:rFonts w:hint="eastAsia" w:ascii="宋体" w:hAnsi="宋体" w:cs="宋体"/>
                <w:b/>
                <w:bCs/>
                <w:kern w:val="0"/>
                <w:sz w:val="24"/>
              </w:rPr>
              <w:t>建设性质</w:t>
            </w:r>
          </w:p>
        </w:tc>
        <w:tc>
          <w:tcPr>
            <w:tcW w:w="1317" w:type="dxa"/>
            <w:tcBorders>
              <w:top w:val="single" w:color="auto" w:sz="4" w:space="0"/>
              <w:left w:val="nil"/>
              <w:bottom w:val="single" w:color="auto" w:sz="4" w:space="0"/>
              <w:right w:val="single" w:color="auto" w:sz="4" w:space="0"/>
            </w:tcBorders>
            <w:vAlign w:val="center"/>
          </w:tcPr>
          <w:p w14:paraId="5340FC7C">
            <w:pPr>
              <w:widowControl/>
              <w:jc w:val="center"/>
              <w:rPr>
                <w:rFonts w:ascii="宋体" w:hAnsi="宋体" w:cs="宋体"/>
                <w:b/>
                <w:bCs/>
                <w:kern w:val="0"/>
                <w:sz w:val="24"/>
              </w:rPr>
            </w:pPr>
            <w:r>
              <w:rPr>
                <w:rFonts w:hint="eastAsia" w:ascii="宋体" w:hAnsi="宋体" w:cs="宋体"/>
                <w:b/>
                <w:bCs/>
                <w:kern w:val="0"/>
                <w:sz w:val="24"/>
              </w:rPr>
              <w:t>投资估算（万元）</w:t>
            </w:r>
          </w:p>
        </w:tc>
        <w:tc>
          <w:tcPr>
            <w:tcW w:w="1276" w:type="dxa"/>
            <w:tcBorders>
              <w:top w:val="single" w:color="auto" w:sz="4" w:space="0"/>
              <w:left w:val="nil"/>
              <w:bottom w:val="single" w:color="auto" w:sz="4" w:space="0"/>
              <w:right w:val="single" w:color="auto" w:sz="4" w:space="0"/>
            </w:tcBorders>
            <w:vAlign w:val="center"/>
          </w:tcPr>
          <w:p w14:paraId="7F230EE3">
            <w:pPr>
              <w:widowControl/>
              <w:jc w:val="center"/>
              <w:rPr>
                <w:rFonts w:ascii="宋体" w:hAnsi="宋体" w:cs="宋体"/>
                <w:b/>
                <w:bCs/>
                <w:kern w:val="0"/>
                <w:sz w:val="24"/>
              </w:rPr>
            </w:pPr>
            <w:r>
              <w:rPr>
                <w:rFonts w:hint="eastAsia" w:ascii="宋体" w:hAnsi="宋体" w:cs="宋体"/>
                <w:b/>
                <w:bCs/>
                <w:kern w:val="0"/>
                <w:sz w:val="24"/>
              </w:rPr>
              <w:t>资金来源</w:t>
            </w:r>
          </w:p>
        </w:tc>
        <w:tc>
          <w:tcPr>
            <w:tcW w:w="2551" w:type="dxa"/>
            <w:tcBorders>
              <w:top w:val="single" w:color="auto" w:sz="4" w:space="0"/>
              <w:left w:val="nil"/>
              <w:bottom w:val="single" w:color="auto" w:sz="4" w:space="0"/>
              <w:right w:val="single" w:color="auto" w:sz="4" w:space="0"/>
            </w:tcBorders>
            <w:vAlign w:val="center"/>
          </w:tcPr>
          <w:p w14:paraId="7EFF259A">
            <w:pPr>
              <w:widowControl/>
              <w:jc w:val="center"/>
              <w:rPr>
                <w:rFonts w:ascii="宋体" w:hAnsi="宋体" w:cs="宋体"/>
                <w:b/>
                <w:bCs/>
                <w:kern w:val="0"/>
                <w:sz w:val="24"/>
              </w:rPr>
            </w:pPr>
            <w:r>
              <w:rPr>
                <w:rFonts w:hint="eastAsia" w:ascii="宋体" w:hAnsi="宋体" w:cs="宋体"/>
                <w:b/>
                <w:bCs/>
                <w:kern w:val="0"/>
                <w:sz w:val="24"/>
              </w:rPr>
              <w:t>建设地点</w:t>
            </w:r>
          </w:p>
        </w:tc>
      </w:tr>
      <w:tr w14:paraId="7A4BADF0">
        <w:tblPrEx>
          <w:tblCellMar>
            <w:top w:w="0" w:type="dxa"/>
            <w:left w:w="108" w:type="dxa"/>
            <w:bottom w:w="0" w:type="dxa"/>
            <w:right w:w="108" w:type="dxa"/>
          </w:tblCellMar>
        </w:tblPrEx>
        <w:trPr>
          <w:trHeight w:val="300" w:hRule="atLeast"/>
        </w:trPr>
        <w:tc>
          <w:tcPr>
            <w:tcW w:w="866" w:type="dxa"/>
            <w:tcBorders>
              <w:top w:val="nil"/>
              <w:left w:val="single" w:color="auto" w:sz="4" w:space="0"/>
              <w:bottom w:val="single" w:color="auto" w:sz="4" w:space="0"/>
              <w:right w:val="single" w:color="auto" w:sz="4" w:space="0"/>
            </w:tcBorders>
            <w:vAlign w:val="center"/>
          </w:tcPr>
          <w:p w14:paraId="0391001F">
            <w:pPr>
              <w:widowControl/>
              <w:jc w:val="center"/>
              <w:rPr>
                <w:rFonts w:ascii="宋体" w:hAnsi="宋体" w:cs="宋体"/>
                <w:b/>
                <w:bCs/>
                <w:kern w:val="0"/>
                <w:sz w:val="24"/>
              </w:rPr>
            </w:pPr>
            <w:r>
              <w:rPr>
                <w:rFonts w:hint="eastAsia" w:ascii="宋体" w:hAnsi="宋体" w:cs="宋体"/>
                <w:b/>
                <w:bCs/>
                <w:kern w:val="0"/>
                <w:sz w:val="24"/>
              </w:rPr>
              <w:t>　</w:t>
            </w:r>
          </w:p>
        </w:tc>
        <w:tc>
          <w:tcPr>
            <w:tcW w:w="1546" w:type="dxa"/>
            <w:tcBorders>
              <w:top w:val="nil"/>
              <w:left w:val="nil"/>
              <w:bottom w:val="single" w:color="auto" w:sz="4" w:space="0"/>
              <w:right w:val="single" w:color="auto" w:sz="4" w:space="0"/>
            </w:tcBorders>
            <w:vAlign w:val="center"/>
          </w:tcPr>
          <w:p w14:paraId="6CBE604E">
            <w:pPr>
              <w:widowControl/>
              <w:jc w:val="center"/>
              <w:rPr>
                <w:rFonts w:ascii="宋体" w:hAnsi="宋体" w:cs="宋体"/>
                <w:b/>
                <w:bCs/>
                <w:kern w:val="0"/>
                <w:sz w:val="24"/>
              </w:rPr>
            </w:pPr>
            <w:r>
              <w:rPr>
                <w:rFonts w:hint="eastAsia" w:ascii="宋体" w:hAnsi="宋体" w:cs="宋体"/>
                <w:b/>
                <w:bCs/>
                <w:kern w:val="0"/>
                <w:sz w:val="24"/>
              </w:rPr>
              <w:t>　</w:t>
            </w:r>
          </w:p>
        </w:tc>
        <w:tc>
          <w:tcPr>
            <w:tcW w:w="3557" w:type="dxa"/>
            <w:tcBorders>
              <w:top w:val="nil"/>
              <w:left w:val="nil"/>
              <w:bottom w:val="single" w:color="auto" w:sz="4" w:space="0"/>
              <w:right w:val="single" w:color="auto" w:sz="4" w:space="0"/>
            </w:tcBorders>
            <w:vAlign w:val="center"/>
          </w:tcPr>
          <w:p w14:paraId="5E816F45">
            <w:pPr>
              <w:widowControl/>
              <w:jc w:val="center"/>
              <w:rPr>
                <w:rFonts w:ascii="宋体" w:hAnsi="宋体" w:cs="宋体"/>
                <w:b/>
                <w:bCs/>
                <w:kern w:val="0"/>
                <w:sz w:val="24"/>
              </w:rPr>
            </w:pPr>
            <w:r>
              <w:rPr>
                <w:rFonts w:hint="eastAsia" w:ascii="宋体" w:hAnsi="宋体" w:cs="宋体"/>
                <w:b/>
                <w:bCs/>
                <w:kern w:val="0"/>
                <w:sz w:val="24"/>
              </w:rPr>
              <w:t>总投资</w:t>
            </w:r>
          </w:p>
        </w:tc>
        <w:tc>
          <w:tcPr>
            <w:tcW w:w="1330" w:type="dxa"/>
            <w:tcBorders>
              <w:top w:val="nil"/>
              <w:left w:val="nil"/>
              <w:bottom w:val="single" w:color="auto" w:sz="4" w:space="0"/>
              <w:right w:val="single" w:color="auto" w:sz="4" w:space="0"/>
            </w:tcBorders>
            <w:vAlign w:val="center"/>
          </w:tcPr>
          <w:p w14:paraId="2696894D">
            <w:pPr>
              <w:widowControl/>
              <w:jc w:val="center"/>
              <w:rPr>
                <w:rFonts w:ascii="宋体" w:hAnsi="宋体" w:cs="宋体"/>
                <w:b/>
                <w:bCs/>
                <w:kern w:val="0"/>
                <w:sz w:val="24"/>
              </w:rPr>
            </w:pPr>
            <w:r>
              <w:rPr>
                <w:rFonts w:hint="eastAsia" w:ascii="宋体" w:hAnsi="宋体" w:cs="宋体"/>
                <w:b/>
                <w:bCs/>
                <w:kern w:val="0"/>
                <w:sz w:val="24"/>
              </w:rPr>
              <w:t>　</w:t>
            </w:r>
          </w:p>
        </w:tc>
        <w:tc>
          <w:tcPr>
            <w:tcW w:w="1532" w:type="dxa"/>
            <w:tcBorders>
              <w:top w:val="nil"/>
              <w:left w:val="nil"/>
              <w:bottom w:val="single" w:color="auto" w:sz="4" w:space="0"/>
              <w:right w:val="single" w:color="auto" w:sz="4" w:space="0"/>
            </w:tcBorders>
            <w:vAlign w:val="center"/>
          </w:tcPr>
          <w:p w14:paraId="781E23A3">
            <w:pPr>
              <w:widowControl/>
              <w:jc w:val="center"/>
              <w:rPr>
                <w:rFonts w:ascii="宋体" w:hAnsi="宋体" w:cs="宋体"/>
                <w:b/>
                <w:bCs/>
                <w:kern w:val="0"/>
                <w:sz w:val="24"/>
              </w:rPr>
            </w:pPr>
            <w:r>
              <w:rPr>
                <w:rFonts w:hint="eastAsia" w:ascii="宋体" w:hAnsi="宋体" w:cs="宋体"/>
                <w:b/>
                <w:bCs/>
                <w:kern w:val="0"/>
                <w:sz w:val="24"/>
              </w:rPr>
              <w:t>　</w:t>
            </w:r>
          </w:p>
        </w:tc>
        <w:tc>
          <w:tcPr>
            <w:tcW w:w="1317" w:type="dxa"/>
            <w:tcBorders>
              <w:top w:val="nil"/>
              <w:left w:val="nil"/>
              <w:bottom w:val="single" w:color="auto" w:sz="4" w:space="0"/>
              <w:right w:val="single" w:color="auto" w:sz="4" w:space="0"/>
            </w:tcBorders>
            <w:vAlign w:val="center"/>
          </w:tcPr>
          <w:p w14:paraId="374A2E29">
            <w:pPr>
              <w:widowControl/>
              <w:jc w:val="center"/>
              <w:rPr>
                <w:b/>
                <w:bCs/>
                <w:kern w:val="0"/>
                <w:sz w:val="24"/>
              </w:rPr>
            </w:pPr>
            <w:r>
              <w:rPr>
                <w:rFonts w:hint="eastAsia"/>
                <w:b/>
                <w:bCs/>
                <w:kern w:val="0"/>
                <w:sz w:val="24"/>
              </w:rPr>
              <w:t>263000</w:t>
            </w:r>
          </w:p>
        </w:tc>
        <w:tc>
          <w:tcPr>
            <w:tcW w:w="1276" w:type="dxa"/>
            <w:tcBorders>
              <w:top w:val="nil"/>
              <w:left w:val="nil"/>
              <w:bottom w:val="single" w:color="auto" w:sz="4" w:space="0"/>
              <w:right w:val="single" w:color="auto" w:sz="4" w:space="0"/>
            </w:tcBorders>
            <w:vAlign w:val="center"/>
          </w:tcPr>
          <w:p w14:paraId="33D99DCE">
            <w:pPr>
              <w:widowControl/>
              <w:jc w:val="center"/>
              <w:rPr>
                <w:b/>
                <w:bCs/>
                <w:kern w:val="0"/>
                <w:sz w:val="24"/>
              </w:rPr>
            </w:pPr>
            <w:r>
              <w:rPr>
                <w:b/>
                <w:bCs/>
                <w:kern w:val="0"/>
                <w:sz w:val="24"/>
              </w:rPr>
              <w:t>　</w:t>
            </w:r>
          </w:p>
        </w:tc>
        <w:tc>
          <w:tcPr>
            <w:tcW w:w="2551" w:type="dxa"/>
            <w:tcBorders>
              <w:top w:val="nil"/>
              <w:left w:val="nil"/>
              <w:bottom w:val="single" w:color="auto" w:sz="4" w:space="0"/>
              <w:right w:val="single" w:color="auto" w:sz="4" w:space="0"/>
            </w:tcBorders>
            <w:vAlign w:val="center"/>
          </w:tcPr>
          <w:p w14:paraId="3E87C98B">
            <w:pPr>
              <w:widowControl/>
              <w:jc w:val="center"/>
              <w:rPr>
                <w:b/>
                <w:bCs/>
                <w:kern w:val="0"/>
                <w:sz w:val="24"/>
              </w:rPr>
            </w:pPr>
            <w:r>
              <w:rPr>
                <w:b/>
                <w:bCs/>
                <w:kern w:val="0"/>
                <w:sz w:val="24"/>
              </w:rPr>
              <w:t>　</w:t>
            </w:r>
          </w:p>
        </w:tc>
      </w:tr>
      <w:tr w14:paraId="330FCD49">
        <w:tblPrEx>
          <w:tblCellMar>
            <w:top w:w="0" w:type="dxa"/>
            <w:left w:w="108" w:type="dxa"/>
            <w:bottom w:w="0" w:type="dxa"/>
            <w:right w:w="108" w:type="dxa"/>
          </w:tblCellMar>
        </w:tblPrEx>
        <w:trPr>
          <w:trHeight w:val="285" w:hRule="atLeast"/>
        </w:trPr>
        <w:tc>
          <w:tcPr>
            <w:tcW w:w="866" w:type="dxa"/>
            <w:vMerge w:val="restart"/>
            <w:tcBorders>
              <w:top w:val="nil"/>
              <w:left w:val="single" w:color="auto" w:sz="4" w:space="0"/>
              <w:bottom w:val="single" w:color="auto" w:sz="4" w:space="0"/>
              <w:right w:val="single" w:color="auto" w:sz="4" w:space="0"/>
            </w:tcBorders>
            <w:vAlign w:val="center"/>
          </w:tcPr>
          <w:p w14:paraId="445CC53A">
            <w:pPr>
              <w:widowControl/>
              <w:jc w:val="center"/>
              <w:rPr>
                <w:kern w:val="0"/>
                <w:sz w:val="24"/>
              </w:rPr>
            </w:pPr>
            <w:r>
              <w:rPr>
                <w:kern w:val="0"/>
                <w:sz w:val="24"/>
              </w:rPr>
              <w:t>1</w:t>
            </w:r>
          </w:p>
        </w:tc>
        <w:tc>
          <w:tcPr>
            <w:tcW w:w="1546" w:type="dxa"/>
            <w:vMerge w:val="restart"/>
            <w:tcBorders>
              <w:top w:val="nil"/>
              <w:left w:val="single" w:color="auto" w:sz="4" w:space="0"/>
              <w:bottom w:val="single" w:color="auto" w:sz="4" w:space="0"/>
              <w:right w:val="single" w:color="auto" w:sz="4" w:space="0"/>
            </w:tcBorders>
            <w:vAlign w:val="center"/>
          </w:tcPr>
          <w:p w14:paraId="3607116C">
            <w:pPr>
              <w:widowControl/>
              <w:jc w:val="center"/>
              <w:rPr>
                <w:rFonts w:ascii="宋体" w:hAnsi="宋体" w:cs="宋体"/>
                <w:kern w:val="0"/>
                <w:sz w:val="24"/>
              </w:rPr>
            </w:pPr>
            <w:r>
              <w:rPr>
                <w:rFonts w:hint="eastAsia" w:ascii="宋体" w:hAnsi="宋体" w:cs="宋体"/>
                <w:kern w:val="0"/>
                <w:sz w:val="24"/>
              </w:rPr>
              <w:t>近期（</w:t>
            </w:r>
            <w:r>
              <w:rPr>
                <w:kern w:val="0"/>
                <w:sz w:val="24"/>
              </w:rPr>
              <w:t>2021~2025</w:t>
            </w:r>
            <w:r>
              <w:rPr>
                <w:rFonts w:hint="eastAsia" w:ascii="宋体" w:hAnsi="宋体" w:cs="宋体"/>
                <w:kern w:val="0"/>
                <w:sz w:val="24"/>
              </w:rPr>
              <w:t>年）</w:t>
            </w:r>
          </w:p>
        </w:tc>
        <w:tc>
          <w:tcPr>
            <w:tcW w:w="3557" w:type="dxa"/>
            <w:tcBorders>
              <w:top w:val="nil"/>
              <w:left w:val="nil"/>
              <w:bottom w:val="single" w:color="auto" w:sz="4" w:space="0"/>
              <w:right w:val="single" w:color="auto" w:sz="4" w:space="0"/>
            </w:tcBorders>
            <w:vAlign w:val="center"/>
          </w:tcPr>
          <w:p w14:paraId="48341D6C">
            <w:pPr>
              <w:widowControl/>
              <w:jc w:val="center"/>
              <w:rPr>
                <w:rFonts w:ascii="宋体" w:hAnsi="宋体" w:cs="宋体"/>
                <w:kern w:val="0"/>
                <w:sz w:val="24"/>
              </w:rPr>
            </w:pPr>
            <w:r>
              <w:rPr>
                <w:rFonts w:hint="eastAsia" w:ascii="宋体" w:hAnsi="宋体" w:cs="宋体"/>
                <w:kern w:val="0"/>
                <w:sz w:val="24"/>
              </w:rPr>
              <w:t>林木种苗繁育基地</w:t>
            </w:r>
          </w:p>
        </w:tc>
        <w:tc>
          <w:tcPr>
            <w:tcW w:w="1330" w:type="dxa"/>
            <w:tcBorders>
              <w:top w:val="nil"/>
              <w:left w:val="nil"/>
              <w:bottom w:val="single" w:color="auto" w:sz="4" w:space="0"/>
              <w:right w:val="single" w:color="auto" w:sz="4" w:space="0"/>
            </w:tcBorders>
            <w:vAlign w:val="center"/>
          </w:tcPr>
          <w:p w14:paraId="12599320">
            <w:pPr>
              <w:widowControl/>
              <w:jc w:val="center"/>
              <w:rPr>
                <w:kern w:val="0"/>
                <w:sz w:val="24"/>
              </w:rPr>
            </w:pPr>
            <w:r>
              <w:rPr>
                <w:kern w:val="0"/>
                <w:sz w:val="24"/>
              </w:rPr>
              <w:t>67hm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116DF2C4">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42070F43">
            <w:pPr>
              <w:widowControl/>
              <w:jc w:val="center"/>
              <w:rPr>
                <w:kern w:val="0"/>
                <w:sz w:val="24"/>
              </w:rPr>
            </w:pPr>
            <w:r>
              <w:rPr>
                <w:kern w:val="0"/>
                <w:sz w:val="24"/>
              </w:rPr>
              <w:t>3000</w:t>
            </w:r>
          </w:p>
        </w:tc>
        <w:tc>
          <w:tcPr>
            <w:tcW w:w="1276" w:type="dxa"/>
            <w:tcBorders>
              <w:top w:val="nil"/>
              <w:left w:val="nil"/>
              <w:bottom w:val="single" w:color="auto" w:sz="4" w:space="0"/>
              <w:right w:val="single" w:color="auto" w:sz="4" w:space="0"/>
            </w:tcBorders>
            <w:vAlign w:val="center"/>
          </w:tcPr>
          <w:p w14:paraId="23E150D0">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restart"/>
            <w:tcBorders>
              <w:top w:val="nil"/>
              <w:left w:val="single" w:color="auto" w:sz="4" w:space="0"/>
              <w:bottom w:val="single" w:color="auto" w:sz="4" w:space="0"/>
              <w:right w:val="single" w:color="auto" w:sz="4" w:space="0"/>
            </w:tcBorders>
            <w:vAlign w:val="center"/>
          </w:tcPr>
          <w:p w14:paraId="15E5FC61">
            <w:pPr>
              <w:widowControl/>
              <w:jc w:val="center"/>
              <w:rPr>
                <w:rFonts w:ascii="宋体" w:hAnsi="宋体" w:cs="宋体"/>
                <w:kern w:val="0"/>
                <w:sz w:val="24"/>
              </w:rPr>
            </w:pPr>
            <w:r>
              <w:rPr>
                <w:rFonts w:hint="eastAsia" w:ascii="宋体" w:hAnsi="宋体" w:cs="宋体"/>
                <w:kern w:val="0"/>
                <w:sz w:val="24"/>
              </w:rPr>
              <w:t>育才生态区</w:t>
            </w:r>
          </w:p>
        </w:tc>
      </w:tr>
      <w:tr w14:paraId="3C2EE512">
        <w:tblPrEx>
          <w:tblCellMar>
            <w:top w:w="0" w:type="dxa"/>
            <w:left w:w="108" w:type="dxa"/>
            <w:bottom w:w="0" w:type="dxa"/>
            <w:right w:w="108" w:type="dxa"/>
          </w:tblCellMar>
        </w:tblPrEx>
        <w:trPr>
          <w:trHeight w:val="300" w:hRule="atLeast"/>
        </w:trPr>
        <w:tc>
          <w:tcPr>
            <w:tcW w:w="866" w:type="dxa"/>
            <w:vMerge w:val="continue"/>
            <w:tcBorders>
              <w:top w:val="nil"/>
              <w:left w:val="single" w:color="auto" w:sz="4" w:space="0"/>
              <w:bottom w:val="single" w:color="auto" w:sz="4" w:space="0"/>
              <w:right w:val="single" w:color="auto" w:sz="4" w:space="0"/>
            </w:tcBorders>
            <w:vAlign w:val="center"/>
          </w:tcPr>
          <w:p w14:paraId="00433E45">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2EB87AE4">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764F3B8B">
            <w:pPr>
              <w:widowControl/>
              <w:jc w:val="center"/>
              <w:rPr>
                <w:rFonts w:ascii="宋体" w:hAnsi="宋体" w:cs="宋体"/>
                <w:kern w:val="0"/>
                <w:sz w:val="24"/>
              </w:rPr>
            </w:pPr>
            <w:r>
              <w:rPr>
                <w:rFonts w:hint="eastAsia" w:ascii="宋体" w:hAnsi="宋体" w:cs="宋体"/>
                <w:kern w:val="0"/>
                <w:sz w:val="24"/>
              </w:rPr>
              <w:t>林木种苗良种基地</w:t>
            </w:r>
          </w:p>
        </w:tc>
        <w:tc>
          <w:tcPr>
            <w:tcW w:w="1330" w:type="dxa"/>
            <w:tcBorders>
              <w:top w:val="nil"/>
              <w:left w:val="nil"/>
              <w:bottom w:val="single" w:color="auto" w:sz="4" w:space="0"/>
              <w:right w:val="single" w:color="auto" w:sz="4" w:space="0"/>
            </w:tcBorders>
            <w:vAlign w:val="center"/>
          </w:tcPr>
          <w:p w14:paraId="58AC2CFE">
            <w:pPr>
              <w:widowControl/>
              <w:jc w:val="center"/>
              <w:rPr>
                <w:kern w:val="0"/>
                <w:sz w:val="24"/>
              </w:rPr>
            </w:pPr>
            <w:r>
              <w:rPr>
                <w:kern w:val="0"/>
                <w:sz w:val="24"/>
              </w:rPr>
              <w:t>20hm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604702E2">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1F46868C">
            <w:pPr>
              <w:widowControl/>
              <w:jc w:val="center"/>
              <w:rPr>
                <w:kern w:val="0"/>
                <w:sz w:val="24"/>
              </w:rPr>
            </w:pPr>
            <w:r>
              <w:rPr>
                <w:kern w:val="0"/>
                <w:sz w:val="24"/>
              </w:rPr>
              <w:t>3000</w:t>
            </w:r>
          </w:p>
        </w:tc>
        <w:tc>
          <w:tcPr>
            <w:tcW w:w="1276" w:type="dxa"/>
            <w:tcBorders>
              <w:top w:val="nil"/>
              <w:left w:val="nil"/>
              <w:bottom w:val="single" w:color="auto" w:sz="4" w:space="0"/>
              <w:right w:val="single" w:color="auto" w:sz="4" w:space="0"/>
            </w:tcBorders>
            <w:vAlign w:val="center"/>
          </w:tcPr>
          <w:p w14:paraId="6FA478A8">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continue"/>
            <w:tcBorders>
              <w:top w:val="nil"/>
              <w:left w:val="single" w:color="auto" w:sz="4" w:space="0"/>
              <w:bottom w:val="single" w:color="auto" w:sz="4" w:space="0"/>
              <w:right w:val="single" w:color="auto" w:sz="4" w:space="0"/>
            </w:tcBorders>
            <w:vAlign w:val="center"/>
          </w:tcPr>
          <w:p w14:paraId="13B5B008">
            <w:pPr>
              <w:widowControl/>
              <w:jc w:val="center"/>
              <w:rPr>
                <w:rFonts w:ascii="宋体" w:hAnsi="宋体" w:cs="宋体"/>
                <w:kern w:val="0"/>
                <w:sz w:val="24"/>
              </w:rPr>
            </w:pPr>
          </w:p>
        </w:tc>
      </w:tr>
      <w:tr w14:paraId="70619A23">
        <w:tblPrEx>
          <w:tblCellMar>
            <w:top w:w="0" w:type="dxa"/>
            <w:left w:w="108" w:type="dxa"/>
            <w:bottom w:w="0" w:type="dxa"/>
            <w:right w:w="108" w:type="dxa"/>
          </w:tblCellMar>
        </w:tblPrEx>
        <w:trPr>
          <w:trHeight w:val="543" w:hRule="atLeast"/>
        </w:trPr>
        <w:tc>
          <w:tcPr>
            <w:tcW w:w="866" w:type="dxa"/>
            <w:vMerge w:val="continue"/>
            <w:tcBorders>
              <w:top w:val="nil"/>
              <w:left w:val="single" w:color="auto" w:sz="4" w:space="0"/>
              <w:bottom w:val="single" w:color="auto" w:sz="4" w:space="0"/>
              <w:right w:val="single" w:color="auto" w:sz="4" w:space="0"/>
            </w:tcBorders>
            <w:vAlign w:val="center"/>
          </w:tcPr>
          <w:p w14:paraId="6E16A5EC">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75E84C63">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6BC76354">
            <w:pPr>
              <w:jc w:val="center"/>
              <w:rPr>
                <w:rFonts w:ascii="宋体" w:hAnsi="宋体" w:cs="宋体"/>
                <w:kern w:val="0"/>
                <w:sz w:val="24"/>
              </w:rPr>
            </w:pPr>
            <w:r>
              <w:rPr>
                <w:rFonts w:hint="eastAsia" w:ascii="宋体" w:hAnsi="宋体" w:cs="宋体"/>
                <w:kern w:val="0"/>
                <w:sz w:val="24"/>
              </w:rPr>
              <w:t>花卉产业园</w:t>
            </w:r>
          </w:p>
        </w:tc>
        <w:tc>
          <w:tcPr>
            <w:tcW w:w="1330" w:type="dxa"/>
            <w:tcBorders>
              <w:top w:val="nil"/>
              <w:left w:val="nil"/>
              <w:bottom w:val="single" w:color="auto" w:sz="4" w:space="0"/>
              <w:right w:val="single" w:color="auto" w:sz="4" w:space="0"/>
            </w:tcBorders>
            <w:vAlign w:val="center"/>
          </w:tcPr>
          <w:p w14:paraId="5B3A86F9">
            <w:pPr>
              <w:widowControl/>
              <w:jc w:val="center"/>
              <w:rPr>
                <w:kern w:val="0"/>
                <w:sz w:val="24"/>
              </w:rPr>
            </w:pPr>
            <w:r>
              <w:rPr>
                <w:rFonts w:hint="eastAsia"/>
                <w:kern w:val="0"/>
                <w:sz w:val="24"/>
              </w:rPr>
              <w:t>267</w:t>
            </w:r>
            <w:r>
              <w:rPr>
                <w:kern w:val="0"/>
                <w:sz w:val="24"/>
              </w:rPr>
              <w:t>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6F58E93A">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40F8500E">
            <w:pPr>
              <w:jc w:val="center"/>
              <w:rPr>
                <w:kern w:val="0"/>
                <w:sz w:val="24"/>
              </w:rPr>
            </w:pPr>
            <w:r>
              <w:rPr>
                <w:rFonts w:hint="eastAsia"/>
                <w:kern w:val="0"/>
                <w:sz w:val="24"/>
              </w:rPr>
              <w:t>44000</w:t>
            </w:r>
          </w:p>
        </w:tc>
        <w:tc>
          <w:tcPr>
            <w:tcW w:w="1276" w:type="dxa"/>
            <w:tcBorders>
              <w:top w:val="nil"/>
              <w:left w:val="nil"/>
              <w:bottom w:val="single" w:color="auto" w:sz="4" w:space="0"/>
              <w:right w:val="single" w:color="auto" w:sz="4" w:space="0"/>
            </w:tcBorders>
            <w:vAlign w:val="center"/>
          </w:tcPr>
          <w:p w14:paraId="1123F7D7">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continue"/>
            <w:tcBorders>
              <w:top w:val="nil"/>
              <w:left w:val="single" w:color="auto" w:sz="4" w:space="0"/>
              <w:bottom w:val="single" w:color="auto" w:sz="4" w:space="0"/>
              <w:right w:val="single" w:color="auto" w:sz="4" w:space="0"/>
            </w:tcBorders>
            <w:vAlign w:val="center"/>
          </w:tcPr>
          <w:p w14:paraId="2BE7A2E9">
            <w:pPr>
              <w:widowControl/>
              <w:jc w:val="center"/>
              <w:rPr>
                <w:rFonts w:ascii="宋体" w:hAnsi="宋体" w:cs="宋体"/>
                <w:kern w:val="0"/>
                <w:sz w:val="24"/>
              </w:rPr>
            </w:pPr>
          </w:p>
        </w:tc>
      </w:tr>
      <w:tr w14:paraId="34C0728B">
        <w:tblPrEx>
          <w:tblCellMar>
            <w:top w:w="0" w:type="dxa"/>
            <w:left w:w="108" w:type="dxa"/>
            <w:bottom w:w="0" w:type="dxa"/>
            <w:right w:w="108" w:type="dxa"/>
          </w:tblCellMar>
        </w:tblPrEx>
        <w:trPr>
          <w:trHeight w:val="285" w:hRule="atLeast"/>
        </w:trPr>
        <w:tc>
          <w:tcPr>
            <w:tcW w:w="866" w:type="dxa"/>
            <w:vMerge w:val="continue"/>
            <w:tcBorders>
              <w:top w:val="nil"/>
              <w:left w:val="single" w:color="auto" w:sz="4" w:space="0"/>
              <w:bottom w:val="single" w:color="auto" w:sz="4" w:space="0"/>
              <w:right w:val="single" w:color="auto" w:sz="4" w:space="0"/>
            </w:tcBorders>
            <w:vAlign w:val="center"/>
          </w:tcPr>
          <w:p w14:paraId="6B631438">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530B8A93">
            <w:pPr>
              <w:widowControl/>
              <w:jc w:val="left"/>
              <w:rPr>
                <w:rFonts w:ascii="宋体" w:hAnsi="宋体" w:cs="宋体"/>
                <w:kern w:val="0"/>
                <w:sz w:val="24"/>
              </w:rPr>
            </w:pPr>
          </w:p>
        </w:tc>
        <w:tc>
          <w:tcPr>
            <w:tcW w:w="3557" w:type="dxa"/>
            <w:tcBorders>
              <w:top w:val="single" w:color="auto" w:sz="4" w:space="0"/>
              <w:left w:val="nil"/>
              <w:bottom w:val="single" w:color="auto" w:sz="4" w:space="0"/>
              <w:right w:val="single" w:color="auto" w:sz="4" w:space="0"/>
            </w:tcBorders>
            <w:vAlign w:val="center"/>
          </w:tcPr>
          <w:p w14:paraId="7CD00855">
            <w:pPr>
              <w:widowControl/>
              <w:jc w:val="center"/>
              <w:rPr>
                <w:rFonts w:ascii="宋体" w:hAnsi="宋体" w:cs="宋体"/>
                <w:kern w:val="0"/>
                <w:sz w:val="24"/>
              </w:rPr>
            </w:pPr>
            <w:r>
              <w:rPr>
                <w:rFonts w:hint="eastAsia" w:ascii="宋体" w:hAnsi="宋体" w:cs="宋体"/>
                <w:kern w:val="0"/>
                <w:sz w:val="24"/>
              </w:rPr>
              <w:t>国家林木种质资源库海南分库</w:t>
            </w:r>
          </w:p>
        </w:tc>
        <w:tc>
          <w:tcPr>
            <w:tcW w:w="1330" w:type="dxa"/>
            <w:tcBorders>
              <w:top w:val="single" w:color="auto" w:sz="4" w:space="0"/>
              <w:left w:val="nil"/>
              <w:bottom w:val="single" w:color="auto" w:sz="4" w:space="0"/>
              <w:right w:val="single" w:color="auto" w:sz="4" w:space="0"/>
            </w:tcBorders>
            <w:vAlign w:val="center"/>
          </w:tcPr>
          <w:p w14:paraId="53DCAA66">
            <w:pPr>
              <w:widowControl/>
              <w:jc w:val="center"/>
              <w:rPr>
                <w:kern w:val="0"/>
                <w:sz w:val="24"/>
              </w:rPr>
            </w:pPr>
            <w:r>
              <w:rPr>
                <w:kern w:val="0"/>
                <w:sz w:val="24"/>
              </w:rPr>
              <w:t>67hm</w:t>
            </w:r>
            <w:r>
              <w:rPr>
                <w:kern w:val="0"/>
                <w:sz w:val="24"/>
                <w:vertAlign w:val="superscript"/>
              </w:rPr>
              <w:t>2</w:t>
            </w:r>
          </w:p>
        </w:tc>
        <w:tc>
          <w:tcPr>
            <w:tcW w:w="1532" w:type="dxa"/>
            <w:tcBorders>
              <w:top w:val="single" w:color="auto" w:sz="4" w:space="0"/>
              <w:left w:val="nil"/>
              <w:bottom w:val="single" w:color="auto" w:sz="4" w:space="0"/>
              <w:right w:val="single" w:color="auto" w:sz="4" w:space="0"/>
            </w:tcBorders>
            <w:vAlign w:val="center"/>
          </w:tcPr>
          <w:p w14:paraId="5381FF45">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single" w:color="auto" w:sz="4" w:space="0"/>
              <w:left w:val="nil"/>
              <w:bottom w:val="single" w:color="auto" w:sz="4" w:space="0"/>
              <w:right w:val="single" w:color="auto" w:sz="4" w:space="0"/>
            </w:tcBorders>
            <w:vAlign w:val="center"/>
          </w:tcPr>
          <w:p w14:paraId="3D2AC957">
            <w:pPr>
              <w:widowControl/>
              <w:jc w:val="center"/>
              <w:rPr>
                <w:kern w:val="0"/>
                <w:sz w:val="24"/>
              </w:rPr>
            </w:pPr>
            <w:r>
              <w:rPr>
                <w:kern w:val="0"/>
                <w:sz w:val="24"/>
              </w:rPr>
              <w:t>30000</w:t>
            </w:r>
          </w:p>
        </w:tc>
        <w:tc>
          <w:tcPr>
            <w:tcW w:w="1276" w:type="dxa"/>
            <w:tcBorders>
              <w:top w:val="single" w:color="auto" w:sz="4" w:space="0"/>
              <w:left w:val="nil"/>
              <w:bottom w:val="single" w:color="auto" w:sz="4" w:space="0"/>
              <w:right w:val="single" w:color="auto" w:sz="4" w:space="0"/>
            </w:tcBorders>
            <w:vAlign w:val="center"/>
          </w:tcPr>
          <w:p w14:paraId="2D7AEF31">
            <w:pPr>
              <w:widowControl/>
              <w:jc w:val="center"/>
              <w:rPr>
                <w:rFonts w:ascii="宋体" w:hAnsi="宋体" w:cs="宋体"/>
                <w:kern w:val="0"/>
                <w:sz w:val="24"/>
              </w:rPr>
            </w:pPr>
            <w:r>
              <w:rPr>
                <w:rFonts w:hint="eastAsia" w:ascii="宋体" w:hAnsi="宋体" w:cs="宋体"/>
                <w:kern w:val="0"/>
                <w:sz w:val="24"/>
              </w:rPr>
              <w:t>政府投资</w:t>
            </w:r>
          </w:p>
        </w:tc>
        <w:tc>
          <w:tcPr>
            <w:tcW w:w="2551" w:type="dxa"/>
            <w:tcBorders>
              <w:top w:val="nil"/>
              <w:left w:val="nil"/>
              <w:bottom w:val="single" w:color="auto" w:sz="4" w:space="0"/>
              <w:right w:val="single" w:color="auto" w:sz="4" w:space="0"/>
            </w:tcBorders>
            <w:vAlign w:val="center"/>
          </w:tcPr>
          <w:p w14:paraId="6036E372">
            <w:pPr>
              <w:widowControl/>
              <w:jc w:val="center"/>
              <w:rPr>
                <w:rFonts w:ascii="宋体" w:hAnsi="宋体" w:cs="宋体"/>
                <w:kern w:val="0"/>
                <w:sz w:val="24"/>
              </w:rPr>
            </w:pPr>
            <w:r>
              <w:rPr>
                <w:rFonts w:hint="eastAsia" w:ascii="宋体" w:hAnsi="宋体" w:cs="宋体"/>
                <w:kern w:val="0"/>
                <w:sz w:val="24"/>
              </w:rPr>
              <w:t>市林科院</w:t>
            </w:r>
          </w:p>
        </w:tc>
      </w:tr>
      <w:tr w14:paraId="6BEEB34A">
        <w:tblPrEx>
          <w:tblCellMar>
            <w:top w:w="0" w:type="dxa"/>
            <w:left w:w="108" w:type="dxa"/>
            <w:bottom w:w="0" w:type="dxa"/>
            <w:right w:w="108" w:type="dxa"/>
          </w:tblCellMar>
        </w:tblPrEx>
        <w:trPr>
          <w:trHeight w:val="300" w:hRule="atLeast"/>
        </w:trPr>
        <w:tc>
          <w:tcPr>
            <w:tcW w:w="866" w:type="dxa"/>
            <w:vMerge w:val="continue"/>
            <w:tcBorders>
              <w:top w:val="nil"/>
              <w:left w:val="single" w:color="auto" w:sz="4" w:space="0"/>
              <w:bottom w:val="single" w:color="auto" w:sz="4" w:space="0"/>
              <w:right w:val="single" w:color="auto" w:sz="4" w:space="0"/>
            </w:tcBorders>
            <w:vAlign w:val="center"/>
          </w:tcPr>
          <w:p w14:paraId="55F70813">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0FDA8FB">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1E486420">
            <w:pPr>
              <w:widowControl/>
              <w:jc w:val="center"/>
              <w:rPr>
                <w:rFonts w:ascii="宋体" w:hAnsi="宋体" w:cs="宋体"/>
                <w:kern w:val="0"/>
                <w:sz w:val="24"/>
              </w:rPr>
            </w:pPr>
            <w:r>
              <w:rPr>
                <w:rFonts w:hint="eastAsia" w:ascii="宋体" w:hAnsi="宋体" w:cs="宋体"/>
                <w:kern w:val="0"/>
                <w:sz w:val="24"/>
              </w:rPr>
              <w:t>国家热带兰花种质资源库</w:t>
            </w:r>
          </w:p>
        </w:tc>
        <w:tc>
          <w:tcPr>
            <w:tcW w:w="1330" w:type="dxa"/>
            <w:tcBorders>
              <w:top w:val="nil"/>
              <w:left w:val="nil"/>
              <w:bottom w:val="single" w:color="auto" w:sz="4" w:space="0"/>
              <w:right w:val="single" w:color="auto" w:sz="4" w:space="0"/>
            </w:tcBorders>
            <w:vAlign w:val="center"/>
          </w:tcPr>
          <w:p w14:paraId="5A35E948">
            <w:pPr>
              <w:widowControl/>
              <w:jc w:val="center"/>
              <w:rPr>
                <w:kern w:val="0"/>
                <w:sz w:val="24"/>
              </w:rPr>
            </w:pPr>
            <w:r>
              <w:rPr>
                <w:kern w:val="0"/>
                <w:sz w:val="24"/>
              </w:rPr>
              <w:t>6.7hm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61434356">
            <w:pPr>
              <w:widowControl/>
              <w:jc w:val="center"/>
              <w:rPr>
                <w:rFonts w:ascii="宋体" w:hAnsi="宋体" w:cs="宋体"/>
                <w:kern w:val="0"/>
                <w:sz w:val="24"/>
              </w:rPr>
            </w:pPr>
            <w:r>
              <w:rPr>
                <w:rFonts w:hint="eastAsia" w:ascii="宋体" w:hAnsi="宋体" w:cs="宋体"/>
                <w:kern w:val="0"/>
                <w:sz w:val="24"/>
              </w:rPr>
              <w:t>提质</w:t>
            </w:r>
          </w:p>
        </w:tc>
        <w:tc>
          <w:tcPr>
            <w:tcW w:w="1317" w:type="dxa"/>
            <w:tcBorders>
              <w:top w:val="nil"/>
              <w:left w:val="nil"/>
              <w:bottom w:val="single" w:color="auto" w:sz="4" w:space="0"/>
              <w:right w:val="single" w:color="auto" w:sz="4" w:space="0"/>
            </w:tcBorders>
            <w:vAlign w:val="center"/>
          </w:tcPr>
          <w:p w14:paraId="6C7B2A08">
            <w:pPr>
              <w:widowControl/>
              <w:jc w:val="center"/>
              <w:rPr>
                <w:kern w:val="0"/>
                <w:sz w:val="24"/>
              </w:rPr>
            </w:pPr>
            <w:r>
              <w:rPr>
                <w:kern w:val="0"/>
                <w:sz w:val="24"/>
              </w:rPr>
              <w:t>7000</w:t>
            </w:r>
          </w:p>
        </w:tc>
        <w:tc>
          <w:tcPr>
            <w:tcW w:w="1276" w:type="dxa"/>
            <w:tcBorders>
              <w:top w:val="nil"/>
              <w:left w:val="nil"/>
              <w:bottom w:val="single" w:color="auto" w:sz="4" w:space="0"/>
              <w:right w:val="single" w:color="auto" w:sz="4" w:space="0"/>
            </w:tcBorders>
            <w:vAlign w:val="center"/>
          </w:tcPr>
          <w:p w14:paraId="4C087568">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tcBorders>
              <w:top w:val="nil"/>
              <w:left w:val="nil"/>
              <w:bottom w:val="single" w:color="auto" w:sz="4" w:space="0"/>
              <w:right w:val="single" w:color="auto" w:sz="4" w:space="0"/>
            </w:tcBorders>
            <w:vAlign w:val="center"/>
          </w:tcPr>
          <w:p w14:paraId="7B8D0466">
            <w:pPr>
              <w:widowControl/>
              <w:jc w:val="center"/>
              <w:rPr>
                <w:rFonts w:ascii="宋体" w:hAnsi="宋体" w:cs="宋体"/>
                <w:kern w:val="0"/>
                <w:sz w:val="24"/>
              </w:rPr>
            </w:pPr>
            <w:r>
              <w:rPr>
                <w:rFonts w:hint="eastAsia" w:ascii="宋体" w:hAnsi="宋体" w:cs="宋体"/>
                <w:kern w:val="0"/>
                <w:sz w:val="24"/>
              </w:rPr>
              <w:t>市林科院</w:t>
            </w:r>
          </w:p>
        </w:tc>
      </w:tr>
      <w:tr w14:paraId="30449515">
        <w:tblPrEx>
          <w:tblCellMar>
            <w:top w:w="0" w:type="dxa"/>
            <w:left w:w="108" w:type="dxa"/>
            <w:bottom w:w="0" w:type="dxa"/>
            <w:right w:w="108" w:type="dxa"/>
          </w:tblCellMar>
        </w:tblPrEx>
        <w:trPr>
          <w:trHeight w:val="285" w:hRule="atLeast"/>
        </w:trPr>
        <w:tc>
          <w:tcPr>
            <w:tcW w:w="866" w:type="dxa"/>
            <w:vMerge w:val="continue"/>
            <w:tcBorders>
              <w:top w:val="nil"/>
              <w:left w:val="single" w:color="auto" w:sz="4" w:space="0"/>
              <w:bottom w:val="single" w:color="auto" w:sz="4" w:space="0"/>
              <w:right w:val="single" w:color="auto" w:sz="4" w:space="0"/>
            </w:tcBorders>
            <w:vAlign w:val="center"/>
          </w:tcPr>
          <w:p w14:paraId="3F611000">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9AF9C0E">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31028693">
            <w:pPr>
              <w:widowControl/>
              <w:jc w:val="center"/>
              <w:rPr>
                <w:rFonts w:ascii="宋体" w:hAnsi="宋体" w:cs="宋体"/>
                <w:kern w:val="0"/>
                <w:sz w:val="24"/>
              </w:rPr>
            </w:pPr>
            <w:r>
              <w:rPr>
                <w:rFonts w:hint="eastAsia" w:ascii="宋体" w:hAnsi="宋体" w:cs="宋体"/>
                <w:kern w:val="0"/>
                <w:sz w:val="24"/>
              </w:rPr>
              <w:t>花卉风情小镇</w:t>
            </w:r>
          </w:p>
        </w:tc>
        <w:tc>
          <w:tcPr>
            <w:tcW w:w="1330" w:type="dxa"/>
            <w:tcBorders>
              <w:top w:val="nil"/>
              <w:left w:val="nil"/>
              <w:bottom w:val="single" w:color="auto" w:sz="4" w:space="0"/>
              <w:right w:val="single" w:color="auto" w:sz="4" w:space="0"/>
            </w:tcBorders>
            <w:vAlign w:val="center"/>
          </w:tcPr>
          <w:p w14:paraId="48F185CD">
            <w:pPr>
              <w:widowControl/>
              <w:jc w:val="center"/>
              <w:rPr>
                <w:kern w:val="0"/>
                <w:sz w:val="24"/>
              </w:rPr>
            </w:pPr>
            <w:r>
              <w:rPr>
                <w:kern w:val="0"/>
                <w:sz w:val="24"/>
              </w:rPr>
              <w:t>1</w:t>
            </w:r>
            <w:r>
              <w:rPr>
                <w:rFonts w:hint="eastAsia" w:ascii="宋体" w:hAnsi="宋体"/>
                <w:kern w:val="0"/>
                <w:sz w:val="24"/>
              </w:rPr>
              <w:t>处</w:t>
            </w:r>
          </w:p>
        </w:tc>
        <w:tc>
          <w:tcPr>
            <w:tcW w:w="1532" w:type="dxa"/>
            <w:tcBorders>
              <w:top w:val="nil"/>
              <w:left w:val="nil"/>
              <w:bottom w:val="single" w:color="auto" w:sz="4" w:space="0"/>
              <w:right w:val="single" w:color="auto" w:sz="4" w:space="0"/>
            </w:tcBorders>
            <w:vAlign w:val="center"/>
          </w:tcPr>
          <w:p w14:paraId="74A6DF7D">
            <w:pPr>
              <w:widowControl/>
              <w:jc w:val="center"/>
              <w:rPr>
                <w:rFonts w:ascii="宋体" w:hAnsi="宋体" w:cs="宋体"/>
                <w:kern w:val="0"/>
                <w:sz w:val="24"/>
              </w:rPr>
            </w:pPr>
            <w:r>
              <w:rPr>
                <w:rFonts w:hint="eastAsia" w:ascii="宋体" w:hAnsi="宋体" w:cs="宋体"/>
                <w:kern w:val="0"/>
                <w:sz w:val="24"/>
              </w:rPr>
              <w:t>提质</w:t>
            </w:r>
          </w:p>
        </w:tc>
        <w:tc>
          <w:tcPr>
            <w:tcW w:w="1317" w:type="dxa"/>
            <w:tcBorders>
              <w:top w:val="nil"/>
              <w:left w:val="nil"/>
              <w:bottom w:val="single" w:color="auto" w:sz="4" w:space="0"/>
              <w:right w:val="single" w:color="auto" w:sz="4" w:space="0"/>
            </w:tcBorders>
            <w:vAlign w:val="center"/>
          </w:tcPr>
          <w:p w14:paraId="40D8AC55">
            <w:pPr>
              <w:widowControl/>
              <w:jc w:val="center"/>
              <w:rPr>
                <w:kern w:val="0"/>
                <w:sz w:val="24"/>
              </w:rPr>
            </w:pPr>
            <w:r>
              <w:rPr>
                <w:kern w:val="0"/>
                <w:sz w:val="24"/>
              </w:rPr>
              <w:t>5000</w:t>
            </w:r>
          </w:p>
        </w:tc>
        <w:tc>
          <w:tcPr>
            <w:tcW w:w="1276" w:type="dxa"/>
            <w:tcBorders>
              <w:top w:val="nil"/>
              <w:left w:val="nil"/>
              <w:bottom w:val="single" w:color="auto" w:sz="4" w:space="0"/>
              <w:right w:val="single" w:color="auto" w:sz="4" w:space="0"/>
            </w:tcBorders>
            <w:vAlign w:val="center"/>
          </w:tcPr>
          <w:p w14:paraId="5357FE56">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tcBorders>
              <w:top w:val="nil"/>
              <w:left w:val="nil"/>
              <w:bottom w:val="single" w:color="auto" w:sz="4" w:space="0"/>
              <w:right w:val="single" w:color="auto" w:sz="4" w:space="0"/>
            </w:tcBorders>
            <w:vAlign w:val="center"/>
          </w:tcPr>
          <w:p w14:paraId="71C511B1">
            <w:pPr>
              <w:widowControl/>
              <w:jc w:val="center"/>
              <w:rPr>
                <w:rFonts w:ascii="宋体" w:hAnsi="宋体" w:cs="宋体"/>
                <w:kern w:val="0"/>
                <w:sz w:val="24"/>
              </w:rPr>
            </w:pPr>
            <w:r>
              <w:rPr>
                <w:rFonts w:hint="eastAsia" w:ascii="宋体" w:hAnsi="宋体" w:cs="宋体"/>
                <w:kern w:val="0"/>
                <w:sz w:val="24"/>
              </w:rPr>
              <w:t>亚龙湾国际玫瑰谷、博后村等</w:t>
            </w:r>
          </w:p>
        </w:tc>
      </w:tr>
      <w:tr w14:paraId="3578DF9E">
        <w:tblPrEx>
          <w:tblCellMar>
            <w:top w:w="0" w:type="dxa"/>
            <w:left w:w="108" w:type="dxa"/>
            <w:bottom w:w="0" w:type="dxa"/>
            <w:right w:w="108" w:type="dxa"/>
          </w:tblCellMar>
        </w:tblPrEx>
        <w:trPr>
          <w:trHeight w:val="300" w:hRule="atLeast"/>
        </w:trPr>
        <w:tc>
          <w:tcPr>
            <w:tcW w:w="866" w:type="dxa"/>
            <w:vMerge w:val="continue"/>
            <w:tcBorders>
              <w:top w:val="nil"/>
              <w:left w:val="single" w:color="auto" w:sz="4" w:space="0"/>
              <w:bottom w:val="single" w:color="auto" w:sz="4" w:space="0"/>
              <w:right w:val="single" w:color="auto" w:sz="4" w:space="0"/>
            </w:tcBorders>
            <w:vAlign w:val="center"/>
          </w:tcPr>
          <w:p w14:paraId="5218221E">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02E1AA6D">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2653BCB0">
            <w:pPr>
              <w:widowControl/>
              <w:jc w:val="center"/>
              <w:rPr>
                <w:rFonts w:ascii="宋体" w:hAnsi="宋体" w:cs="宋体"/>
                <w:kern w:val="0"/>
                <w:sz w:val="24"/>
              </w:rPr>
            </w:pPr>
            <w:r>
              <w:rPr>
                <w:rFonts w:hint="eastAsia" w:ascii="宋体" w:hAnsi="宋体" w:cs="宋体"/>
                <w:kern w:val="0"/>
                <w:sz w:val="24"/>
              </w:rPr>
              <w:t>热带花卉主题公园</w:t>
            </w:r>
          </w:p>
        </w:tc>
        <w:tc>
          <w:tcPr>
            <w:tcW w:w="1330" w:type="dxa"/>
            <w:tcBorders>
              <w:top w:val="nil"/>
              <w:left w:val="nil"/>
              <w:bottom w:val="single" w:color="auto" w:sz="4" w:space="0"/>
              <w:right w:val="single" w:color="auto" w:sz="4" w:space="0"/>
            </w:tcBorders>
            <w:vAlign w:val="center"/>
          </w:tcPr>
          <w:p w14:paraId="757A8267">
            <w:pPr>
              <w:widowControl/>
              <w:jc w:val="center"/>
              <w:rPr>
                <w:kern w:val="0"/>
                <w:sz w:val="24"/>
              </w:rPr>
            </w:pPr>
            <w:r>
              <w:rPr>
                <w:kern w:val="0"/>
                <w:sz w:val="24"/>
              </w:rPr>
              <w:t>6.7hm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77E9B1C9">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5B565C56">
            <w:pPr>
              <w:widowControl/>
              <w:jc w:val="center"/>
              <w:rPr>
                <w:kern w:val="0"/>
                <w:sz w:val="24"/>
              </w:rPr>
            </w:pPr>
            <w:r>
              <w:rPr>
                <w:kern w:val="0"/>
                <w:sz w:val="24"/>
              </w:rPr>
              <w:t>4000</w:t>
            </w:r>
          </w:p>
        </w:tc>
        <w:tc>
          <w:tcPr>
            <w:tcW w:w="1276" w:type="dxa"/>
            <w:tcBorders>
              <w:top w:val="nil"/>
              <w:left w:val="nil"/>
              <w:bottom w:val="single" w:color="auto" w:sz="4" w:space="0"/>
              <w:right w:val="single" w:color="auto" w:sz="4" w:space="0"/>
            </w:tcBorders>
            <w:vAlign w:val="center"/>
          </w:tcPr>
          <w:p w14:paraId="1B2133E0">
            <w:pPr>
              <w:widowControl/>
              <w:jc w:val="center"/>
              <w:rPr>
                <w:rFonts w:ascii="宋体" w:hAnsi="宋体" w:cs="宋体"/>
                <w:kern w:val="0"/>
                <w:sz w:val="24"/>
              </w:rPr>
            </w:pPr>
            <w:r>
              <w:rPr>
                <w:rFonts w:hint="eastAsia" w:ascii="宋体" w:hAnsi="宋体" w:cs="宋体"/>
                <w:kern w:val="0"/>
                <w:sz w:val="24"/>
              </w:rPr>
              <w:t>政府投资</w:t>
            </w:r>
          </w:p>
        </w:tc>
        <w:tc>
          <w:tcPr>
            <w:tcW w:w="2551" w:type="dxa"/>
            <w:tcBorders>
              <w:top w:val="nil"/>
              <w:left w:val="nil"/>
              <w:bottom w:val="single" w:color="auto" w:sz="4" w:space="0"/>
              <w:right w:val="single" w:color="auto" w:sz="4" w:space="0"/>
            </w:tcBorders>
            <w:vAlign w:val="center"/>
          </w:tcPr>
          <w:p w14:paraId="63CFC9AD">
            <w:pPr>
              <w:widowControl/>
              <w:jc w:val="center"/>
              <w:rPr>
                <w:kern w:val="0"/>
                <w:sz w:val="24"/>
              </w:rPr>
            </w:pPr>
            <w:r>
              <w:rPr>
                <w:rFonts w:hint="eastAsia" w:ascii="宋体" w:hAnsi="宋体" w:cs="宋体"/>
                <w:kern w:val="0"/>
                <w:sz w:val="24"/>
              </w:rPr>
              <w:t>亚龙湾国际玫瑰谷</w:t>
            </w:r>
            <w:r>
              <w:rPr>
                <w:kern w:val="0"/>
                <w:sz w:val="24"/>
              </w:rPr>
              <w:t>　</w:t>
            </w:r>
          </w:p>
        </w:tc>
      </w:tr>
      <w:tr w14:paraId="3D77C322">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79278E35">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7D8770F9">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50060C0C">
            <w:pPr>
              <w:widowControl/>
              <w:jc w:val="center"/>
              <w:rPr>
                <w:rFonts w:hint="eastAsia" w:ascii="宋体" w:hAnsi="宋体" w:cs="宋体"/>
                <w:kern w:val="0"/>
                <w:sz w:val="24"/>
              </w:rPr>
            </w:pPr>
            <w:r>
              <w:rPr>
                <w:rFonts w:hint="eastAsia" w:ascii="宋体" w:hAnsi="宋体" w:cs="宋体"/>
                <w:kern w:val="0"/>
                <w:sz w:val="24"/>
              </w:rPr>
              <w:t>南丁花卉生态村</w:t>
            </w:r>
          </w:p>
        </w:tc>
        <w:tc>
          <w:tcPr>
            <w:tcW w:w="1330" w:type="dxa"/>
            <w:tcBorders>
              <w:top w:val="nil"/>
              <w:left w:val="nil"/>
              <w:bottom w:val="single" w:color="auto" w:sz="4" w:space="0"/>
              <w:right w:val="single" w:color="auto" w:sz="4" w:space="0"/>
            </w:tcBorders>
            <w:vAlign w:val="center"/>
          </w:tcPr>
          <w:p w14:paraId="1309117D">
            <w:pPr>
              <w:widowControl/>
              <w:jc w:val="center"/>
              <w:rPr>
                <w:kern w:val="0"/>
                <w:sz w:val="24"/>
              </w:rPr>
            </w:pPr>
            <w:r>
              <w:rPr>
                <w:rFonts w:hint="eastAsia"/>
                <w:kern w:val="0"/>
                <w:sz w:val="24"/>
              </w:rPr>
              <w:t>500</w:t>
            </w:r>
            <w:r>
              <w:rPr>
                <w:kern w:val="0"/>
                <w:sz w:val="24"/>
              </w:rPr>
              <w:t xml:space="preserve"> 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5DF095D1">
            <w:pPr>
              <w:widowControl/>
              <w:jc w:val="center"/>
              <w:rPr>
                <w:rFonts w:hint="eastAsia"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71B04F9C">
            <w:pPr>
              <w:widowControl/>
              <w:jc w:val="center"/>
              <w:rPr>
                <w:kern w:val="0"/>
                <w:sz w:val="24"/>
              </w:rPr>
            </w:pPr>
            <w:r>
              <w:rPr>
                <w:rFonts w:hint="eastAsia"/>
                <w:kern w:val="0"/>
                <w:sz w:val="24"/>
              </w:rPr>
              <w:t>30000</w:t>
            </w:r>
          </w:p>
        </w:tc>
        <w:tc>
          <w:tcPr>
            <w:tcW w:w="1276" w:type="dxa"/>
            <w:tcBorders>
              <w:top w:val="nil"/>
              <w:left w:val="nil"/>
              <w:bottom w:val="single" w:color="auto" w:sz="4" w:space="0"/>
              <w:right w:val="single" w:color="auto" w:sz="4" w:space="0"/>
            </w:tcBorders>
            <w:vAlign w:val="center"/>
          </w:tcPr>
          <w:p w14:paraId="13EB07F7">
            <w:pPr>
              <w:widowControl/>
              <w:jc w:val="center"/>
              <w:rPr>
                <w:rFonts w:hint="eastAsia" w:ascii="宋体" w:hAnsi="宋体" w:cs="宋体"/>
                <w:kern w:val="0"/>
                <w:sz w:val="24"/>
              </w:rPr>
            </w:pPr>
            <w:r>
              <w:rPr>
                <w:rFonts w:hint="eastAsia" w:ascii="宋体" w:hAnsi="宋体" w:cs="宋体"/>
                <w:kern w:val="0"/>
                <w:sz w:val="24"/>
              </w:rPr>
              <w:t>社会投资</w:t>
            </w:r>
          </w:p>
        </w:tc>
        <w:tc>
          <w:tcPr>
            <w:tcW w:w="2551" w:type="dxa"/>
            <w:tcBorders>
              <w:top w:val="nil"/>
              <w:left w:val="nil"/>
              <w:bottom w:val="single" w:color="auto" w:sz="4" w:space="0"/>
              <w:right w:val="single" w:color="auto" w:sz="4" w:space="0"/>
            </w:tcBorders>
            <w:vAlign w:val="center"/>
          </w:tcPr>
          <w:p w14:paraId="3A9D3E9C">
            <w:pPr>
              <w:widowControl/>
              <w:jc w:val="center"/>
              <w:rPr>
                <w:rFonts w:hint="eastAsia" w:ascii="宋体" w:hAnsi="宋体" w:cs="宋体"/>
                <w:kern w:val="0"/>
                <w:sz w:val="24"/>
              </w:rPr>
            </w:pPr>
            <w:r>
              <w:rPr>
                <w:rFonts w:hint="eastAsia" w:ascii="宋体" w:hAnsi="宋体" w:cs="宋体"/>
                <w:kern w:val="0"/>
                <w:sz w:val="24"/>
              </w:rPr>
              <w:t>吉阳区</w:t>
            </w:r>
          </w:p>
        </w:tc>
      </w:tr>
      <w:tr w14:paraId="091F617D">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3685CEBC">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4658E4E7">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5B524D41">
            <w:pPr>
              <w:widowControl/>
              <w:jc w:val="center"/>
              <w:rPr>
                <w:rFonts w:ascii="宋体" w:hAnsi="宋体" w:cs="宋体"/>
                <w:kern w:val="0"/>
                <w:sz w:val="24"/>
              </w:rPr>
            </w:pPr>
            <w:r>
              <w:rPr>
                <w:rFonts w:hint="eastAsia" w:ascii="宋体" w:hAnsi="宋体" w:cs="宋体"/>
                <w:kern w:val="0"/>
                <w:sz w:val="24"/>
              </w:rPr>
              <w:t>林业种业孵化基地</w:t>
            </w:r>
          </w:p>
        </w:tc>
        <w:tc>
          <w:tcPr>
            <w:tcW w:w="1330" w:type="dxa"/>
            <w:tcBorders>
              <w:top w:val="nil"/>
              <w:left w:val="nil"/>
              <w:bottom w:val="single" w:color="auto" w:sz="4" w:space="0"/>
              <w:right w:val="single" w:color="auto" w:sz="4" w:space="0"/>
            </w:tcBorders>
            <w:vAlign w:val="center"/>
          </w:tcPr>
          <w:p w14:paraId="7F6AA08F">
            <w:pPr>
              <w:widowControl/>
              <w:jc w:val="center"/>
              <w:rPr>
                <w:kern w:val="0"/>
                <w:sz w:val="24"/>
              </w:rPr>
            </w:pPr>
            <w:r>
              <w:rPr>
                <w:kern w:val="0"/>
                <w:sz w:val="24"/>
              </w:rPr>
              <w:t>3.3hm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389E8802">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34D48A85">
            <w:pPr>
              <w:widowControl/>
              <w:jc w:val="center"/>
              <w:rPr>
                <w:kern w:val="0"/>
                <w:sz w:val="24"/>
              </w:rPr>
            </w:pPr>
            <w:r>
              <w:rPr>
                <w:kern w:val="0"/>
                <w:sz w:val="24"/>
              </w:rPr>
              <w:t>2000</w:t>
            </w:r>
          </w:p>
        </w:tc>
        <w:tc>
          <w:tcPr>
            <w:tcW w:w="1276" w:type="dxa"/>
            <w:tcBorders>
              <w:top w:val="nil"/>
              <w:left w:val="nil"/>
              <w:bottom w:val="single" w:color="auto" w:sz="4" w:space="0"/>
              <w:right w:val="single" w:color="auto" w:sz="4" w:space="0"/>
            </w:tcBorders>
            <w:vAlign w:val="center"/>
          </w:tcPr>
          <w:p w14:paraId="58D2E954">
            <w:pPr>
              <w:widowControl/>
              <w:jc w:val="center"/>
              <w:rPr>
                <w:rFonts w:ascii="宋体" w:hAnsi="宋体" w:cs="宋体"/>
                <w:kern w:val="0"/>
                <w:sz w:val="24"/>
              </w:rPr>
            </w:pPr>
            <w:r>
              <w:rPr>
                <w:rFonts w:hint="eastAsia" w:ascii="宋体" w:hAnsi="宋体" w:cs="宋体"/>
                <w:kern w:val="0"/>
                <w:sz w:val="24"/>
              </w:rPr>
              <w:t>社会投资</w:t>
            </w:r>
          </w:p>
        </w:tc>
        <w:tc>
          <w:tcPr>
            <w:tcW w:w="2551" w:type="dxa"/>
            <w:tcBorders>
              <w:top w:val="nil"/>
              <w:left w:val="nil"/>
              <w:bottom w:val="single" w:color="auto" w:sz="4" w:space="0"/>
              <w:right w:val="single" w:color="auto" w:sz="4" w:space="0"/>
            </w:tcBorders>
            <w:vAlign w:val="center"/>
          </w:tcPr>
          <w:p w14:paraId="2E4E33A1">
            <w:pPr>
              <w:widowControl/>
              <w:jc w:val="center"/>
              <w:rPr>
                <w:rFonts w:ascii="宋体" w:hAnsi="宋体" w:cs="宋体"/>
                <w:kern w:val="0"/>
                <w:sz w:val="24"/>
              </w:rPr>
            </w:pPr>
            <w:r>
              <w:rPr>
                <w:rFonts w:hint="eastAsia" w:ascii="宋体" w:hAnsi="宋体" w:cs="宋体"/>
                <w:kern w:val="0"/>
                <w:sz w:val="24"/>
              </w:rPr>
              <w:t>崖州区</w:t>
            </w:r>
          </w:p>
        </w:tc>
      </w:tr>
      <w:tr w14:paraId="02957E9C">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auto" w:sz="4" w:space="0"/>
              <w:right w:val="single" w:color="auto" w:sz="4" w:space="0"/>
            </w:tcBorders>
            <w:vAlign w:val="center"/>
          </w:tcPr>
          <w:p w14:paraId="13EB9C27">
            <w:pPr>
              <w:widowControl/>
              <w:jc w:val="left"/>
              <w:rPr>
                <w:kern w:val="0"/>
                <w:sz w:val="24"/>
              </w:rPr>
            </w:pPr>
          </w:p>
        </w:tc>
        <w:tc>
          <w:tcPr>
            <w:tcW w:w="1546" w:type="dxa"/>
            <w:tcBorders>
              <w:top w:val="nil"/>
              <w:left w:val="single" w:color="auto" w:sz="4" w:space="0"/>
              <w:bottom w:val="single" w:color="auto" w:sz="4" w:space="0"/>
              <w:right w:val="single" w:color="auto" w:sz="4" w:space="0"/>
            </w:tcBorders>
            <w:vAlign w:val="center"/>
          </w:tcPr>
          <w:p w14:paraId="50D2504B">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2F5F3C11">
            <w:pPr>
              <w:widowControl/>
              <w:jc w:val="center"/>
              <w:rPr>
                <w:rFonts w:hint="eastAsia" w:ascii="宋体" w:hAnsi="宋体" w:cs="宋体"/>
                <w:kern w:val="0"/>
                <w:sz w:val="24"/>
              </w:rPr>
            </w:pPr>
            <w:r>
              <w:rPr>
                <w:rFonts w:hint="eastAsia" w:ascii="宋体" w:hAnsi="宋体" w:cs="宋体"/>
                <w:kern w:val="0"/>
                <w:sz w:val="24"/>
              </w:rPr>
              <w:t>种质隔离基地</w:t>
            </w:r>
          </w:p>
        </w:tc>
        <w:tc>
          <w:tcPr>
            <w:tcW w:w="1330" w:type="dxa"/>
            <w:tcBorders>
              <w:top w:val="nil"/>
              <w:left w:val="nil"/>
              <w:bottom w:val="single" w:color="auto" w:sz="4" w:space="0"/>
              <w:right w:val="single" w:color="auto" w:sz="4" w:space="0"/>
            </w:tcBorders>
            <w:vAlign w:val="center"/>
          </w:tcPr>
          <w:p w14:paraId="73902473">
            <w:pPr>
              <w:widowControl/>
              <w:jc w:val="center"/>
              <w:rPr>
                <w:kern w:val="0"/>
                <w:sz w:val="24"/>
              </w:rPr>
            </w:pPr>
          </w:p>
        </w:tc>
        <w:tc>
          <w:tcPr>
            <w:tcW w:w="1532" w:type="dxa"/>
            <w:tcBorders>
              <w:top w:val="nil"/>
              <w:left w:val="nil"/>
              <w:bottom w:val="single" w:color="auto" w:sz="4" w:space="0"/>
              <w:right w:val="single" w:color="auto" w:sz="4" w:space="0"/>
            </w:tcBorders>
            <w:vAlign w:val="center"/>
          </w:tcPr>
          <w:p w14:paraId="7BD34C88">
            <w:pPr>
              <w:widowControl/>
              <w:jc w:val="center"/>
              <w:rPr>
                <w:rFonts w:hint="eastAsia"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742BE7E0">
            <w:pPr>
              <w:widowControl/>
              <w:jc w:val="center"/>
              <w:rPr>
                <w:kern w:val="0"/>
                <w:sz w:val="24"/>
              </w:rPr>
            </w:pPr>
            <w:r>
              <w:rPr>
                <w:rFonts w:hint="eastAsia"/>
                <w:kern w:val="0"/>
                <w:sz w:val="24"/>
              </w:rPr>
              <w:t>1000</w:t>
            </w:r>
          </w:p>
        </w:tc>
        <w:tc>
          <w:tcPr>
            <w:tcW w:w="1276" w:type="dxa"/>
            <w:tcBorders>
              <w:top w:val="nil"/>
              <w:left w:val="nil"/>
              <w:bottom w:val="single" w:color="auto" w:sz="4" w:space="0"/>
              <w:right w:val="single" w:color="auto" w:sz="4" w:space="0"/>
            </w:tcBorders>
            <w:vAlign w:val="center"/>
          </w:tcPr>
          <w:p w14:paraId="536B80EC">
            <w:pPr>
              <w:widowControl/>
              <w:jc w:val="center"/>
              <w:rPr>
                <w:rFonts w:hint="eastAsia" w:ascii="宋体" w:hAnsi="宋体" w:cs="宋体"/>
                <w:kern w:val="0"/>
                <w:sz w:val="24"/>
              </w:rPr>
            </w:pPr>
            <w:r>
              <w:rPr>
                <w:rFonts w:hint="eastAsia" w:ascii="宋体" w:hAnsi="宋体" w:cs="宋体"/>
                <w:kern w:val="0"/>
                <w:sz w:val="24"/>
              </w:rPr>
              <w:t>政府投资</w:t>
            </w:r>
          </w:p>
        </w:tc>
        <w:tc>
          <w:tcPr>
            <w:tcW w:w="2551" w:type="dxa"/>
            <w:tcBorders>
              <w:top w:val="nil"/>
              <w:left w:val="nil"/>
              <w:bottom w:val="single" w:color="auto" w:sz="4" w:space="0"/>
              <w:right w:val="single" w:color="auto" w:sz="4" w:space="0"/>
            </w:tcBorders>
            <w:vAlign w:val="center"/>
          </w:tcPr>
          <w:p w14:paraId="5E3DC403">
            <w:pPr>
              <w:widowControl/>
              <w:jc w:val="center"/>
              <w:rPr>
                <w:rFonts w:hint="eastAsia" w:ascii="宋体" w:hAnsi="宋体" w:cs="宋体"/>
                <w:kern w:val="0"/>
                <w:sz w:val="24"/>
              </w:rPr>
            </w:pPr>
            <w:r>
              <w:rPr>
                <w:rFonts w:hint="eastAsia" w:ascii="宋体" w:hAnsi="宋体" w:cs="宋体"/>
                <w:kern w:val="0"/>
                <w:sz w:val="24"/>
              </w:rPr>
              <w:t>崖州区</w:t>
            </w:r>
          </w:p>
        </w:tc>
      </w:tr>
      <w:tr w14:paraId="1386E66F">
        <w:tblPrEx>
          <w:tblCellMar>
            <w:top w:w="0" w:type="dxa"/>
            <w:left w:w="108" w:type="dxa"/>
            <w:bottom w:w="0" w:type="dxa"/>
            <w:right w:w="108" w:type="dxa"/>
          </w:tblCellMar>
        </w:tblPrEx>
        <w:trPr>
          <w:trHeight w:val="633" w:hRule="atLeast"/>
        </w:trPr>
        <w:tc>
          <w:tcPr>
            <w:tcW w:w="866" w:type="dxa"/>
            <w:vMerge w:val="continue"/>
            <w:tcBorders>
              <w:top w:val="nil"/>
              <w:left w:val="single" w:color="auto" w:sz="4" w:space="0"/>
              <w:bottom w:val="single" w:color="auto" w:sz="4" w:space="0"/>
              <w:right w:val="single" w:color="auto" w:sz="4" w:space="0"/>
            </w:tcBorders>
            <w:vAlign w:val="center"/>
          </w:tcPr>
          <w:p w14:paraId="3C26E024">
            <w:pPr>
              <w:widowControl/>
              <w:jc w:val="left"/>
              <w:rPr>
                <w:kern w:val="0"/>
                <w:sz w:val="24"/>
              </w:rPr>
            </w:pPr>
          </w:p>
        </w:tc>
        <w:tc>
          <w:tcPr>
            <w:tcW w:w="5103" w:type="dxa"/>
            <w:gridSpan w:val="2"/>
            <w:tcBorders>
              <w:top w:val="single" w:color="auto" w:sz="4" w:space="0"/>
              <w:left w:val="nil"/>
              <w:bottom w:val="single" w:color="auto" w:sz="4" w:space="0"/>
              <w:right w:val="single" w:color="auto" w:sz="4" w:space="0"/>
            </w:tcBorders>
            <w:vAlign w:val="center"/>
          </w:tcPr>
          <w:p w14:paraId="3A71AB22">
            <w:pPr>
              <w:widowControl/>
              <w:jc w:val="center"/>
              <w:rPr>
                <w:rFonts w:ascii="宋体" w:hAnsi="宋体" w:cs="宋体"/>
                <w:b/>
                <w:bCs/>
                <w:kern w:val="0"/>
                <w:sz w:val="24"/>
              </w:rPr>
            </w:pPr>
            <w:r>
              <w:rPr>
                <w:rFonts w:hint="eastAsia" w:ascii="宋体" w:hAnsi="宋体" w:cs="宋体"/>
                <w:b/>
                <w:bCs/>
                <w:kern w:val="0"/>
                <w:sz w:val="24"/>
              </w:rPr>
              <w:t>小计</w:t>
            </w:r>
          </w:p>
        </w:tc>
        <w:tc>
          <w:tcPr>
            <w:tcW w:w="1330" w:type="dxa"/>
            <w:tcBorders>
              <w:top w:val="nil"/>
              <w:left w:val="nil"/>
              <w:bottom w:val="single" w:color="auto" w:sz="4" w:space="0"/>
              <w:right w:val="single" w:color="auto" w:sz="4" w:space="0"/>
            </w:tcBorders>
            <w:vAlign w:val="center"/>
          </w:tcPr>
          <w:p w14:paraId="35BF10F7">
            <w:pPr>
              <w:widowControl/>
              <w:jc w:val="center"/>
              <w:rPr>
                <w:rFonts w:ascii="宋体" w:hAnsi="宋体" w:cs="宋体"/>
                <w:b/>
                <w:bCs/>
                <w:kern w:val="0"/>
                <w:sz w:val="24"/>
              </w:rPr>
            </w:pPr>
            <w:r>
              <w:rPr>
                <w:rFonts w:hint="eastAsia" w:ascii="宋体" w:hAnsi="宋体" w:cs="宋体"/>
                <w:b/>
                <w:bCs/>
                <w:kern w:val="0"/>
                <w:sz w:val="24"/>
              </w:rPr>
              <w:t>　</w:t>
            </w:r>
          </w:p>
        </w:tc>
        <w:tc>
          <w:tcPr>
            <w:tcW w:w="1532" w:type="dxa"/>
            <w:tcBorders>
              <w:top w:val="nil"/>
              <w:left w:val="nil"/>
              <w:bottom w:val="single" w:color="auto" w:sz="4" w:space="0"/>
              <w:right w:val="single" w:color="auto" w:sz="4" w:space="0"/>
            </w:tcBorders>
            <w:vAlign w:val="center"/>
          </w:tcPr>
          <w:p w14:paraId="7DFAB6DB">
            <w:pPr>
              <w:widowControl/>
              <w:jc w:val="center"/>
              <w:rPr>
                <w:kern w:val="0"/>
                <w:sz w:val="24"/>
              </w:rPr>
            </w:pPr>
            <w:r>
              <w:rPr>
                <w:kern w:val="0"/>
                <w:sz w:val="24"/>
              </w:rPr>
              <w:t>　</w:t>
            </w:r>
          </w:p>
        </w:tc>
        <w:tc>
          <w:tcPr>
            <w:tcW w:w="1317" w:type="dxa"/>
            <w:tcBorders>
              <w:top w:val="nil"/>
              <w:left w:val="nil"/>
              <w:bottom w:val="single" w:color="auto" w:sz="4" w:space="0"/>
              <w:right w:val="single" w:color="auto" w:sz="4" w:space="0"/>
            </w:tcBorders>
            <w:vAlign w:val="center"/>
          </w:tcPr>
          <w:p w14:paraId="1645FBAD">
            <w:pPr>
              <w:widowControl/>
              <w:jc w:val="center"/>
              <w:rPr>
                <w:b/>
                <w:bCs/>
                <w:kern w:val="0"/>
                <w:sz w:val="24"/>
              </w:rPr>
            </w:pPr>
            <w:r>
              <w:rPr>
                <w:rFonts w:hint="eastAsia"/>
                <w:b/>
                <w:bCs/>
                <w:kern w:val="0"/>
                <w:sz w:val="24"/>
              </w:rPr>
              <w:t>129000</w:t>
            </w:r>
          </w:p>
        </w:tc>
        <w:tc>
          <w:tcPr>
            <w:tcW w:w="1276" w:type="dxa"/>
            <w:tcBorders>
              <w:top w:val="nil"/>
              <w:left w:val="nil"/>
              <w:bottom w:val="single" w:color="auto" w:sz="4" w:space="0"/>
              <w:right w:val="single" w:color="auto" w:sz="4" w:space="0"/>
            </w:tcBorders>
            <w:vAlign w:val="center"/>
          </w:tcPr>
          <w:p w14:paraId="15D4E91A">
            <w:pPr>
              <w:widowControl/>
              <w:jc w:val="center"/>
              <w:rPr>
                <w:kern w:val="0"/>
                <w:sz w:val="24"/>
              </w:rPr>
            </w:pPr>
          </w:p>
        </w:tc>
        <w:tc>
          <w:tcPr>
            <w:tcW w:w="2551" w:type="dxa"/>
            <w:tcBorders>
              <w:top w:val="nil"/>
              <w:left w:val="single" w:color="auto" w:sz="4" w:space="0"/>
              <w:bottom w:val="single" w:color="auto" w:sz="4" w:space="0"/>
              <w:right w:val="single" w:color="auto" w:sz="4" w:space="0"/>
            </w:tcBorders>
            <w:vAlign w:val="center"/>
          </w:tcPr>
          <w:p w14:paraId="23FF4857">
            <w:pPr>
              <w:widowControl/>
              <w:jc w:val="center"/>
              <w:rPr>
                <w:rFonts w:ascii="宋体" w:hAnsi="宋体" w:cs="宋体"/>
                <w:kern w:val="0"/>
                <w:sz w:val="24"/>
              </w:rPr>
            </w:pPr>
          </w:p>
        </w:tc>
      </w:tr>
      <w:tr w14:paraId="291C087D">
        <w:tblPrEx>
          <w:tblCellMar>
            <w:top w:w="0" w:type="dxa"/>
            <w:left w:w="108" w:type="dxa"/>
            <w:bottom w:w="0" w:type="dxa"/>
            <w:right w:w="108" w:type="dxa"/>
          </w:tblCellMar>
        </w:tblPrEx>
        <w:trPr>
          <w:trHeight w:val="285" w:hRule="atLeast"/>
        </w:trPr>
        <w:tc>
          <w:tcPr>
            <w:tcW w:w="866" w:type="dxa"/>
            <w:vMerge w:val="restart"/>
            <w:tcBorders>
              <w:top w:val="nil"/>
              <w:left w:val="single" w:color="auto" w:sz="4" w:space="0"/>
              <w:bottom w:val="single" w:color="000000" w:sz="4" w:space="0"/>
              <w:right w:val="single" w:color="auto" w:sz="4" w:space="0"/>
            </w:tcBorders>
            <w:vAlign w:val="center"/>
          </w:tcPr>
          <w:p w14:paraId="3942E5F9">
            <w:pPr>
              <w:widowControl/>
              <w:jc w:val="center"/>
              <w:rPr>
                <w:kern w:val="0"/>
                <w:sz w:val="24"/>
              </w:rPr>
            </w:pPr>
            <w:r>
              <w:rPr>
                <w:kern w:val="0"/>
                <w:sz w:val="24"/>
              </w:rPr>
              <w:t>2</w:t>
            </w:r>
          </w:p>
        </w:tc>
        <w:tc>
          <w:tcPr>
            <w:tcW w:w="1546" w:type="dxa"/>
            <w:vMerge w:val="restart"/>
            <w:tcBorders>
              <w:top w:val="nil"/>
              <w:left w:val="single" w:color="auto" w:sz="4" w:space="0"/>
              <w:bottom w:val="single" w:color="auto" w:sz="4" w:space="0"/>
              <w:right w:val="single" w:color="auto" w:sz="4" w:space="0"/>
            </w:tcBorders>
            <w:vAlign w:val="center"/>
          </w:tcPr>
          <w:p w14:paraId="567D5D65">
            <w:pPr>
              <w:widowControl/>
              <w:jc w:val="center"/>
              <w:rPr>
                <w:rFonts w:ascii="宋体" w:hAnsi="宋体" w:cs="宋体"/>
                <w:kern w:val="0"/>
                <w:sz w:val="24"/>
              </w:rPr>
            </w:pPr>
            <w:r>
              <w:rPr>
                <w:rFonts w:hint="eastAsia" w:ascii="宋体" w:hAnsi="宋体" w:cs="宋体"/>
                <w:kern w:val="0"/>
                <w:sz w:val="24"/>
              </w:rPr>
              <w:t>中长期（</w:t>
            </w:r>
            <w:r>
              <w:rPr>
                <w:kern w:val="0"/>
                <w:sz w:val="24"/>
              </w:rPr>
              <w:t>2026~2035</w:t>
            </w:r>
            <w:r>
              <w:rPr>
                <w:rFonts w:hint="eastAsia" w:ascii="宋体" w:hAnsi="宋体" w:cs="宋体"/>
                <w:kern w:val="0"/>
                <w:sz w:val="24"/>
              </w:rPr>
              <w:t>年）</w:t>
            </w:r>
          </w:p>
        </w:tc>
        <w:tc>
          <w:tcPr>
            <w:tcW w:w="3557" w:type="dxa"/>
            <w:tcBorders>
              <w:top w:val="nil"/>
              <w:left w:val="nil"/>
              <w:bottom w:val="single" w:color="auto" w:sz="4" w:space="0"/>
              <w:right w:val="single" w:color="auto" w:sz="4" w:space="0"/>
            </w:tcBorders>
            <w:vAlign w:val="center"/>
          </w:tcPr>
          <w:p w14:paraId="2274C0AA">
            <w:pPr>
              <w:widowControl/>
              <w:jc w:val="center"/>
              <w:rPr>
                <w:rFonts w:ascii="宋体" w:hAnsi="宋体" w:cs="宋体"/>
                <w:kern w:val="0"/>
                <w:sz w:val="24"/>
              </w:rPr>
            </w:pPr>
            <w:r>
              <w:rPr>
                <w:rFonts w:hint="eastAsia" w:ascii="宋体" w:hAnsi="宋体" w:cs="宋体"/>
                <w:kern w:val="0"/>
                <w:sz w:val="24"/>
              </w:rPr>
              <w:t>林木种苗繁育基地</w:t>
            </w:r>
          </w:p>
        </w:tc>
        <w:tc>
          <w:tcPr>
            <w:tcW w:w="1330" w:type="dxa"/>
            <w:tcBorders>
              <w:top w:val="nil"/>
              <w:left w:val="nil"/>
              <w:bottom w:val="single" w:color="auto" w:sz="4" w:space="0"/>
              <w:right w:val="single" w:color="auto" w:sz="4" w:space="0"/>
            </w:tcBorders>
            <w:vAlign w:val="center"/>
          </w:tcPr>
          <w:p w14:paraId="740FEC7B">
            <w:pPr>
              <w:widowControl/>
              <w:jc w:val="center"/>
              <w:rPr>
                <w:kern w:val="0"/>
                <w:sz w:val="24"/>
              </w:rPr>
            </w:pPr>
            <w:r>
              <w:rPr>
                <w:kern w:val="0"/>
                <w:sz w:val="24"/>
              </w:rPr>
              <w:t>67hm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21F029C4">
            <w:pPr>
              <w:widowControl/>
              <w:jc w:val="center"/>
              <w:rPr>
                <w:kern w:val="0"/>
                <w:sz w:val="24"/>
              </w:rPr>
            </w:pPr>
            <w:r>
              <w:rPr>
                <w:kern w:val="0"/>
                <w:sz w:val="24"/>
              </w:rPr>
              <w:t>续建　</w:t>
            </w:r>
          </w:p>
        </w:tc>
        <w:tc>
          <w:tcPr>
            <w:tcW w:w="1317" w:type="dxa"/>
            <w:tcBorders>
              <w:top w:val="nil"/>
              <w:left w:val="nil"/>
              <w:bottom w:val="single" w:color="auto" w:sz="4" w:space="0"/>
              <w:right w:val="single" w:color="auto" w:sz="4" w:space="0"/>
            </w:tcBorders>
            <w:vAlign w:val="center"/>
          </w:tcPr>
          <w:p w14:paraId="157EFA14">
            <w:pPr>
              <w:widowControl/>
              <w:jc w:val="center"/>
              <w:rPr>
                <w:kern w:val="0"/>
                <w:sz w:val="24"/>
              </w:rPr>
            </w:pPr>
            <w:r>
              <w:rPr>
                <w:kern w:val="0"/>
                <w:sz w:val="24"/>
              </w:rPr>
              <w:t>12000</w:t>
            </w:r>
          </w:p>
        </w:tc>
        <w:tc>
          <w:tcPr>
            <w:tcW w:w="1276" w:type="dxa"/>
            <w:tcBorders>
              <w:top w:val="nil"/>
              <w:left w:val="nil"/>
              <w:bottom w:val="single" w:color="auto" w:sz="4" w:space="0"/>
              <w:right w:val="single" w:color="auto" w:sz="4" w:space="0"/>
            </w:tcBorders>
            <w:vAlign w:val="center"/>
          </w:tcPr>
          <w:p w14:paraId="434C9BBF">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restart"/>
            <w:tcBorders>
              <w:top w:val="single" w:color="auto" w:sz="4" w:space="0"/>
              <w:left w:val="single" w:color="auto" w:sz="4" w:space="0"/>
              <w:bottom w:val="single" w:color="auto" w:sz="4" w:space="0"/>
              <w:right w:val="single" w:color="auto" w:sz="4" w:space="0"/>
            </w:tcBorders>
            <w:vAlign w:val="center"/>
          </w:tcPr>
          <w:p w14:paraId="6CFFB6FD">
            <w:pPr>
              <w:jc w:val="center"/>
              <w:rPr>
                <w:rFonts w:ascii="宋体" w:hAnsi="宋体" w:cs="宋体"/>
                <w:kern w:val="0"/>
                <w:sz w:val="24"/>
              </w:rPr>
            </w:pPr>
            <w:r>
              <w:rPr>
                <w:rFonts w:hint="eastAsia" w:ascii="宋体" w:hAnsi="宋体" w:cs="宋体"/>
                <w:kern w:val="0"/>
                <w:sz w:val="24"/>
              </w:rPr>
              <w:t>育才生态区</w:t>
            </w:r>
          </w:p>
        </w:tc>
      </w:tr>
      <w:tr w14:paraId="7CE98136">
        <w:tblPrEx>
          <w:tblCellMar>
            <w:top w:w="0" w:type="dxa"/>
            <w:left w:w="108" w:type="dxa"/>
            <w:bottom w:w="0" w:type="dxa"/>
            <w:right w:w="108" w:type="dxa"/>
          </w:tblCellMar>
        </w:tblPrEx>
        <w:trPr>
          <w:trHeight w:val="375" w:hRule="atLeast"/>
        </w:trPr>
        <w:tc>
          <w:tcPr>
            <w:tcW w:w="866" w:type="dxa"/>
            <w:vMerge w:val="continue"/>
            <w:tcBorders>
              <w:top w:val="nil"/>
              <w:left w:val="single" w:color="auto" w:sz="4" w:space="0"/>
              <w:bottom w:val="single" w:color="000000" w:sz="4" w:space="0"/>
              <w:right w:val="single" w:color="auto" w:sz="4" w:space="0"/>
            </w:tcBorders>
            <w:vAlign w:val="center"/>
          </w:tcPr>
          <w:p w14:paraId="337E7190">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4D7661A">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26749D2F">
            <w:pPr>
              <w:widowControl/>
              <w:jc w:val="center"/>
              <w:rPr>
                <w:rFonts w:ascii="宋体" w:hAnsi="宋体" w:cs="宋体"/>
                <w:kern w:val="0"/>
                <w:sz w:val="24"/>
              </w:rPr>
            </w:pPr>
            <w:r>
              <w:rPr>
                <w:rFonts w:hint="eastAsia" w:ascii="宋体" w:hAnsi="宋体" w:cs="宋体"/>
                <w:kern w:val="0"/>
                <w:sz w:val="24"/>
              </w:rPr>
              <w:t>林木种苗良种基地</w:t>
            </w:r>
          </w:p>
        </w:tc>
        <w:tc>
          <w:tcPr>
            <w:tcW w:w="1330" w:type="dxa"/>
            <w:tcBorders>
              <w:top w:val="nil"/>
              <w:left w:val="nil"/>
              <w:bottom w:val="single" w:color="auto" w:sz="4" w:space="0"/>
              <w:right w:val="single" w:color="auto" w:sz="4" w:space="0"/>
            </w:tcBorders>
            <w:vAlign w:val="center"/>
          </w:tcPr>
          <w:p w14:paraId="62BECE37">
            <w:pPr>
              <w:widowControl/>
              <w:jc w:val="center"/>
              <w:rPr>
                <w:kern w:val="0"/>
                <w:sz w:val="24"/>
              </w:rPr>
            </w:pPr>
            <w:r>
              <w:rPr>
                <w:kern w:val="0"/>
                <w:sz w:val="24"/>
              </w:rPr>
              <w:t>20hm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4CFA1262">
            <w:pPr>
              <w:widowControl/>
              <w:jc w:val="center"/>
              <w:rPr>
                <w:rFonts w:ascii="宋体" w:hAnsi="宋体" w:cs="宋体"/>
                <w:kern w:val="0"/>
                <w:sz w:val="24"/>
              </w:rPr>
            </w:pPr>
            <w:r>
              <w:rPr>
                <w:rFonts w:hint="eastAsia" w:ascii="宋体" w:hAnsi="宋体" w:cs="宋体"/>
                <w:kern w:val="0"/>
                <w:sz w:val="24"/>
              </w:rPr>
              <w:t>续建</w:t>
            </w:r>
          </w:p>
        </w:tc>
        <w:tc>
          <w:tcPr>
            <w:tcW w:w="1317" w:type="dxa"/>
            <w:tcBorders>
              <w:top w:val="nil"/>
              <w:left w:val="nil"/>
              <w:bottom w:val="single" w:color="auto" w:sz="4" w:space="0"/>
              <w:right w:val="single" w:color="auto" w:sz="4" w:space="0"/>
            </w:tcBorders>
            <w:vAlign w:val="center"/>
          </w:tcPr>
          <w:p w14:paraId="30A023DA">
            <w:pPr>
              <w:widowControl/>
              <w:jc w:val="center"/>
              <w:rPr>
                <w:kern w:val="0"/>
                <w:sz w:val="24"/>
              </w:rPr>
            </w:pPr>
            <w:r>
              <w:rPr>
                <w:kern w:val="0"/>
                <w:sz w:val="24"/>
              </w:rPr>
              <w:t>6000</w:t>
            </w:r>
          </w:p>
        </w:tc>
        <w:tc>
          <w:tcPr>
            <w:tcW w:w="1276" w:type="dxa"/>
            <w:tcBorders>
              <w:top w:val="nil"/>
              <w:left w:val="nil"/>
              <w:bottom w:val="single" w:color="auto" w:sz="4" w:space="0"/>
              <w:right w:val="single" w:color="auto" w:sz="4" w:space="0"/>
            </w:tcBorders>
            <w:vAlign w:val="center"/>
          </w:tcPr>
          <w:p w14:paraId="0A8C2B67">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continue"/>
            <w:tcBorders>
              <w:top w:val="single" w:color="auto" w:sz="4" w:space="0"/>
              <w:left w:val="single" w:color="auto" w:sz="4" w:space="0"/>
              <w:bottom w:val="single" w:color="auto" w:sz="4" w:space="0"/>
              <w:right w:val="single" w:color="auto" w:sz="4" w:space="0"/>
            </w:tcBorders>
            <w:vAlign w:val="center"/>
          </w:tcPr>
          <w:p w14:paraId="3E69D3A7">
            <w:pPr>
              <w:widowControl/>
              <w:jc w:val="left"/>
              <w:rPr>
                <w:rFonts w:ascii="宋体" w:hAnsi="宋体" w:cs="宋体"/>
                <w:kern w:val="0"/>
                <w:sz w:val="24"/>
              </w:rPr>
            </w:pPr>
          </w:p>
        </w:tc>
      </w:tr>
      <w:tr w14:paraId="1351C870">
        <w:tblPrEx>
          <w:tblCellMar>
            <w:top w:w="0" w:type="dxa"/>
            <w:left w:w="108" w:type="dxa"/>
            <w:bottom w:w="0" w:type="dxa"/>
            <w:right w:w="108" w:type="dxa"/>
          </w:tblCellMar>
        </w:tblPrEx>
        <w:trPr>
          <w:trHeight w:val="707" w:hRule="atLeast"/>
        </w:trPr>
        <w:tc>
          <w:tcPr>
            <w:tcW w:w="866" w:type="dxa"/>
            <w:vMerge w:val="continue"/>
            <w:tcBorders>
              <w:top w:val="nil"/>
              <w:left w:val="single" w:color="auto" w:sz="4" w:space="0"/>
              <w:bottom w:val="single" w:color="000000" w:sz="4" w:space="0"/>
              <w:right w:val="single" w:color="auto" w:sz="4" w:space="0"/>
            </w:tcBorders>
            <w:vAlign w:val="center"/>
          </w:tcPr>
          <w:p w14:paraId="250EE2C4">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471E2D47">
            <w:pPr>
              <w:widowControl/>
              <w:jc w:val="left"/>
              <w:rPr>
                <w:rFonts w:ascii="宋体" w:hAnsi="宋体" w:cs="宋体"/>
                <w:kern w:val="0"/>
                <w:sz w:val="24"/>
              </w:rPr>
            </w:pPr>
          </w:p>
        </w:tc>
        <w:tc>
          <w:tcPr>
            <w:tcW w:w="3557" w:type="dxa"/>
            <w:tcBorders>
              <w:top w:val="single" w:color="auto" w:sz="4" w:space="0"/>
              <w:left w:val="nil"/>
              <w:bottom w:val="single" w:color="auto" w:sz="4" w:space="0"/>
              <w:right w:val="single" w:color="auto" w:sz="4" w:space="0"/>
            </w:tcBorders>
            <w:vAlign w:val="center"/>
          </w:tcPr>
          <w:p w14:paraId="6BBBDFD9">
            <w:pPr>
              <w:jc w:val="center"/>
              <w:rPr>
                <w:rFonts w:ascii="宋体" w:hAnsi="宋体" w:cs="宋体"/>
                <w:kern w:val="0"/>
                <w:sz w:val="24"/>
              </w:rPr>
            </w:pPr>
            <w:r>
              <w:rPr>
                <w:rFonts w:hint="eastAsia" w:ascii="宋体" w:hAnsi="宋体" w:cs="宋体"/>
                <w:kern w:val="0"/>
                <w:sz w:val="24"/>
              </w:rPr>
              <w:t>花卉产业园</w:t>
            </w:r>
          </w:p>
        </w:tc>
        <w:tc>
          <w:tcPr>
            <w:tcW w:w="1330" w:type="dxa"/>
            <w:tcBorders>
              <w:top w:val="single" w:color="auto" w:sz="4" w:space="0"/>
              <w:left w:val="nil"/>
              <w:bottom w:val="single" w:color="auto" w:sz="4" w:space="0"/>
              <w:right w:val="single" w:color="auto" w:sz="4" w:space="0"/>
            </w:tcBorders>
            <w:vAlign w:val="center"/>
          </w:tcPr>
          <w:p w14:paraId="2187669E">
            <w:pPr>
              <w:widowControl/>
              <w:jc w:val="center"/>
              <w:rPr>
                <w:kern w:val="0"/>
                <w:sz w:val="24"/>
              </w:rPr>
            </w:pPr>
            <w:r>
              <w:rPr>
                <w:kern w:val="0"/>
                <w:sz w:val="24"/>
              </w:rPr>
              <w:t>2</w:t>
            </w:r>
            <w:r>
              <w:rPr>
                <w:rFonts w:hint="eastAsia"/>
                <w:kern w:val="0"/>
                <w:sz w:val="24"/>
              </w:rPr>
              <w:t>67</w:t>
            </w:r>
            <w:r>
              <w:rPr>
                <w:kern w:val="0"/>
                <w:sz w:val="24"/>
              </w:rPr>
              <w:t>hm</w:t>
            </w:r>
            <w:r>
              <w:rPr>
                <w:kern w:val="0"/>
                <w:sz w:val="24"/>
                <w:vertAlign w:val="superscript"/>
              </w:rPr>
              <w:t>2</w:t>
            </w:r>
          </w:p>
        </w:tc>
        <w:tc>
          <w:tcPr>
            <w:tcW w:w="1532" w:type="dxa"/>
            <w:tcBorders>
              <w:top w:val="single" w:color="auto" w:sz="4" w:space="0"/>
              <w:left w:val="nil"/>
              <w:bottom w:val="single" w:color="auto" w:sz="4" w:space="0"/>
              <w:right w:val="single" w:color="auto" w:sz="4" w:space="0"/>
            </w:tcBorders>
            <w:vAlign w:val="center"/>
          </w:tcPr>
          <w:p w14:paraId="62788CB2">
            <w:pPr>
              <w:widowControl/>
              <w:jc w:val="center"/>
              <w:rPr>
                <w:rFonts w:ascii="宋体" w:hAnsi="宋体" w:cs="宋体"/>
                <w:kern w:val="0"/>
                <w:sz w:val="24"/>
              </w:rPr>
            </w:pPr>
            <w:r>
              <w:rPr>
                <w:rFonts w:hint="eastAsia" w:ascii="宋体" w:hAnsi="宋体" w:cs="宋体"/>
                <w:kern w:val="0"/>
                <w:sz w:val="24"/>
              </w:rPr>
              <w:t>续建</w:t>
            </w:r>
          </w:p>
        </w:tc>
        <w:tc>
          <w:tcPr>
            <w:tcW w:w="1317" w:type="dxa"/>
            <w:tcBorders>
              <w:top w:val="single" w:color="auto" w:sz="4" w:space="0"/>
              <w:left w:val="nil"/>
              <w:bottom w:val="single" w:color="auto" w:sz="4" w:space="0"/>
              <w:right w:val="single" w:color="auto" w:sz="4" w:space="0"/>
            </w:tcBorders>
            <w:vAlign w:val="center"/>
          </w:tcPr>
          <w:p w14:paraId="45BA6593">
            <w:pPr>
              <w:jc w:val="center"/>
              <w:rPr>
                <w:kern w:val="0"/>
                <w:sz w:val="24"/>
              </w:rPr>
            </w:pPr>
            <w:r>
              <w:rPr>
                <w:rFonts w:hint="eastAsia"/>
                <w:kern w:val="0"/>
                <w:sz w:val="24"/>
              </w:rPr>
              <w:t>36000</w:t>
            </w:r>
          </w:p>
        </w:tc>
        <w:tc>
          <w:tcPr>
            <w:tcW w:w="1276" w:type="dxa"/>
            <w:tcBorders>
              <w:top w:val="single" w:color="auto" w:sz="4" w:space="0"/>
              <w:left w:val="nil"/>
              <w:bottom w:val="single" w:color="auto" w:sz="4" w:space="0"/>
              <w:right w:val="single" w:color="auto" w:sz="4" w:space="0"/>
            </w:tcBorders>
            <w:vAlign w:val="center"/>
          </w:tcPr>
          <w:p w14:paraId="1AD79B3C">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continue"/>
            <w:tcBorders>
              <w:top w:val="single" w:color="auto" w:sz="4" w:space="0"/>
              <w:left w:val="single" w:color="auto" w:sz="4" w:space="0"/>
              <w:bottom w:val="single" w:color="auto" w:sz="4" w:space="0"/>
              <w:right w:val="single" w:color="auto" w:sz="4" w:space="0"/>
            </w:tcBorders>
            <w:vAlign w:val="center"/>
          </w:tcPr>
          <w:p w14:paraId="5C6B16AD">
            <w:pPr>
              <w:widowControl/>
              <w:jc w:val="left"/>
              <w:rPr>
                <w:rFonts w:ascii="宋体" w:hAnsi="宋体" w:cs="宋体"/>
                <w:kern w:val="0"/>
                <w:sz w:val="24"/>
              </w:rPr>
            </w:pPr>
          </w:p>
        </w:tc>
      </w:tr>
      <w:tr w14:paraId="52578E20">
        <w:tblPrEx>
          <w:tblCellMar>
            <w:top w:w="0" w:type="dxa"/>
            <w:left w:w="108" w:type="dxa"/>
            <w:bottom w:w="0" w:type="dxa"/>
            <w:right w:w="108" w:type="dxa"/>
          </w:tblCellMar>
        </w:tblPrEx>
        <w:trPr>
          <w:trHeight w:val="285" w:hRule="atLeast"/>
        </w:trPr>
        <w:tc>
          <w:tcPr>
            <w:tcW w:w="866" w:type="dxa"/>
            <w:vMerge w:val="continue"/>
            <w:tcBorders>
              <w:top w:val="nil"/>
              <w:left w:val="single" w:color="auto" w:sz="4" w:space="0"/>
              <w:bottom w:val="single" w:color="000000" w:sz="4" w:space="0"/>
              <w:right w:val="single" w:color="auto" w:sz="4" w:space="0"/>
            </w:tcBorders>
            <w:vAlign w:val="center"/>
          </w:tcPr>
          <w:p w14:paraId="43831F25">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84E9999">
            <w:pPr>
              <w:widowControl/>
              <w:jc w:val="left"/>
              <w:rPr>
                <w:rFonts w:ascii="宋体" w:hAnsi="宋体" w:cs="宋体"/>
                <w:kern w:val="0"/>
                <w:sz w:val="24"/>
              </w:rPr>
            </w:pPr>
          </w:p>
        </w:tc>
        <w:tc>
          <w:tcPr>
            <w:tcW w:w="3557" w:type="dxa"/>
            <w:tcBorders>
              <w:top w:val="single" w:color="auto" w:sz="4" w:space="0"/>
              <w:left w:val="nil"/>
              <w:bottom w:val="single" w:color="auto" w:sz="4" w:space="0"/>
              <w:right w:val="single" w:color="auto" w:sz="4" w:space="0"/>
            </w:tcBorders>
            <w:vAlign w:val="center"/>
          </w:tcPr>
          <w:p w14:paraId="1A673D2E">
            <w:pPr>
              <w:widowControl/>
              <w:jc w:val="center"/>
              <w:rPr>
                <w:rFonts w:ascii="宋体" w:hAnsi="宋体" w:cs="宋体"/>
                <w:kern w:val="0"/>
                <w:sz w:val="24"/>
              </w:rPr>
            </w:pPr>
            <w:r>
              <w:rPr>
                <w:rFonts w:hint="eastAsia" w:ascii="宋体" w:hAnsi="宋体" w:cs="宋体"/>
                <w:kern w:val="0"/>
                <w:sz w:val="24"/>
              </w:rPr>
              <w:t>花卉风情小镇</w:t>
            </w:r>
          </w:p>
        </w:tc>
        <w:tc>
          <w:tcPr>
            <w:tcW w:w="1330" w:type="dxa"/>
            <w:tcBorders>
              <w:top w:val="single" w:color="auto" w:sz="4" w:space="0"/>
              <w:left w:val="nil"/>
              <w:bottom w:val="single" w:color="auto" w:sz="4" w:space="0"/>
              <w:right w:val="single" w:color="auto" w:sz="4" w:space="0"/>
            </w:tcBorders>
            <w:vAlign w:val="center"/>
          </w:tcPr>
          <w:p w14:paraId="05A2C2D7">
            <w:pPr>
              <w:widowControl/>
              <w:jc w:val="center"/>
              <w:rPr>
                <w:kern w:val="0"/>
                <w:sz w:val="24"/>
              </w:rPr>
            </w:pPr>
            <w:r>
              <w:rPr>
                <w:rFonts w:hint="eastAsia"/>
                <w:kern w:val="0"/>
                <w:sz w:val="24"/>
              </w:rPr>
              <w:t>3~5</w:t>
            </w:r>
            <w:r>
              <w:rPr>
                <w:rFonts w:hint="eastAsia" w:ascii="宋体" w:hAnsi="宋体"/>
                <w:kern w:val="0"/>
                <w:sz w:val="24"/>
              </w:rPr>
              <w:t>处</w:t>
            </w:r>
          </w:p>
        </w:tc>
        <w:tc>
          <w:tcPr>
            <w:tcW w:w="1532" w:type="dxa"/>
            <w:tcBorders>
              <w:top w:val="single" w:color="auto" w:sz="4" w:space="0"/>
              <w:left w:val="nil"/>
              <w:bottom w:val="single" w:color="auto" w:sz="4" w:space="0"/>
              <w:right w:val="single" w:color="auto" w:sz="4" w:space="0"/>
            </w:tcBorders>
            <w:vAlign w:val="center"/>
          </w:tcPr>
          <w:p w14:paraId="50195D43">
            <w:pPr>
              <w:widowControl/>
              <w:jc w:val="center"/>
              <w:rPr>
                <w:rFonts w:ascii="宋体" w:hAnsi="宋体" w:cs="宋体"/>
                <w:kern w:val="0"/>
                <w:sz w:val="24"/>
              </w:rPr>
            </w:pPr>
            <w:r>
              <w:rPr>
                <w:rFonts w:hint="eastAsia" w:ascii="宋体" w:hAnsi="宋体" w:cs="宋体"/>
                <w:kern w:val="0"/>
                <w:sz w:val="24"/>
              </w:rPr>
              <w:t>续建</w:t>
            </w:r>
          </w:p>
        </w:tc>
        <w:tc>
          <w:tcPr>
            <w:tcW w:w="1317" w:type="dxa"/>
            <w:tcBorders>
              <w:top w:val="single" w:color="auto" w:sz="4" w:space="0"/>
              <w:left w:val="nil"/>
              <w:bottom w:val="single" w:color="auto" w:sz="4" w:space="0"/>
              <w:right w:val="single" w:color="auto" w:sz="4" w:space="0"/>
            </w:tcBorders>
            <w:vAlign w:val="center"/>
          </w:tcPr>
          <w:p w14:paraId="781BC527">
            <w:pPr>
              <w:widowControl/>
              <w:jc w:val="center"/>
              <w:rPr>
                <w:kern w:val="0"/>
                <w:sz w:val="24"/>
              </w:rPr>
            </w:pPr>
            <w:r>
              <w:rPr>
                <w:rFonts w:hint="eastAsia"/>
                <w:kern w:val="0"/>
                <w:sz w:val="24"/>
              </w:rPr>
              <w:t>2</w:t>
            </w:r>
            <w:r>
              <w:rPr>
                <w:kern w:val="0"/>
                <w:sz w:val="24"/>
              </w:rPr>
              <w:t>0000</w:t>
            </w:r>
          </w:p>
        </w:tc>
        <w:tc>
          <w:tcPr>
            <w:tcW w:w="1276" w:type="dxa"/>
            <w:tcBorders>
              <w:top w:val="single" w:color="auto" w:sz="4" w:space="0"/>
              <w:left w:val="nil"/>
              <w:bottom w:val="single" w:color="auto" w:sz="4" w:space="0"/>
              <w:right w:val="single" w:color="auto" w:sz="4" w:space="0"/>
            </w:tcBorders>
            <w:vAlign w:val="center"/>
          </w:tcPr>
          <w:p w14:paraId="5C6765FF">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tcBorders>
              <w:top w:val="single" w:color="auto" w:sz="4" w:space="0"/>
              <w:left w:val="nil"/>
              <w:bottom w:val="single" w:color="auto" w:sz="4" w:space="0"/>
              <w:right w:val="single" w:color="auto" w:sz="4" w:space="0"/>
            </w:tcBorders>
            <w:vAlign w:val="center"/>
          </w:tcPr>
          <w:p w14:paraId="05C0D928">
            <w:pPr>
              <w:widowControl/>
              <w:jc w:val="center"/>
              <w:rPr>
                <w:rFonts w:ascii="宋体" w:hAnsi="宋体" w:cs="宋体"/>
                <w:kern w:val="0"/>
                <w:sz w:val="24"/>
              </w:rPr>
            </w:pPr>
            <w:r>
              <w:rPr>
                <w:rFonts w:hint="eastAsia" w:ascii="宋体" w:hAnsi="宋体" w:cs="宋体"/>
                <w:kern w:val="0"/>
                <w:sz w:val="24"/>
              </w:rPr>
              <w:t>美丽乡村等</w:t>
            </w:r>
          </w:p>
        </w:tc>
      </w:tr>
      <w:tr w14:paraId="3ADF78DA">
        <w:tblPrEx>
          <w:tblCellMar>
            <w:top w:w="0" w:type="dxa"/>
            <w:left w:w="108" w:type="dxa"/>
            <w:bottom w:w="0" w:type="dxa"/>
            <w:right w:w="108" w:type="dxa"/>
          </w:tblCellMar>
        </w:tblPrEx>
        <w:trPr>
          <w:trHeight w:val="285" w:hRule="atLeast"/>
        </w:trPr>
        <w:tc>
          <w:tcPr>
            <w:tcW w:w="866" w:type="dxa"/>
            <w:vMerge w:val="continue"/>
            <w:tcBorders>
              <w:top w:val="nil"/>
              <w:left w:val="single" w:color="auto" w:sz="4" w:space="0"/>
              <w:bottom w:val="single" w:color="000000" w:sz="4" w:space="0"/>
              <w:right w:val="single" w:color="auto" w:sz="4" w:space="0"/>
            </w:tcBorders>
            <w:vAlign w:val="center"/>
          </w:tcPr>
          <w:p w14:paraId="03F43D1E">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4BD9530F">
            <w:pPr>
              <w:widowControl/>
              <w:jc w:val="left"/>
              <w:rPr>
                <w:rFonts w:ascii="宋体" w:hAnsi="宋体" w:cs="宋体"/>
                <w:kern w:val="0"/>
                <w:sz w:val="24"/>
              </w:rPr>
            </w:pPr>
          </w:p>
        </w:tc>
        <w:tc>
          <w:tcPr>
            <w:tcW w:w="3557" w:type="dxa"/>
            <w:tcBorders>
              <w:top w:val="single" w:color="auto" w:sz="4" w:space="0"/>
              <w:left w:val="nil"/>
              <w:bottom w:val="single" w:color="auto" w:sz="4" w:space="0"/>
              <w:right w:val="single" w:color="auto" w:sz="4" w:space="0"/>
            </w:tcBorders>
            <w:vAlign w:val="center"/>
          </w:tcPr>
          <w:p w14:paraId="6B5431E6">
            <w:pPr>
              <w:widowControl/>
              <w:jc w:val="center"/>
              <w:rPr>
                <w:rFonts w:hint="eastAsia" w:ascii="宋体" w:hAnsi="宋体" w:cs="宋体"/>
                <w:kern w:val="0"/>
                <w:sz w:val="24"/>
              </w:rPr>
            </w:pPr>
            <w:r>
              <w:rPr>
                <w:rFonts w:hint="eastAsia" w:ascii="宋体" w:hAnsi="宋体" w:cs="宋体"/>
                <w:kern w:val="0"/>
                <w:sz w:val="24"/>
              </w:rPr>
              <w:t>南丁花卉生态村</w:t>
            </w:r>
          </w:p>
        </w:tc>
        <w:tc>
          <w:tcPr>
            <w:tcW w:w="1330" w:type="dxa"/>
            <w:tcBorders>
              <w:top w:val="single" w:color="auto" w:sz="4" w:space="0"/>
              <w:left w:val="nil"/>
              <w:bottom w:val="single" w:color="auto" w:sz="4" w:space="0"/>
              <w:right w:val="single" w:color="auto" w:sz="4" w:space="0"/>
            </w:tcBorders>
            <w:vAlign w:val="center"/>
          </w:tcPr>
          <w:p w14:paraId="180B4163">
            <w:pPr>
              <w:widowControl/>
              <w:jc w:val="center"/>
              <w:rPr>
                <w:kern w:val="0"/>
                <w:sz w:val="24"/>
              </w:rPr>
            </w:pPr>
            <w:r>
              <w:rPr>
                <w:rFonts w:hint="eastAsia"/>
                <w:kern w:val="0"/>
                <w:sz w:val="24"/>
              </w:rPr>
              <w:t>500</w:t>
            </w:r>
            <w:r>
              <w:rPr>
                <w:kern w:val="0"/>
                <w:sz w:val="24"/>
              </w:rPr>
              <w:t xml:space="preserve"> hm</w:t>
            </w:r>
            <w:r>
              <w:rPr>
                <w:kern w:val="0"/>
                <w:sz w:val="24"/>
                <w:vertAlign w:val="superscript"/>
              </w:rPr>
              <w:t>2</w:t>
            </w:r>
          </w:p>
        </w:tc>
        <w:tc>
          <w:tcPr>
            <w:tcW w:w="1532" w:type="dxa"/>
            <w:tcBorders>
              <w:top w:val="single" w:color="auto" w:sz="4" w:space="0"/>
              <w:left w:val="nil"/>
              <w:bottom w:val="single" w:color="auto" w:sz="4" w:space="0"/>
              <w:right w:val="single" w:color="auto" w:sz="4" w:space="0"/>
            </w:tcBorders>
            <w:vAlign w:val="center"/>
          </w:tcPr>
          <w:p w14:paraId="02D83E1F">
            <w:pPr>
              <w:widowControl/>
              <w:jc w:val="center"/>
              <w:rPr>
                <w:rFonts w:hint="eastAsia" w:ascii="宋体" w:hAnsi="宋体" w:cs="宋体"/>
                <w:kern w:val="0"/>
                <w:sz w:val="24"/>
              </w:rPr>
            </w:pPr>
            <w:r>
              <w:rPr>
                <w:rFonts w:hint="eastAsia" w:ascii="宋体" w:hAnsi="宋体" w:cs="宋体"/>
                <w:kern w:val="0"/>
                <w:sz w:val="24"/>
              </w:rPr>
              <w:t>新建</w:t>
            </w:r>
          </w:p>
        </w:tc>
        <w:tc>
          <w:tcPr>
            <w:tcW w:w="1317" w:type="dxa"/>
            <w:tcBorders>
              <w:top w:val="single" w:color="auto" w:sz="4" w:space="0"/>
              <w:left w:val="nil"/>
              <w:bottom w:val="single" w:color="auto" w:sz="4" w:space="0"/>
              <w:right w:val="single" w:color="auto" w:sz="4" w:space="0"/>
            </w:tcBorders>
            <w:vAlign w:val="center"/>
          </w:tcPr>
          <w:p w14:paraId="3CD3E5DB">
            <w:pPr>
              <w:widowControl/>
              <w:jc w:val="center"/>
              <w:rPr>
                <w:kern w:val="0"/>
                <w:sz w:val="24"/>
              </w:rPr>
            </w:pPr>
            <w:r>
              <w:rPr>
                <w:rFonts w:hint="eastAsia"/>
                <w:kern w:val="0"/>
                <w:sz w:val="24"/>
              </w:rPr>
              <w:t>70000</w:t>
            </w:r>
          </w:p>
        </w:tc>
        <w:tc>
          <w:tcPr>
            <w:tcW w:w="1276" w:type="dxa"/>
            <w:tcBorders>
              <w:top w:val="single" w:color="auto" w:sz="4" w:space="0"/>
              <w:left w:val="nil"/>
              <w:bottom w:val="single" w:color="auto" w:sz="4" w:space="0"/>
              <w:right w:val="single" w:color="auto" w:sz="4" w:space="0"/>
            </w:tcBorders>
            <w:vAlign w:val="center"/>
          </w:tcPr>
          <w:p w14:paraId="2825DE0D">
            <w:pPr>
              <w:widowControl/>
              <w:jc w:val="center"/>
              <w:rPr>
                <w:rFonts w:hint="eastAsia" w:ascii="宋体" w:hAnsi="宋体" w:cs="宋体"/>
                <w:kern w:val="0"/>
                <w:sz w:val="24"/>
              </w:rPr>
            </w:pPr>
            <w:r>
              <w:rPr>
                <w:rFonts w:hint="eastAsia" w:ascii="宋体" w:hAnsi="宋体" w:cs="宋体"/>
                <w:kern w:val="0"/>
                <w:sz w:val="24"/>
              </w:rPr>
              <w:t>社会投资</w:t>
            </w:r>
          </w:p>
        </w:tc>
        <w:tc>
          <w:tcPr>
            <w:tcW w:w="2551" w:type="dxa"/>
            <w:tcBorders>
              <w:top w:val="single" w:color="auto" w:sz="4" w:space="0"/>
              <w:left w:val="nil"/>
              <w:bottom w:val="single" w:color="auto" w:sz="4" w:space="0"/>
              <w:right w:val="single" w:color="auto" w:sz="4" w:space="0"/>
            </w:tcBorders>
            <w:vAlign w:val="center"/>
          </w:tcPr>
          <w:p w14:paraId="4FC45AE2">
            <w:pPr>
              <w:widowControl/>
              <w:jc w:val="center"/>
              <w:rPr>
                <w:rFonts w:hint="eastAsia" w:ascii="宋体" w:hAnsi="宋体" w:cs="宋体"/>
                <w:kern w:val="0"/>
                <w:sz w:val="24"/>
              </w:rPr>
            </w:pPr>
            <w:r>
              <w:rPr>
                <w:rFonts w:hint="eastAsia" w:ascii="宋体" w:hAnsi="宋体" w:cs="宋体"/>
                <w:kern w:val="0"/>
                <w:sz w:val="24"/>
              </w:rPr>
              <w:t>吉阳区</w:t>
            </w:r>
          </w:p>
        </w:tc>
      </w:tr>
      <w:tr w14:paraId="67795CDD">
        <w:tblPrEx>
          <w:tblCellMar>
            <w:top w:w="0" w:type="dxa"/>
            <w:left w:w="108" w:type="dxa"/>
            <w:bottom w:w="0" w:type="dxa"/>
            <w:right w:w="108" w:type="dxa"/>
          </w:tblCellMar>
        </w:tblPrEx>
        <w:trPr>
          <w:trHeight w:val="300" w:hRule="atLeast"/>
        </w:trPr>
        <w:tc>
          <w:tcPr>
            <w:tcW w:w="866" w:type="dxa"/>
            <w:vMerge w:val="continue"/>
            <w:tcBorders>
              <w:top w:val="nil"/>
              <w:left w:val="single" w:color="auto" w:sz="4" w:space="0"/>
              <w:bottom w:val="single" w:color="000000" w:sz="4" w:space="0"/>
              <w:right w:val="single" w:color="auto" w:sz="4" w:space="0"/>
            </w:tcBorders>
            <w:vAlign w:val="center"/>
          </w:tcPr>
          <w:p w14:paraId="2A2C1A7D">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7900F856">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3543EDA9">
            <w:pPr>
              <w:widowControl/>
              <w:jc w:val="center"/>
              <w:rPr>
                <w:rFonts w:ascii="宋体" w:hAnsi="宋体" w:cs="宋体"/>
                <w:kern w:val="0"/>
                <w:sz w:val="24"/>
              </w:rPr>
            </w:pPr>
            <w:r>
              <w:rPr>
                <w:rFonts w:hint="eastAsia" w:ascii="宋体" w:hAnsi="宋体" w:cs="宋体"/>
                <w:kern w:val="0"/>
                <w:sz w:val="24"/>
              </w:rPr>
              <w:t>林产品交易中心</w:t>
            </w:r>
          </w:p>
        </w:tc>
        <w:tc>
          <w:tcPr>
            <w:tcW w:w="1330" w:type="dxa"/>
            <w:tcBorders>
              <w:top w:val="nil"/>
              <w:left w:val="nil"/>
              <w:bottom w:val="single" w:color="auto" w:sz="4" w:space="0"/>
              <w:right w:val="single" w:color="auto" w:sz="4" w:space="0"/>
            </w:tcBorders>
            <w:vAlign w:val="center"/>
          </w:tcPr>
          <w:p w14:paraId="0A012DF6">
            <w:pPr>
              <w:widowControl/>
              <w:jc w:val="center"/>
              <w:rPr>
                <w:kern w:val="0"/>
                <w:sz w:val="24"/>
              </w:rPr>
            </w:pPr>
            <w:r>
              <w:rPr>
                <w:kern w:val="0"/>
                <w:sz w:val="24"/>
              </w:rPr>
              <w:t>66.7hm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6A4CE75E">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2354F969">
            <w:pPr>
              <w:widowControl/>
              <w:jc w:val="center"/>
              <w:rPr>
                <w:kern w:val="0"/>
                <w:sz w:val="24"/>
              </w:rPr>
            </w:pPr>
            <w:r>
              <w:rPr>
                <w:kern w:val="0"/>
                <w:sz w:val="24"/>
              </w:rPr>
              <w:t>50000</w:t>
            </w:r>
          </w:p>
        </w:tc>
        <w:tc>
          <w:tcPr>
            <w:tcW w:w="1276" w:type="dxa"/>
            <w:tcBorders>
              <w:top w:val="nil"/>
              <w:left w:val="nil"/>
              <w:bottom w:val="single" w:color="auto" w:sz="4" w:space="0"/>
              <w:right w:val="single" w:color="auto" w:sz="4" w:space="0"/>
            </w:tcBorders>
            <w:vAlign w:val="center"/>
          </w:tcPr>
          <w:p w14:paraId="0DF0F914">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restart"/>
            <w:tcBorders>
              <w:top w:val="nil"/>
              <w:left w:val="single" w:color="auto" w:sz="4" w:space="0"/>
              <w:bottom w:val="single" w:color="auto" w:sz="4" w:space="0"/>
              <w:right w:val="single" w:color="auto" w:sz="4" w:space="0"/>
            </w:tcBorders>
            <w:vAlign w:val="center"/>
          </w:tcPr>
          <w:p w14:paraId="70903620">
            <w:pPr>
              <w:widowControl/>
              <w:jc w:val="center"/>
              <w:rPr>
                <w:rFonts w:ascii="宋体" w:hAnsi="宋体" w:cs="宋体"/>
                <w:kern w:val="0"/>
                <w:sz w:val="24"/>
              </w:rPr>
            </w:pPr>
            <w:r>
              <w:rPr>
                <w:rFonts w:hint="eastAsia" w:ascii="宋体" w:hAnsi="宋体" w:cs="宋体"/>
                <w:kern w:val="0"/>
                <w:sz w:val="24"/>
              </w:rPr>
              <w:t>天涯区</w:t>
            </w:r>
          </w:p>
        </w:tc>
      </w:tr>
      <w:tr w14:paraId="116E6017">
        <w:tblPrEx>
          <w:tblCellMar>
            <w:top w:w="0" w:type="dxa"/>
            <w:left w:w="108" w:type="dxa"/>
            <w:bottom w:w="0" w:type="dxa"/>
            <w:right w:w="108" w:type="dxa"/>
          </w:tblCellMar>
        </w:tblPrEx>
        <w:trPr>
          <w:trHeight w:val="285" w:hRule="atLeast"/>
        </w:trPr>
        <w:tc>
          <w:tcPr>
            <w:tcW w:w="866" w:type="dxa"/>
            <w:vMerge w:val="continue"/>
            <w:tcBorders>
              <w:top w:val="nil"/>
              <w:left w:val="single" w:color="auto" w:sz="4" w:space="0"/>
              <w:bottom w:val="single" w:color="000000" w:sz="4" w:space="0"/>
              <w:right w:val="single" w:color="auto" w:sz="4" w:space="0"/>
            </w:tcBorders>
            <w:vAlign w:val="center"/>
          </w:tcPr>
          <w:p w14:paraId="35EC7236">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4AE658FC">
            <w:pPr>
              <w:widowControl/>
              <w:jc w:val="left"/>
              <w:rPr>
                <w:rFonts w:ascii="宋体" w:hAnsi="宋体" w:cs="宋体"/>
                <w:kern w:val="0"/>
                <w:sz w:val="24"/>
              </w:rPr>
            </w:pPr>
          </w:p>
        </w:tc>
        <w:tc>
          <w:tcPr>
            <w:tcW w:w="3557" w:type="dxa"/>
            <w:tcBorders>
              <w:top w:val="nil"/>
              <w:left w:val="nil"/>
              <w:bottom w:val="single" w:color="auto" w:sz="4" w:space="0"/>
              <w:right w:val="single" w:color="auto" w:sz="4" w:space="0"/>
            </w:tcBorders>
            <w:vAlign w:val="center"/>
          </w:tcPr>
          <w:p w14:paraId="01F08D73">
            <w:pPr>
              <w:widowControl/>
              <w:jc w:val="center"/>
              <w:rPr>
                <w:rFonts w:ascii="宋体" w:hAnsi="宋体" w:cs="宋体"/>
                <w:kern w:val="0"/>
                <w:sz w:val="24"/>
              </w:rPr>
            </w:pPr>
            <w:r>
              <w:rPr>
                <w:rFonts w:hint="eastAsia" w:ascii="宋体" w:hAnsi="宋体" w:cs="宋体"/>
                <w:kern w:val="0"/>
                <w:sz w:val="24"/>
              </w:rPr>
              <w:t>会展中心</w:t>
            </w:r>
          </w:p>
        </w:tc>
        <w:tc>
          <w:tcPr>
            <w:tcW w:w="1330" w:type="dxa"/>
            <w:tcBorders>
              <w:top w:val="nil"/>
              <w:left w:val="nil"/>
              <w:bottom w:val="single" w:color="auto" w:sz="4" w:space="0"/>
              <w:right w:val="single" w:color="auto" w:sz="4" w:space="0"/>
            </w:tcBorders>
            <w:vAlign w:val="center"/>
          </w:tcPr>
          <w:p w14:paraId="046F1659">
            <w:pPr>
              <w:widowControl/>
              <w:jc w:val="center"/>
              <w:rPr>
                <w:kern w:val="0"/>
                <w:sz w:val="24"/>
              </w:rPr>
            </w:pPr>
            <w:r>
              <w:rPr>
                <w:kern w:val="0"/>
                <w:sz w:val="24"/>
              </w:rPr>
              <w:t>6.7hm</w:t>
            </w:r>
            <w:r>
              <w:rPr>
                <w:kern w:val="0"/>
                <w:sz w:val="24"/>
                <w:vertAlign w:val="superscript"/>
              </w:rPr>
              <w:t>2</w:t>
            </w:r>
          </w:p>
        </w:tc>
        <w:tc>
          <w:tcPr>
            <w:tcW w:w="1532" w:type="dxa"/>
            <w:tcBorders>
              <w:top w:val="nil"/>
              <w:left w:val="nil"/>
              <w:bottom w:val="single" w:color="auto" w:sz="4" w:space="0"/>
              <w:right w:val="single" w:color="auto" w:sz="4" w:space="0"/>
            </w:tcBorders>
            <w:vAlign w:val="center"/>
          </w:tcPr>
          <w:p w14:paraId="34B91633">
            <w:pPr>
              <w:widowControl/>
              <w:jc w:val="center"/>
              <w:rPr>
                <w:rFonts w:ascii="宋体" w:hAnsi="宋体" w:cs="宋体"/>
                <w:kern w:val="0"/>
                <w:sz w:val="24"/>
              </w:rPr>
            </w:pPr>
            <w:r>
              <w:rPr>
                <w:rFonts w:hint="eastAsia" w:ascii="宋体" w:hAnsi="宋体" w:cs="宋体"/>
                <w:kern w:val="0"/>
                <w:sz w:val="24"/>
              </w:rPr>
              <w:t>新建</w:t>
            </w:r>
          </w:p>
        </w:tc>
        <w:tc>
          <w:tcPr>
            <w:tcW w:w="1317" w:type="dxa"/>
            <w:tcBorders>
              <w:top w:val="nil"/>
              <w:left w:val="nil"/>
              <w:bottom w:val="single" w:color="auto" w:sz="4" w:space="0"/>
              <w:right w:val="single" w:color="auto" w:sz="4" w:space="0"/>
            </w:tcBorders>
            <w:vAlign w:val="center"/>
          </w:tcPr>
          <w:p w14:paraId="3B956009">
            <w:pPr>
              <w:widowControl/>
              <w:jc w:val="center"/>
              <w:rPr>
                <w:kern w:val="0"/>
                <w:sz w:val="24"/>
              </w:rPr>
            </w:pPr>
            <w:r>
              <w:rPr>
                <w:kern w:val="0"/>
                <w:sz w:val="24"/>
              </w:rPr>
              <w:t>10000</w:t>
            </w:r>
          </w:p>
        </w:tc>
        <w:tc>
          <w:tcPr>
            <w:tcW w:w="1276" w:type="dxa"/>
            <w:tcBorders>
              <w:top w:val="nil"/>
              <w:left w:val="nil"/>
              <w:bottom w:val="single" w:color="auto" w:sz="4" w:space="0"/>
              <w:right w:val="single" w:color="auto" w:sz="4" w:space="0"/>
            </w:tcBorders>
            <w:vAlign w:val="center"/>
          </w:tcPr>
          <w:p w14:paraId="6C9208BB">
            <w:pPr>
              <w:widowControl/>
              <w:jc w:val="center"/>
              <w:rPr>
                <w:rFonts w:ascii="宋体" w:hAnsi="宋体" w:cs="宋体"/>
                <w:kern w:val="0"/>
                <w:sz w:val="24"/>
              </w:rPr>
            </w:pPr>
            <w:r>
              <w:rPr>
                <w:rFonts w:hint="eastAsia" w:ascii="宋体" w:hAnsi="宋体" w:cs="宋体"/>
                <w:kern w:val="0"/>
                <w:sz w:val="24"/>
              </w:rPr>
              <w:t>政府投资社会投资</w:t>
            </w:r>
          </w:p>
        </w:tc>
        <w:tc>
          <w:tcPr>
            <w:tcW w:w="2551" w:type="dxa"/>
            <w:vMerge w:val="continue"/>
            <w:tcBorders>
              <w:top w:val="nil"/>
              <w:left w:val="single" w:color="auto" w:sz="4" w:space="0"/>
              <w:bottom w:val="single" w:color="auto" w:sz="4" w:space="0"/>
              <w:right w:val="single" w:color="auto" w:sz="4" w:space="0"/>
            </w:tcBorders>
            <w:vAlign w:val="center"/>
          </w:tcPr>
          <w:p w14:paraId="3965CCCB">
            <w:pPr>
              <w:widowControl/>
              <w:jc w:val="left"/>
              <w:rPr>
                <w:rFonts w:ascii="宋体" w:hAnsi="宋体" w:cs="宋体"/>
                <w:kern w:val="0"/>
                <w:sz w:val="24"/>
              </w:rPr>
            </w:pPr>
          </w:p>
        </w:tc>
      </w:tr>
      <w:tr w14:paraId="36B0BFCE">
        <w:tblPrEx>
          <w:tblCellMar>
            <w:top w:w="0" w:type="dxa"/>
            <w:left w:w="108" w:type="dxa"/>
            <w:bottom w:w="0" w:type="dxa"/>
            <w:right w:w="108" w:type="dxa"/>
          </w:tblCellMar>
        </w:tblPrEx>
        <w:trPr>
          <w:trHeight w:val="386" w:hRule="atLeast"/>
        </w:trPr>
        <w:tc>
          <w:tcPr>
            <w:tcW w:w="866" w:type="dxa"/>
            <w:vMerge w:val="continue"/>
            <w:tcBorders>
              <w:top w:val="nil"/>
              <w:left w:val="single" w:color="auto" w:sz="4" w:space="0"/>
              <w:bottom w:val="single" w:color="000000" w:sz="4" w:space="0"/>
              <w:right w:val="single" w:color="auto" w:sz="4" w:space="0"/>
            </w:tcBorders>
            <w:vAlign w:val="center"/>
          </w:tcPr>
          <w:p w14:paraId="52690BC0">
            <w:pPr>
              <w:widowControl/>
              <w:jc w:val="left"/>
              <w:rPr>
                <w:kern w:val="0"/>
                <w:sz w:val="24"/>
              </w:rPr>
            </w:pPr>
          </w:p>
        </w:tc>
        <w:tc>
          <w:tcPr>
            <w:tcW w:w="5103" w:type="dxa"/>
            <w:gridSpan w:val="2"/>
            <w:tcBorders>
              <w:top w:val="single" w:color="auto" w:sz="4" w:space="0"/>
              <w:left w:val="nil"/>
              <w:bottom w:val="single" w:color="auto" w:sz="4" w:space="0"/>
              <w:right w:val="single" w:color="auto" w:sz="4" w:space="0"/>
            </w:tcBorders>
            <w:vAlign w:val="center"/>
          </w:tcPr>
          <w:p w14:paraId="22F4A3D6">
            <w:pPr>
              <w:widowControl/>
              <w:jc w:val="center"/>
              <w:rPr>
                <w:rFonts w:ascii="宋体" w:hAnsi="宋体" w:cs="宋体"/>
                <w:b/>
                <w:bCs/>
                <w:kern w:val="0"/>
                <w:sz w:val="24"/>
              </w:rPr>
            </w:pPr>
            <w:r>
              <w:rPr>
                <w:rFonts w:hint="eastAsia" w:ascii="宋体" w:hAnsi="宋体" w:cs="宋体"/>
                <w:b/>
                <w:bCs/>
                <w:kern w:val="0"/>
                <w:sz w:val="24"/>
              </w:rPr>
              <w:t>小计</w:t>
            </w:r>
          </w:p>
        </w:tc>
        <w:tc>
          <w:tcPr>
            <w:tcW w:w="1330" w:type="dxa"/>
            <w:tcBorders>
              <w:top w:val="nil"/>
              <w:left w:val="nil"/>
              <w:bottom w:val="single" w:color="auto" w:sz="4" w:space="0"/>
              <w:right w:val="single" w:color="auto" w:sz="4" w:space="0"/>
            </w:tcBorders>
            <w:vAlign w:val="center"/>
          </w:tcPr>
          <w:p w14:paraId="1E3E0F7A">
            <w:pPr>
              <w:widowControl/>
              <w:jc w:val="center"/>
              <w:rPr>
                <w:rFonts w:ascii="宋体" w:hAnsi="宋体" w:cs="宋体"/>
                <w:b/>
                <w:bCs/>
                <w:kern w:val="0"/>
                <w:sz w:val="24"/>
              </w:rPr>
            </w:pPr>
            <w:r>
              <w:rPr>
                <w:rFonts w:hint="eastAsia" w:ascii="宋体" w:hAnsi="宋体" w:cs="宋体"/>
                <w:b/>
                <w:bCs/>
                <w:kern w:val="0"/>
                <w:sz w:val="24"/>
              </w:rPr>
              <w:t>　</w:t>
            </w:r>
          </w:p>
        </w:tc>
        <w:tc>
          <w:tcPr>
            <w:tcW w:w="1532" w:type="dxa"/>
            <w:tcBorders>
              <w:top w:val="nil"/>
              <w:left w:val="nil"/>
              <w:bottom w:val="single" w:color="auto" w:sz="4" w:space="0"/>
              <w:right w:val="single" w:color="auto" w:sz="4" w:space="0"/>
            </w:tcBorders>
            <w:noWrap/>
            <w:vAlign w:val="center"/>
          </w:tcPr>
          <w:p w14:paraId="4DE480C7">
            <w:pPr>
              <w:widowControl/>
              <w:jc w:val="center"/>
              <w:rPr>
                <w:b/>
                <w:bCs/>
                <w:kern w:val="0"/>
                <w:sz w:val="24"/>
              </w:rPr>
            </w:pPr>
            <w:r>
              <w:rPr>
                <w:b/>
                <w:bCs/>
                <w:kern w:val="0"/>
                <w:sz w:val="24"/>
              </w:rPr>
              <w:t>　</w:t>
            </w:r>
          </w:p>
        </w:tc>
        <w:tc>
          <w:tcPr>
            <w:tcW w:w="1317" w:type="dxa"/>
            <w:tcBorders>
              <w:top w:val="nil"/>
              <w:left w:val="nil"/>
              <w:bottom w:val="single" w:color="auto" w:sz="4" w:space="0"/>
              <w:right w:val="single" w:color="auto" w:sz="4" w:space="0"/>
            </w:tcBorders>
            <w:noWrap/>
            <w:vAlign w:val="center"/>
          </w:tcPr>
          <w:p w14:paraId="522D3ABE">
            <w:pPr>
              <w:widowControl/>
              <w:jc w:val="center"/>
              <w:rPr>
                <w:b/>
                <w:bCs/>
                <w:kern w:val="0"/>
                <w:sz w:val="24"/>
              </w:rPr>
            </w:pPr>
            <w:r>
              <w:rPr>
                <w:rFonts w:hint="eastAsia"/>
                <w:b/>
                <w:bCs/>
                <w:kern w:val="0"/>
                <w:sz w:val="24"/>
              </w:rPr>
              <w:t>20</w:t>
            </w:r>
            <w:r>
              <w:rPr>
                <w:b/>
                <w:bCs/>
                <w:kern w:val="0"/>
                <w:sz w:val="24"/>
              </w:rPr>
              <w:t>4000</w:t>
            </w:r>
          </w:p>
        </w:tc>
        <w:tc>
          <w:tcPr>
            <w:tcW w:w="1276" w:type="dxa"/>
            <w:tcBorders>
              <w:top w:val="nil"/>
              <w:left w:val="nil"/>
              <w:bottom w:val="single" w:color="auto" w:sz="4" w:space="0"/>
              <w:right w:val="single" w:color="auto" w:sz="4" w:space="0"/>
            </w:tcBorders>
            <w:noWrap/>
            <w:vAlign w:val="center"/>
          </w:tcPr>
          <w:p w14:paraId="2C336CCE">
            <w:pPr>
              <w:widowControl/>
              <w:jc w:val="center"/>
              <w:rPr>
                <w:rFonts w:ascii="宋体" w:hAnsi="宋体" w:cs="宋体"/>
                <w:kern w:val="0"/>
                <w:sz w:val="24"/>
              </w:rPr>
            </w:pPr>
            <w:r>
              <w:rPr>
                <w:rFonts w:hint="eastAsia" w:ascii="宋体" w:hAnsi="宋体" w:cs="宋体"/>
                <w:kern w:val="0"/>
                <w:sz w:val="24"/>
              </w:rPr>
              <w:t>　</w:t>
            </w:r>
          </w:p>
        </w:tc>
        <w:tc>
          <w:tcPr>
            <w:tcW w:w="2551" w:type="dxa"/>
            <w:tcBorders>
              <w:top w:val="nil"/>
              <w:left w:val="nil"/>
              <w:bottom w:val="single" w:color="auto" w:sz="4" w:space="0"/>
              <w:right w:val="single" w:color="auto" w:sz="4" w:space="0"/>
            </w:tcBorders>
            <w:noWrap/>
            <w:vAlign w:val="center"/>
          </w:tcPr>
          <w:p w14:paraId="4BE1F640">
            <w:pPr>
              <w:widowControl/>
              <w:jc w:val="center"/>
              <w:rPr>
                <w:rFonts w:ascii="宋体" w:hAnsi="宋体" w:cs="宋体"/>
                <w:kern w:val="0"/>
                <w:sz w:val="24"/>
              </w:rPr>
            </w:pPr>
            <w:r>
              <w:rPr>
                <w:rFonts w:hint="eastAsia" w:ascii="宋体" w:hAnsi="宋体" w:cs="宋体"/>
                <w:kern w:val="0"/>
                <w:sz w:val="24"/>
              </w:rPr>
              <w:t>　</w:t>
            </w:r>
          </w:p>
        </w:tc>
      </w:tr>
    </w:tbl>
    <w:p w14:paraId="35BB1169">
      <w:pPr>
        <w:rPr>
          <w:rFonts w:hint="eastAsia" w:ascii="仿宋_GB2312" w:eastAsia="仿宋_GB2312"/>
          <w:b/>
          <w:sz w:val="24"/>
        </w:rPr>
      </w:pPr>
    </w:p>
    <w:p w14:paraId="6497BF3C">
      <w:pPr>
        <w:rPr>
          <w:rFonts w:hint="eastAsia" w:ascii="仿宋_GB2312" w:eastAsia="仿宋_GB2312"/>
          <w:kern w:val="0"/>
          <w:sz w:val="40"/>
          <w:szCs w:val="32"/>
        </w:rPr>
        <w:sectPr>
          <w:pgSz w:w="16838" w:h="11906" w:orient="landscape"/>
          <w:pgMar w:top="1800" w:right="1440" w:bottom="1800" w:left="1440" w:header="851" w:footer="992" w:gutter="0"/>
          <w:cols w:space="720" w:num="1"/>
          <w:docGrid w:type="lines" w:linePitch="312" w:charSpace="0"/>
        </w:sectPr>
      </w:pPr>
      <w:r>
        <w:rPr>
          <w:rFonts w:hint="eastAsia" w:ascii="仿宋_GB2312" w:eastAsia="仿宋_GB2312"/>
          <w:b/>
          <w:sz w:val="24"/>
        </w:rPr>
        <w:t>注：</w:t>
      </w:r>
      <w:r>
        <w:rPr>
          <w:rFonts w:hint="eastAsia" w:ascii="仿宋_GB2312" w:eastAsia="仿宋_GB2312"/>
          <w:sz w:val="24"/>
        </w:rPr>
        <w:t>政府投资根据地方财力和批复资金为建设投资依据，社会投资根据市场和企业实际投入为建设投资依据。</w:t>
      </w:r>
    </w:p>
    <w:bookmarkEnd w:id="74"/>
    <w:p w14:paraId="2C9055B0">
      <w:pPr>
        <w:pStyle w:val="15"/>
        <w:spacing w:before="0"/>
        <w:rPr>
          <w:rFonts w:ascii="黑体" w:hAnsi="黑体" w:eastAsia="黑体"/>
          <w:sz w:val="36"/>
        </w:rPr>
      </w:pPr>
      <w:bookmarkStart w:id="91" w:name="_Toc82546087"/>
      <w:r>
        <w:rPr>
          <w:rFonts w:ascii="黑体" w:hAnsi="黑体" w:eastAsia="黑体"/>
          <w:sz w:val="36"/>
        </w:rPr>
        <w:t>第</w:t>
      </w:r>
      <w:r>
        <w:rPr>
          <w:rFonts w:hint="eastAsia" w:ascii="黑体" w:hAnsi="黑体" w:eastAsia="黑体"/>
          <w:sz w:val="36"/>
        </w:rPr>
        <w:t>八</w:t>
      </w:r>
      <w:r>
        <w:rPr>
          <w:rFonts w:ascii="黑体" w:hAnsi="黑体" w:eastAsia="黑体"/>
          <w:sz w:val="36"/>
        </w:rPr>
        <w:t>章 用材林产业规划</w:t>
      </w:r>
      <w:bookmarkEnd w:id="91"/>
    </w:p>
    <w:p w14:paraId="38340233">
      <w:pPr>
        <w:pStyle w:val="3"/>
        <w:spacing w:before="319" w:beforeLines="100" w:after="0" w:line="240" w:lineRule="auto"/>
        <w:rPr>
          <w:rFonts w:ascii="Times New Roman" w:hAnsi="Times New Roman" w:eastAsia="黑体"/>
        </w:rPr>
      </w:pPr>
      <w:bookmarkStart w:id="92" w:name="_Toc82546088"/>
      <w:r>
        <w:rPr>
          <w:rFonts w:hint="eastAsia" w:ascii="Times New Roman" w:hAnsi="Times New Roman" w:eastAsia="黑体"/>
        </w:rPr>
        <w:t>8</w:t>
      </w:r>
      <w:r>
        <w:rPr>
          <w:rFonts w:ascii="Times New Roman" w:hAnsi="Times New Roman" w:eastAsia="黑体"/>
        </w:rPr>
        <w:t>.1 产业现状</w:t>
      </w:r>
      <w:bookmarkEnd w:id="92"/>
    </w:p>
    <w:p w14:paraId="3E454062">
      <w:pPr>
        <w:spacing w:line="360" w:lineRule="auto"/>
        <w:ind w:firstLine="640" w:firstLineChars="200"/>
        <w:rPr>
          <w:rFonts w:eastAsia="仿宋_GB2312"/>
          <w:sz w:val="32"/>
          <w:szCs w:val="32"/>
        </w:rPr>
      </w:pPr>
      <w:r>
        <w:rPr>
          <w:rFonts w:eastAsia="仿宋_GB2312"/>
          <w:sz w:val="32"/>
          <w:szCs w:val="32"/>
        </w:rPr>
        <w:t>以生产木（竹）材和提供其他林特产品，获得最大经济产出等满足人类社会的经济需求为主体功能的森林、林地、林木，主要是提供能进入市场的经济产品。三亚市用材林主要分为一般用材林、短轮伐期用材林和林化原料林，一般用材林主要分布育才生态区和崖州区；短轮伐期用材林主要分布较广，全市均有分布；林化原料林主要分布育才生态区，海棠区次之。三亚市林地面积</w:t>
      </w:r>
      <w:r>
        <w:rPr>
          <w:rFonts w:hint="eastAsia" w:eastAsia="仿宋_GB2312"/>
          <w:sz w:val="32"/>
          <w:szCs w:val="32"/>
        </w:rPr>
        <w:t xml:space="preserve">136697 </w:t>
      </w:r>
      <w:r>
        <w:rPr>
          <w:rFonts w:eastAsia="仿宋_GB2312"/>
          <w:sz w:val="32"/>
          <w:szCs w:val="32"/>
        </w:rPr>
        <w:t>hm</w:t>
      </w:r>
      <w:r>
        <w:rPr>
          <w:rFonts w:eastAsia="仿宋_GB2312"/>
          <w:sz w:val="32"/>
          <w:szCs w:val="32"/>
          <w:vertAlign w:val="superscript"/>
        </w:rPr>
        <w:t>2</w:t>
      </w:r>
      <w:r>
        <w:rPr>
          <w:rFonts w:eastAsia="仿宋_GB2312"/>
          <w:sz w:val="32"/>
          <w:szCs w:val="32"/>
        </w:rPr>
        <w:t>，其中生态公益林面积76403.</w:t>
      </w:r>
      <w:r>
        <w:rPr>
          <w:rFonts w:hint="eastAsia" w:eastAsia="仿宋_GB2312"/>
          <w:sz w:val="32"/>
          <w:szCs w:val="32"/>
        </w:rPr>
        <w:t>7</w:t>
      </w:r>
      <w:r>
        <w:rPr>
          <w:rFonts w:eastAsia="仿宋_GB2312"/>
          <w:sz w:val="32"/>
          <w:szCs w:val="32"/>
        </w:rPr>
        <w:t xml:space="preserve"> hm</w:t>
      </w:r>
      <w:r>
        <w:rPr>
          <w:rFonts w:eastAsia="仿宋_GB2312"/>
          <w:sz w:val="32"/>
          <w:szCs w:val="32"/>
          <w:vertAlign w:val="superscript"/>
        </w:rPr>
        <w:t>2</w:t>
      </w:r>
      <w:r>
        <w:rPr>
          <w:rFonts w:eastAsia="仿宋_GB2312"/>
          <w:sz w:val="32"/>
          <w:szCs w:val="32"/>
        </w:rPr>
        <w:t>，占</w:t>
      </w:r>
      <w:r>
        <w:rPr>
          <w:rFonts w:hint="eastAsia" w:eastAsia="仿宋_GB2312"/>
          <w:sz w:val="32"/>
          <w:szCs w:val="32"/>
        </w:rPr>
        <w:t>55.89</w:t>
      </w:r>
      <w:r>
        <w:rPr>
          <w:rFonts w:eastAsia="仿宋_GB2312"/>
          <w:sz w:val="32"/>
          <w:szCs w:val="32"/>
        </w:rPr>
        <w:t>%，商品林地面积</w:t>
      </w:r>
      <w:r>
        <w:rPr>
          <w:rFonts w:hint="eastAsia" w:eastAsia="仿宋_GB2312"/>
          <w:sz w:val="32"/>
          <w:szCs w:val="32"/>
        </w:rPr>
        <w:t xml:space="preserve">60293.3 </w:t>
      </w:r>
      <w:r>
        <w:rPr>
          <w:rFonts w:eastAsia="仿宋_GB2312"/>
          <w:sz w:val="32"/>
          <w:szCs w:val="32"/>
        </w:rPr>
        <w:t>hm</w:t>
      </w:r>
      <w:r>
        <w:rPr>
          <w:rFonts w:eastAsia="仿宋_GB2312"/>
          <w:sz w:val="32"/>
          <w:szCs w:val="32"/>
          <w:vertAlign w:val="superscript"/>
        </w:rPr>
        <w:t>2</w:t>
      </w:r>
      <w:r>
        <w:rPr>
          <w:rFonts w:eastAsia="仿宋_GB2312"/>
          <w:sz w:val="32"/>
          <w:szCs w:val="32"/>
        </w:rPr>
        <w:t>，占比</w:t>
      </w:r>
      <w:r>
        <w:rPr>
          <w:rFonts w:hint="eastAsia" w:eastAsia="仿宋_GB2312"/>
          <w:sz w:val="32"/>
          <w:szCs w:val="32"/>
        </w:rPr>
        <w:t>44.11</w:t>
      </w:r>
      <w:r>
        <w:rPr>
          <w:rFonts w:eastAsia="仿宋_GB2312"/>
          <w:sz w:val="32"/>
          <w:szCs w:val="32"/>
        </w:rPr>
        <w:t>%。商品林按经营目的构成，用材林面积1555</w:t>
      </w:r>
      <w:r>
        <w:rPr>
          <w:rFonts w:hint="eastAsia" w:eastAsia="仿宋_GB2312"/>
          <w:sz w:val="32"/>
          <w:szCs w:val="32"/>
        </w:rPr>
        <w:t xml:space="preserve">4.9 </w:t>
      </w:r>
      <w:r>
        <w:rPr>
          <w:rFonts w:eastAsia="仿宋_GB2312"/>
          <w:sz w:val="32"/>
          <w:szCs w:val="32"/>
        </w:rPr>
        <w:t>hm</w:t>
      </w:r>
      <w:r>
        <w:rPr>
          <w:rFonts w:eastAsia="仿宋_GB2312"/>
          <w:sz w:val="32"/>
          <w:szCs w:val="32"/>
          <w:vertAlign w:val="superscript"/>
        </w:rPr>
        <w:t>2</w:t>
      </w:r>
      <w:r>
        <w:rPr>
          <w:rFonts w:eastAsia="仿宋_GB2312"/>
          <w:sz w:val="32"/>
          <w:szCs w:val="32"/>
        </w:rPr>
        <w:t>，占比25.8</w:t>
      </w:r>
      <w:r>
        <w:rPr>
          <w:rFonts w:hint="eastAsia" w:eastAsia="仿宋_GB2312"/>
          <w:sz w:val="32"/>
          <w:szCs w:val="32"/>
        </w:rPr>
        <w:t>0</w:t>
      </w:r>
      <w:r>
        <w:rPr>
          <w:rFonts w:eastAsia="仿宋_GB2312"/>
          <w:sz w:val="32"/>
          <w:szCs w:val="32"/>
        </w:rPr>
        <w:t>%，经济林41292.</w:t>
      </w:r>
      <w:r>
        <w:rPr>
          <w:rFonts w:hint="eastAsia" w:eastAsia="仿宋_GB2312"/>
          <w:sz w:val="32"/>
          <w:szCs w:val="32"/>
        </w:rPr>
        <w:t xml:space="preserve">3 </w:t>
      </w:r>
      <w:r>
        <w:rPr>
          <w:rFonts w:eastAsia="仿宋_GB2312"/>
          <w:sz w:val="32"/>
          <w:szCs w:val="32"/>
        </w:rPr>
        <w:t>hm</w:t>
      </w:r>
      <w:r>
        <w:rPr>
          <w:rFonts w:eastAsia="仿宋_GB2312"/>
          <w:sz w:val="32"/>
          <w:szCs w:val="32"/>
          <w:vertAlign w:val="superscript"/>
        </w:rPr>
        <w:t>2</w:t>
      </w:r>
      <w:r>
        <w:rPr>
          <w:rFonts w:eastAsia="仿宋_GB2312"/>
          <w:sz w:val="32"/>
          <w:szCs w:val="32"/>
        </w:rPr>
        <w:t>，占比68.49%，其它林地（包括疏林地、未成林地等）3446.</w:t>
      </w:r>
      <w:r>
        <w:rPr>
          <w:rFonts w:hint="eastAsia" w:eastAsia="仿宋_GB2312"/>
          <w:sz w:val="32"/>
          <w:szCs w:val="32"/>
        </w:rPr>
        <w:t>1</w:t>
      </w:r>
      <w:r>
        <w:rPr>
          <w:rFonts w:eastAsia="仿宋_GB2312"/>
          <w:sz w:val="32"/>
          <w:szCs w:val="32"/>
        </w:rPr>
        <w:t xml:space="preserve"> hm</w:t>
      </w:r>
      <w:r>
        <w:rPr>
          <w:rFonts w:eastAsia="仿宋_GB2312"/>
          <w:sz w:val="32"/>
          <w:szCs w:val="32"/>
          <w:vertAlign w:val="superscript"/>
        </w:rPr>
        <w:t>2</w:t>
      </w:r>
      <w:r>
        <w:rPr>
          <w:rFonts w:eastAsia="仿宋_GB2312"/>
          <w:sz w:val="32"/>
          <w:szCs w:val="32"/>
        </w:rPr>
        <w:t>，占比5.72%</w:t>
      </w:r>
      <w:r>
        <w:rPr>
          <w:rFonts w:hint="eastAsia" w:eastAsia="仿宋_GB2312"/>
          <w:sz w:val="32"/>
          <w:szCs w:val="32"/>
        </w:rPr>
        <w:t>（2</w:t>
      </w:r>
      <w:r>
        <w:rPr>
          <w:rFonts w:eastAsia="仿宋_GB2312"/>
          <w:sz w:val="32"/>
          <w:szCs w:val="32"/>
        </w:rPr>
        <w:t>018年度</w:t>
      </w:r>
      <w:r>
        <w:rPr>
          <w:rFonts w:hint="eastAsia" w:eastAsia="仿宋_GB2312"/>
          <w:sz w:val="32"/>
          <w:szCs w:val="32"/>
        </w:rPr>
        <w:t>森林资源管理“一张图”年度更新数据）</w:t>
      </w:r>
      <w:r>
        <w:rPr>
          <w:rFonts w:eastAsia="仿宋_GB2312"/>
          <w:sz w:val="32"/>
          <w:szCs w:val="32"/>
        </w:rPr>
        <w:t>。</w:t>
      </w:r>
    </w:p>
    <w:p w14:paraId="01C3D1FD">
      <w:pPr>
        <w:spacing w:line="360" w:lineRule="auto"/>
        <w:ind w:firstLine="640" w:firstLineChars="200"/>
        <w:rPr>
          <w:rFonts w:hint="eastAsia" w:eastAsia="仿宋_GB2312"/>
          <w:sz w:val="32"/>
          <w:szCs w:val="32"/>
        </w:rPr>
      </w:pPr>
      <w:r>
        <w:rPr>
          <w:rFonts w:eastAsia="仿宋_GB2312"/>
          <w:sz w:val="32"/>
          <w:szCs w:val="32"/>
        </w:rPr>
        <w:t>从分类经营体系分析，公益林林地比例高于商品林林地比例，商品林中的用材林面积远低于经济林面积。</w:t>
      </w:r>
      <w:r>
        <w:rPr>
          <w:rFonts w:hint="eastAsia" w:eastAsia="仿宋_GB2312"/>
          <w:sz w:val="32"/>
          <w:szCs w:val="32"/>
        </w:rPr>
        <w:t>三亚市</w:t>
      </w:r>
      <w:r>
        <w:rPr>
          <w:rFonts w:eastAsia="仿宋_GB2312"/>
          <w:sz w:val="32"/>
          <w:szCs w:val="32"/>
        </w:rPr>
        <w:t>用材林树种主要有桉树、相思、</w:t>
      </w:r>
      <w:r>
        <w:rPr>
          <w:rFonts w:hint="eastAsia" w:eastAsia="仿宋_GB2312"/>
          <w:sz w:val="32"/>
          <w:szCs w:val="32"/>
        </w:rPr>
        <w:t>降香黄檀</w:t>
      </w:r>
      <w:r>
        <w:rPr>
          <w:rFonts w:eastAsia="仿宋_GB2312"/>
          <w:sz w:val="32"/>
          <w:szCs w:val="32"/>
        </w:rPr>
        <w:t>、白木香等，桉树面积1843 hm</w:t>
      </w:r>
      <w:r>
        <w:rPr>
          <w:rFonts w:eastAsia="仿宋_GB2312"/>
          <w:sz w:val="32"/>
          <w:szCs w:val="32"/>
          <w:vertAlign w:val="superscript"/>
        </w:rPr>
        <w:t>2</w:t>
      </w:r>
      <w:r>
        <w:rPr>
          <w:rFonts w:eastAsia="仿宋_GB2312"/>
          <w:sz w:val="32"/>
          <w:szCs w:val="32"/>
        </w:rPr>
        <w:t>，相思221</w:t>
      </w:r>
      <w:r>
        <w:rPr>
          <w:rFonts w:hint="eastAsia" w:eastAsia="仿宋_GB2312"/>
          <w:sz w:val="32"/>
          <w:szCs w:val="32"/>
        </w:rPr>
        <w:t>1</w:t>
      </w:r>
      <w:r>
        <w:rPr>
          <w:rFonts w:eastAsia="仿宋_GB2312"/>
          <w:sz w:val="32"/>
          <w:szCs w:val="32"/>
        </w:rPr>
        <w:t>hm</w:t>
      </w:r>
      <w:r>
        <w:rPr>
          <w:rFonts w:eastAsia="仿宋_GB2312"/>
          <w:sz w:val="32"/>
          <w:szCs w:val="32"/>
          <w:vertAlign w:val="superscript"/>
        </w:rPr>
        <w:t>2</w:t>
      </w:r>
      <w:r>
        <w:rPr>
          <w:rFonts w:eastAsia="仿宋_GB2312"/>
          <w:sz w:val="32"/>
          <w:szCs w:val="32"/>
        </w:rPr>
        <w:t>，</w:t>
      </w:r>
      <w:r>
        <w:rPr>
          <w:rFonts w:hint="eastAsia" w:eastAsia="仿宋_GB2312"/>
          <w:sz w:val="32"/>
          <w:szCs w:val="32"/>
        </w:rPr>
        <w:t>降香黄檀</w:t>
      </w:r>
      <w:r>
        <w:rPr>
          <w:rFonts w:eastAsia="仿宋_GB2312"/>
          <w:sz w:val="32"/>
          <w:szCs w:val="32"/>
        </w:rPr>
        <w:t>251 hm</w:t>
      </w:r>
      <w:r>
        <w:rPr>
          <w:rFonts w:eastAsia="仿宋_GB2312"/>
          <w:sz w:val="32"/>
          <w:szCs w:val="32"/>
          <w:vertAlign w:val="superscript"/>
        </w:rPr>
        <w:t>2</w:t>
      </w:r>
      <w:r>
        <w:rPr>
          <w:rFonts w:eastAsia="仿宋_GB2312"/>
          <w:sz w:val="32"/>
          <w:szCs w:val="32"/>
        </w:rPr>
        <w:t>，白木香66</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，这些用材林树种面积占商品林地面积5.2%</w:t>
      </w:r>
      <w:r>
        <w:rPr>
          <w:rFonts w:hint="eastAsia" w:eastAsia="仿宋_GB2312"/>
          <w:sz w:val="32"/>
          <w:szCs w:val="32"/>
        </w:rPr>
        <w:t>，产值3480万元。</w:t>
      </w:r>
      <w:r>
        <w:rPr>
          <w:rFonts w:eastAsia="仿宋_GB2312"/>
          <w:sz w:val="32"/>
          <w:szCs w:val="32"/>
        </w:rPr>
        <w:t>由于</w:t>
      </w:r>
      <w:r>
        <w:rPr>
          <w:rFonts w:hint="eastAsia" w:eastAsia="仿宋_GB2312"/>
          <w:sz w:val="32"/>
          <w:szCs w:val="32"/>
        </w:rPr>
        <w:t>三亚市</w:t>
      </w:r>
      <w:r>
        <w:rPr>
          <w:rFonts w:eastAsia="仿宋_GB2312"/>
          <w:sz w:val="32"/>
          <w:szCs w:val="32"/>
        </w:rPr>
        <w:t>加强保护生态环境建设，加大保护天然林和人工林，实施封山育林，每年森林采伐限额仅有几千立方。</w:t>
      </w:r>
    </w:p>
    <w:p w14:paraId="505B76FB">
      <w:pPr>
        <w:spacing w:line="360" w:lineRule="auto"/>
        <w:ind w:firstLine="640" w:firstLineChars="200"/>
        <w:rPr>
          <w:rFonts w:eastAsia="仿宋_GB2312"/>
          <w:sz w:val="32"/>
          <w:szCs w:val="32"/>
        </w:rPr>
      </w:pPr>
      <w:r>
        <w:rPr>
          <w:rFonts w:eastAsia="仿宋_GB2312"/>
          <w:sz w:val="32"/>
          <w:szCs w:val="32"/>
        </w:rPr>
        <w:t>经调查统计</w:t>
      </w:r>
      <w:r>
        <w:rPr>
          <w:rFonts w:hint="eastAsia" w:eastAsia="仿宋_GB2312"/>
          <w:kern w:val="0"/>
          <w:sz w:val="32"/>
          <w:szCs w:val="32"/>
        </w:rPr>
        <w:t>，</w:t>
      </w:r>
      <w:r>
        <w:rPr>
          <w:rFonts w:hint="eastAsia" w:eastAsia="仿宋_GB2312"/>
          <w:sz w:val="32"/>
          <w:szCs w:val="32"/>
        </w:rPr>
        <w:t>三亚市</w:t>
      </w:r>
      <w:r>
        <w:rPr>
          <w:rFonts w:eastAsia="仿宋_GB2312"/>
          <w:sz w:val="32"/>
          <w:szCs w:val="32"/>
        </w:rPr>
        <w:t>从事木材加工厂（木业店）有56家（吉阳区有35家，占比62.5</w:t>
      </w:r>
      <w:r>
        <w:rPr>
          <w:rFonts w:hint="eastAsia" w:eastAsia="仿宋_GB2312"/>
          <w:sz w:val="32"/>
          <w:szCs w:val="32"/>
        </w:rPr>
        <w:t>0</w:t>
      </w:r>
      <w:r>
        <w:rPr>
          <w:rFonts w:eastAsia="仿宋_GB2312"/>
          <w:sz w:val="32"/>
          <w:szCs w:val="32"/>
        </w:rPr>
        <w:t>%，天涯区11家，占比19.64%，崖州区10家，占比17.86%），主要分布在吉阳区、天涯区和崖州区，以木材加工、木材及制品、单板加工及销售木材、板材等，年销售额达3920万元。家具店铺共计126家，其中吉阳区95家、天涯区22家、崖州区5家、海棠区4家，主要经营销售实木家具、板式家具、塑料家具、金属家具、竹家具、藤家具等，年销售额达16000万元。</w:t>
      </w:r>
    </w:p>
    <w:p w14:paraId="5FF04B22">
      <w:pPr>
        <w:pStyle w:val="3"/>
        <w:spacing w:before="0" w:after="0" w:line="240" w:lineRule="auto"/>
        <w:rPr>
          <w:rFonts w:ascii="Times New Roman" w:hAnsi="Times New Roman" w:eastAsia="黑体"/>
        </w:rPr>
      </w:pPr>
      <w:bookmarkStart w:id="93" w:name="_Toc82546089"/>
      <w:r>
        <w:rPr>
          <w:rFonts w:hint="eastAsia" w:ascii="Times New Roman" w:hAnsi="Times New Roman" w:eastAsia="黑体"/>
        </w:rPr>
        <w:t>8</w:t>
      </w:r>
      <w:r>
        <w:rPr>
          <w:rFonts w:ascii="Times New Roman" w:hAnsi="Times New Roman" w:eastAsia="黑体"/>
        </w:rPr>
        <w:t>.2 存在的主要问题</w:t>
      </w:r>
      <w:bookmarkEnd w:id="93"/>
    </w:p>
    <w:p w14:paraId="207F40EE">
      <w:pPr>
        <w:spacing w:line="360" w:lineRule="auto"/>
        <w:ind w:firstLine="640" w:firstLineChars="200"/>
        <w:rPr>
          <w:rFonts w:eastAsia="仿宋_GB2312"/>
          <w:sz w:val="32"/>
          <w:szCs w:val="32"/>
        </w:rPr>
      </w:pPr>
      <w:r>
        <w:rPr>
          <w:rFonts w:eastAsia="仿宋_GB2312"/>
          <w:sz w:val="32"/>
          <w:szCs w:val="32"/>
        </w:rPr>
        <w:t>（1）</w:t>
      </w:r>
      <w:r>
        <w:rPr>
          <w:rFonts w:hint="eastAsia" w:eastAsia="仿宋_GB2312"/>
          <w:sz w:val="32"/>
          <w:szCs w:val="32"/>
        </w:rPr>
        <w:t>三亚市</w:t>
      </w:r>
      <w:r>
        <w:rPr>
          <w:rFonts w:eastAsia="仿宋_GB2312"/>
          <w:sz w:val="32"/>
          <w:szCs w:val="32"/>
        </w:rPr>
        <w:t>森林质量不高，单位面积蓄积量约41.87 m</w:t>
      </w:r>
      <w:r>
        <w:rPr>
          <w:rFonts w:eastAsia="仿宋_GB2312"/>
          <w:sz w:val="32"/>
          <w:szCs w:val="32"/>
          <w:vertAlign w:val="superscript"/>
        </w:rPr>
        <w:t>3</w:t>
      </w:r>
      <w:r>
        <w:rPr>
          <w:rFonts w:eastAsia="仿宋_GB2312"/>
          <w:sz w:val="32"/>
          <w:szCs w:val="32"/>
        </w:rPr>
        <w:t>/hm</w:t>
      </w:r>
      <w:r>
        <w:rPr>
          <w:rFonts w:eastAsia="仿宋_GB2312"/>
          <w:sz w:val="32"/>
          <w:szCs w:val="32"/>
          <w:vertAlign w:val="superscript"/>
        </w:rPr>
        <w:t>2</w:t>
      </w:r>
      <w:r>
        <w:rPr>
          <w:rFonts w:eastAsia="仿宋_GB2312"/>
          <w:sz w:val="32"/>
          <w:szCs w:val="32"/>
        </w:rPr>
        <w:t>，低于全省平均水平，第一产业产值较低。全市人工林面积中，树种单一，结构简单，生物多样性较低，不利于保护。</w:t>
      </w:r>
    </w:p>
    <w:p w14:paraId="4CEA9B50">
      <w:pPr>
        <w:spacing w:line="360" w:lineRule="auto"/>
        <w:ind w:firstLine="640" w:firstLineChars="200"/>
        <w:rPr>
          <w:rFonts w:eastAsia="仿宋_GB2312"/>
          <w:sz w:val="32"/>
          <w:szCs w:val="32"/>
        </w:rPr>
      </w:pPr>
      <w:r>
        <w:rPr>
          <w:rFonts w:eastAsia="仿宋_GB2312"/>
          <w:sz w:val="32"/>
          <w:szCs w:val="32"/>
        </w:rPr>
        <w:t>（2）</w:t>
      </w:r>
      <w:r>
        <w:rPr>
          <w:rFonts w:hint="eastAsia" w:eastAsia="仿宋_GB2312"/>
          <w:sz w:val="32"/>
          <w:szCs w:val="32"/>
        </w:rPr>
        <w:t>三亚市</w:t>
      </w:r>
      <w:r>
        <w:rPr>
          <w:rFonts w:eastAsia="仿宋_GB2312"/>
          <w:sz w:val="32"/>
          <w:szCs w:val="32"/>
        </w:rPr>
        <w:t>在用材林树种选择和培育方式上，缺乏明确清晰的规划，以相思、桉树为主，轻视乡土树种</w:t>
      </w:r>
      <w:r>
        <w:rPr>
          <w:rFonts w:hint="eastAsia" w:eastAsia="仿宋_GB2312"/>
          <w:sz w:val="32"/>
          <w:szCs w:val="32"/>
        </w:rPr>
        <w:t>，</w:t>
      </w:r>
      <w:r>
        <w:rPr>
          <w:rFonts w:eastAsia="仿宋_GB2312"/>
          <w:sz w:val="32"/>
          <w:szCs w:val="32"/>
        </w:rPr>
        <w:t>用材林深加工较为薄弱</w:t>
      </w:r>
      <w:r>
        <w:rPr>
          <w:rFonts w:hint="eastAsia" w:eastAsia="仿宋_GB2312"/>
          <w:sz w:val="32"/>
          <w:szCs w:val="32"/>
        </w:rPr>
        <w:t>，尚未培育出</w:t>
      </w:r>
      <w:r>
        <w:rPr>
          <w:rFonts w:eastAsia="仿宋_GB2312"/>
          <w:sz w:val="32"/>
          <w:szCs w:val="32"/>
        </w:rPr>
        <w:t>木材深加工企业。</w:t>
      </w:r>
    </w:p>
    <w:p w14:paraId="5F553662">
      <w:pPr>
        <w:spacing w:line="360" w:lineRule="auto"/>
        <w:ind w:firstLine="640" w:firstLineChars="200"/>
        <w:rPr>
          <w:rFonts w:eastAsia="仿宋_GB2312"/>
          <w:sz w:val="32"/>
          <w:szCs w:val="32"/>
        </w:rPr>
      </w:pPr>
      <w:r>
        <w:rPr>
          <w:rFonts w:eastAsia="仿宋_GB2312"/>
          <w:sz w:val="32"/>
          <w:szCs w:val="32"/>
        </w:rPr>
        <w:t>（3）用材林发展的政策还不到位。长期以来，尚未有专项拨款资金支持，发展用材林缺乏充足的资金保障。由于用材林生产经营投入较低，致使用材林造林更新、抚育等都受到很大的影响。</w:t>
      </w:r>
    </w:p>
    <w:p w14:paraId="63144423">
      <w:pPr>
        <w:pStyle w:val="3"/>
        <w:spacing w:before="0" w:after="0" w:line="240" w:lineRule="auto"/>
        <w:rPr>
          <w:rFonts w:ascii="Times New Roman" w:hAnsi="Times New Roman" w:eastAsia="黑体"/>
        </w:rPr>
      </w:pPr>
      <w:bookmarkStart w:id="94" w:name="_Toc82546090"/>
      <w:r>
        <w:rPr>
          <w:rFonts w:hint="eastAsia" w:ascii="Times New Roman" w:hAnsi="Times New Roman" w:eastAsia="黑体"/>
        </w:rPr>
        <w:t>8</w:t>
      </w:r>
      <w:r>
        <w:rPr>
          <w:rFonts w:ascii="Times New Roman" w:hAnsi="Times New Roman" w:eastAsia="黑体"/>
        </w:rPr>
        <w:t>.3 总体布局与规划目标</w:t>
      </w:r>
      <w:bookmarkEnd w:id="94"/>
    </w:p>
    <w:p w14:paraId="1B86DA32">
      <w:pPr>
        <w:spacing w:line="360" w:lineRule="auto"/>
        <w:ind w:firstLine="643" w:firstLineChars="200"/>
        <w:rPr>
          <w:rFonts w:eastAsia="仿宋_GB2312"/>
          <w:b/>
          <w:sz w:val="32"/>
          <w:szCs w:val="32"/>
        </w:rPr>
      </w:pPr>
      <w:r>
        <w:rPr>
          <w:rFonts w:eastAsia="仿宋_GB2312"/>
          <w:b/>
          <w:sz w:val="32"/>
          <w:szCs w:val="32"/>
        </w:rPr>
        <w:t>（1）总体布局</w:t>
      </w:r>
    </w:p>
    <w:p w14:paraId="1F6D5DB9">
      <w:pPr>
        <w:spacing w:line="360" w:lineRule="auto"/>
        <w:ind w:firstLine="640" w:firstLineChars="200"/>
        <w:rPr>
          <w:rFonts w:hint="eastAsia" w:eastAsia="仿宋_GB2312"/>
          <w:sz w:val="32"/>
          <w:szCs w:val="32"/>
        </w:rPr>
      </w:pPr>
      <w:r>
        <w:rPr>
          <w:rFonts w:eastAsia="仿宋_GB2312"/>
          <w:sz w:val="32"/>
          <w:szCs w:val="32"/>
        </w:rPr>
        <w:t>坚持“创新、协调、绿色、开放、共享”发展理念，紧抓国家实施“一带一路”倡议机遇，以全市用材林产业发展潜力为基础，以调结构，稳增长、保生态为主线，确定总体布局为西北部为重点发展区，中南部为适度发展区，大力发展林产品工艺品和精油深加工新兴产业。</w:t>
      </w:r>
    </w:p>
    <w:p w14:paraId="41B14678">
      <w:pPr>
        <w:spacing w:line="360" w:lineRule="auto"/>
        <w:ind w:firstLine="643" w:firstLineChars="200"/>
        <w:rPr>
          <w:rFonts w:eastAsia="仿宋_GB2312"/>
          <w:b/>
          <w:sz w:val="32"/>
          <w:szCs w:val="32"/>
        </w:rPr>
      </w:pPr>
      <w:r>
        <w:rPr>
          <w:rFonts w:eastAsia="仿宋_GB2312"/>
          <w:b/>
          <w:sz w:val="32"/>
          <w:szCs w:val="32"/>
        </w:rPr>
        <w:t>（2）规划目标</w:t>
      </w:r>
    </w:p>
    <w:p w14:paraId="48E92F47">
      <w:pPr>
        <w:spacing w:line="360" w:lineRule="auto"/>
        <w:ind w:firstLine="643" w:firstLineChars="200"/>
        <w:rPr>
          <w:rFonts w:eastAsia="仿宋_GB2312"/>
          <w:b/>
          <w:sz w:val="32"/>
          <w:szCs w:val="32"/>
        </w:rPr>
      </w:pPr>
      <w:r>
        <w:rPr>
          <w:rFonts w:eastAsia="仿宋_GB2312"/>
          <w:b/>
          <w:sz w:val="32"/>
          <w:szCs w:val="32"/>
        </w:rPr>
        <w:t>近期（2021~2025年）目标：</w:t>
      </w:r>
    </w:p>
    <w:p w14:paraId="34C78DC9">
      <w:pPr>
        <w:spacing w:line="360" w:lineRule="auto"/>
        <w:ind w:left="319" w:leftChars="152" w:firstLine="320" w:firstLineChars="100"/>
        <w:jc w:val="left"/>
        <w:rPr>
          <w:rFonts w:hint="eastAsia" w:eastAsia="仿宋_GB2312"/>
          <w:bCs/>
          <w:sz w:val="32"/>
          <w:szCs w:val="30"/>
        </w:rPr>
      </w:pPr>
      <w:r>
        <w:rPr>
          <w:rFonts w:hint="eastAsia" w:eastAsia="仿宋_GB2312"/>
          <w:bCs/>
          <w:sz w:val="32"/>
          <w:szCs w:val="30"/>
        </w:rPr>
        <w:t>①</w:t>
      </w:r>
      <w:r>
        <w:rPr>
          <w:rFonts w:eastAsia="仿宋_GB2312"/>
          <w:bCs/>
          <w:sz w:val="32"/>
          <w:szCs w:val="30"/>
        </w:rPr>
        <w:t>建设优质</w:t>
      </w:r>
      <w:r>
        <w:rPr>
          <w:rFonts w:hint="eastAsia" w:eastAsia="仿宋_GB2312"/>
          <w:bCs/>
          <w:sz w:val="32"/>
          <w:szCs w:val="30"/>
        </w:rPr>
        <w:t>白木香</w:t>
      </w:r>
      <w:r>
        <w:rPr>
          <w:rFonts w:eastAsia="仿宋_GB2312"/>
          <w:bCs/>
          <w:sz w:val="32"/>
          <w:szCs w:val="30"/>
        </w:rPr>
        <w:t>生产基地</w:t>
      </w:r>
      <w:r>
        <w:rPr>
          <w:rFonts w:hint="eastAsia" w:eastAsia="仿宋_GB2312"/>
          <w:bCs/>
          <w:sz w:val="32"/>
          <w:szCs w:val="30"/>
        </w:rPr>
        <w:t>（包括</w:t>
      </w:r>
      <w:r>
        <w:rPr>
          <w:rFonts w:eastAsia="仿宋_GB2312"/>
          <w:bCs/>
          <w:sz w:val="32"/>
          <w:szCs w:val="30"/>
        </w:rPr>
        <w:t>优良种苗繁育基地</w:t>
      </w:r>
      <w:r>
        <w:rPr>
          <w:rFonts w:hint="eastAsia" w:eastAsia="仿宋_GB2312"/>
          <w:bCs/>
          <w:sz w:val="32"/>
          <w:szCs w:val="30"/>
        </w:rPr>
        <w:t xml:space="preserve">3.3 </w:t>
      </w:r>
    </w:p>
    <w:p w14:paraId="66972D70">
      <w:pPr>
        <w:spacing w:line="360" w:lineRule="auto"/>
        <w:jc w:val="left"/>
        <w:rPr>
          <w:rFonts w:eastAsia="仿宋_GB2312"/>
          <w:bCs/>
          <w:sz w:val="32"/>
          <w:szCs w:val="30"/>
        </w:rPr>
      </w:pPr>
      <w:r>
        <w:rPr>
          <w:rFonts w:hint="eastAsia" w:eastAsia="仿宋_GB2312"/>
          <w:bCs/>
          <w:sz w:val="32"/>
          <w:szCs w:val="30"/>
        </w:rPr>
        <w:t>hm</w:t>
      </w:r>
      <w:r>
        <w:rPr>
          <w:rFonts w:eastAsia="仿宋_GB2312"/>
          <w:sz w:val="32"/>
          <w:szCs w:val="32"/>
          <w:vertAlign w:val="superscript"/>
        </w:rPr>
        <w:t>2</w:t>
      </w:r>
      <w:r>
        <w:rPr>
          <w:rFonts w:hint="eastAsia" w:eastAsia="仿宋_GB2312"/>
          <w:bCs/>
          <w:sz w:val="32"/>
          <w:szCs w:val="30"/>
        </w:rPr>
        <w:t>和白木香</w:t>
      </w:r>
      <w:r>
        <w:rPr>
          <w:rFonts w:eastAsia="仿宋_GB2312"/>
          <w:bCs/>
          <w:sz w:val="32"/>
          <w:szCs w:val="30"/>
        </w:rPr>
        <w:t>标准化生产示范基地</w:t>
      </w:r>
      <w:r>
        <w:rPr>
          <w:rFonts w:hint="eastAsia" w:eastAsia="仿宋_GB2312"/>
          <w:bCs/>
          <w:sz w:val="32"/>
          <w:szCs w:val="30"/>
        </w:rPr>
        <w:t>60 hm</w:t>
      </w:r>
      <w:r>
        <w:rPr>
          <w:rFonts w:hint="eastAsia" w:eastAsia="仿宋_GB2312"/>
          <w:bCs/>
          <w:sz w:val="32"/>
          <w:szCs w:val="30"/>
          <w:vertAlign w:val="superscript"/>
        </w:rPr>
        <w:t>2</w:t>
      </w:r>
      <w:r>
        <w:rPr>
          <w:rFonts w:hint="eastAsia" w:eastAsia="仿宋_GB2312"/>
          <w:bCs/>
          <w:sz w:val="32"/>
          <w:szCs w:val="30"/>
        </w:rPr>
        <w:t>）；</w:t>
      </w:r>
    </w:p>
    <w:p w14:paraId="50B6FE39">
      <w:pPr>
        <w:spacing w:line="360" w:lineRule="auto"/>
        <w:ind w:firstLine="640" w:firstLineChars="200"/>
        <w:rPr>
          <w:rFonts w:eastAsia="仿宋_GB2312"/>
          <w:sz w:val="32"/>
          <w:szCs w:val="32"/>
        </w:rPr>
      </w:pPr>
      <w:r>
        <w:rPr>
          <w:rFonts w:hint="eastAsia" w:eastAsia="仿宋_GB2312"/>
          <w:bCs/>
          <w:sz w:val="32"/>
          <w:szCs w:val="30"/>
        </w:rPr>
        <w:t>②</w:t>
      </w:r>
      <w:r>
        <w:rPr>
          <w:rFonts w:eastAsia="仿宋_GB2312"/>
          <w:sz w:val="32"/>
          <w:szCs w:val="32"/>
        </w:rPr>
        <w:t>重点发展林产品加工企业1家。</w:t>
      </w:r>
    </w:p>
    <w:p w14:paraId="1743B710">
      <w:pPr>
        <w:spacing w:line="360" w:lineRule="auto"/>
        <w:ind w:firstLine="643" w:firstLineChars="200"/>
        <w:rPr>
          <w:rFonts w:eastAsia="仿宋_GB2312"/>
          <w:b/>
          <w:sz w:val="32"/>
          <w:szCs w:val="32"/>
        </w:rPr>
      </w:pPr>
      <w:r>
        <w:rPr>
          <w:rFonts w:eastAsia="仿宋_GB2312"/>
          <w:b/>
          <w:sz w:val="32"/>
          <w:szCs w:val="32"/>
        </w:rPr>
        <w:t>中长期（2026~2035年）目标：</w:t>
      </w:r>
    </w:p>
    <w:p w14:paraId="1BD298F0">
      <w:pPr>
        <w:spacing w:line="360" w:lineRule="auto"/>
        <w:ind w:firstLine="640" w:firstLineChars="200"/>
        <w:rPr>
          <w:rFonts w:hint="eastAsia" w:eastAsia="仿宋_GB2312"/>
          <w:sz w:val="32"/>
          <w:szCs w:val="32"/>
        </w:rPr>
      </w:pPr>
      <w:r>
        <w:rPr>
          <w:rFonts w:hint="eastAsia" w:eastAsia="仿宋_GB2312"/>
          <w:sz w:val="32"/>
          <w:szCs w:val="32"/>
        </w:rPr>
        <w:t>①建设</w:t>
      </w:r>
      <w:r>
        <w:rPr>
          <w:rFonts w:eastAsia="仿宋_GB2312"/>
          <w:sz w:val="32"/>
          <w:szCs w:val="32"/>
        </w:rPr>
        <w:t>国家储备林基地</w:t>
      </w:r>
      <w:r>
        <w:rPr>
          <w:rFonts w:hint="eastAsia" w:eastAsia="仿宋_GB2312"/>
          <w:sz w:val="32"/>
          <w:szCs w:val="32"/>
        </w:rPr>
        <w:t>3</w:t>
      </w:r>
      <w:r>
        <w:rPr>
          <w:rFonts w:eastAsia="仿宋_GB2312"/>
          <w:sz w:val="32"/>
          <w:szCs w:val="32"/>
        </w:rPr>
        <w:t>00 hm</w:t>
      </w:r>
      <w:r>
        <w:rPr>
          <w:rFonts w:eastAsia="仿宋_GB2312"/>
          <w:bCs/>
          <w:sz w:val="32"/>
          <w:szCs w:val="30"/>
          <w:vertAlign w:val="superscript"/>
        </w:rPr>
        <w:t>2</w:t>
      </w:r>
      <w:r>
        <w:rPr>
          <w:rFonts w:hint="eastAsia" w:eastAsia="仿宋_GB2312"/>
          <w:bCs/>
          <w:sz w:val="32"/>
          <w:szCs w:val="30"/>
        </w:rPr>
        <w:t>，</w:t>
      </w:r>
      <w:r>
        <w:rPr>
          <w:rFonts w:eastAsia="仿宋_GB2312"/>
          <w:sz w:val="32"/>
          <w:szCs w:val="32"/>
        </w:rPr>
        <w:t>现有林改培</w:t>
      </w:r>
      <w:r>
        <w:rPr>
          <w:rFonts w:hint="eastAsia" w:eastAsia="仿宋_GB2312"/>
          <w:sz w:val="32"/>
          <w:szCs w:val="32"/>
        </w:rPr>
        <w:t>2</w:t>
      </w:r>
      <w:r>
        <w:rPr>
          <w:rFonts w:eastAsia="仿宋_GB2312"/>
          <w:sz w:val="32"/>
          <w:szCs w:val="32"/>
        </w:rPr>
        <w:t>00 hm</w:t>
      </w:r>
      <w:r>
        <w:rPr>
          <w:rFonts w:eastAsia="仿宋_GB2312"/>
          <w:sz w:val="32"/>
          <w:szCs w:val="32"/>
          <w:vertAlign w:val="superscript"/>
        </w:rPr>
        <w:t>2</w:t>
      </w:r>
      <w:r>
        <w:rPr>
          <w:rFonts w:hint="eastAsia" w:eastAsia="仿宋_GB2312"/>
          <w:sz w:val="32"/>
          <w:szCs w:val="32"/>
        </w:rPr>
        <w:t xml:space="preserve">； </w:t>
      </w:r>
    </w:p>
    <w:p w14:paraId="7941E489">
      <w:pPr>
        <w:spacing w:line="360" w:lineRule="auto"/>
        <w:ind w:firstLine="640" w:firstLineChars="200"/>
        <w:rPr>
          <w:rFonts w:hint="eastAsia" w:eastAsia="仿宋_GB2312"/>
          <w:sz w:val="32"/>
          <w:szCs w:val="32"/>
        </w:rPr>
      </w:pPr>
      <w:r>
        <w:rPr>
          <w:rFonts w:hint="eastAsia" w:eastAsia="仿宋_GB2312"/>
          <w:bCs/>
          <w:sz w:val="32"/>
          <w:szCs w:val="30"/>
        </w:rPr>
        <w:t>②</w:t>
      </w:r>
      <w:r>
        <w:rPr>
          <w:rFonts w:eastAsia="仿宋_GB2312"/>
          <w:bCs/>
          <w:sz w:val="32"/>
          <w:szCs w:val="30"/>
        </w:rPr>
        <w:t>人工结香技术示范基地1个</w:t>
      </w:r>
      <w:r>
        <w:rPr>
          <w:rFonts w:hint="eastAsia" w:eastAsia="仿宋_GB2312"/>
          <w:bCs/>
          <w:sz w:val="32"/>
          <w:szCs w:val="30"/>
        </w:rPr>
        <w:t>；</w:t>
      </w:r>
    </w:p>
    <w:p w14:paraId="6FE94232">
      <w:pPr>
        <w:spacing w:line="360" w:lineRule="auto"/>
        <w:ind w:firstLine="640" w:firstLineChars="200"/>
        <w:rPr>
          <w:rFonts w:eastAsia="仿宋_GB2312"/>
          <w:sz w:val="32"/>
          <w:szCs w:val="32"/>
        </w:rPr>
      </w:pPr>
      <w:r>
        <w:rPr>
          <w:rFonts w:hint="eastAsia" w:eastAsia="仿宋_GB2312"/>
          <w:bCs/>
          <w:sz w:val="32"/>
          <w:szCs w:val="30"/>
        </w:rPr>
        <w:t>③</w:t>
      </w:r>
      <w:r>
        <w:rPr>
          <w:rFonts w:eastAsia="仿宋_GB2312"/>
          <w:bCs/>
          <w:sz w:val="32"/>
          <w:szCs w:val="30"/>
        </w:rPr>
        <w:t>建设</w:t>
      </w:r>
      <w:r>
        <w:rPr>
          <w:rFonts w:eastAsia="仿宋_GB2312"/>
          <w:sz w:val="32"/>
          <w:szCs w:val="32"/>
        </w:rPr>
        <w:t>珍贵用材林培育科技示范园2处</w:t>
      </w:r>
      <w:r>
        <w:rPr>
          <w:rFonts w:hint="eastAsia" w:eastAsia="仿宋_GB2312"/>
          <w:sz w:val="32"/>
          <w:szCs w:val="32"/>
        </w:rPr>
        <w:t>；</w:t>
      </w:r>
    </w:p>
    <w:p w14:paraId="629D5DB1">
      <w:pPr>
        <w:spacing w:line="360" w:lineRule="auto"/>
        <w:ind w:firstLine="640" w:firstLineChars="200"/>
        <w:rPr>
          <w:rFonts w:eastAsia="仿宋_GB2312"/>
          <w:sz w:val="32"/>
          <w:szCs w:val="32"/>
        </w:rPr>
      </w:pPr>
      <w:r>
        <w:rPr>
          <w:rFonts w:hint="eastAsia" w:ascii="宋体" w:hAnsi="宋体" w:cs="宋体"/>
          <w:sz w:val="32"/>
          <w:szCs w:val="32"/>
        </w:rPr>
        <w:t>④</w:t>
      </w:r>
      <w:r>
        <w:rPr>
          <w:rFonts w:hint="eastAsia" w:eastAsia="仿宋_GB2312"/>
          <w:sz w:val="32"/>
          <w:szCs w:val="32"/>
        </w:rPr>
        <w:t>继续</w:t>
      </w:r>
      <w:r>
        <w:rPr>
          <w:rFonts w:eastAsia="仿宋_GB2312"/>
          <w:sz w:val="32"/>
          <w:szCs w:val="32"/>
        </w:rPr>
        <w:t>发展林产品加工</w:t>
      </w:r>
      <w:r>
        <w:rPr>
          <w:rFonts w:hint="eastAsia" w:eastAsia="仿宋_GB2312"/>
          <w:sz w:val="32"/>
          <w:szCs w:val="32"/>
        </w:rPr>
        <w:t>企业</w:t>
      </w:r>
      <w:r>
        <w:rPr>
          <w:rFonts w:eastAsia="仿宋_GB2312"/>
          <w:sz w:val="32"/>
          <w:szCs w:val="32"/>
        </w:rPr>
        <w:t>家</w:t>
      </w:r>
      <w:r>
        <w:rPr>
          <w:rFonts w:hint="eastAsia" w:eastAsia="仿宋_GB2312"/>
          <w:sz w:val="32"/>
          <w:szCs w:val="32"/>
        </w:rPr>
        <w:t>1家</w:t>
      </w:r>
      <w:r>
        <w:rPr>
          <w:rFonts w:eastAsia="仿宋_GB2312"/>
          <w:sz w:val="32"/>
          <w:szCs w:val="32"/>
        </w:rPr>
        <w:t>。</w:t>
      </w:r>
    </w:p>
    <w:p w14:paraId="4A202DEF">
      <w:pPr>
        <w:pStyle w:val="3"/>
        <w:spacing w:before="0" w:after="0" w:line="240" w:lineRule="auto"/>
        <w:rPr>
          <w:rFonts w:hint="eastAsia" w:ascii="Times New Roman" w:hAnsi="Times New Roman" w:eastAsia="黑体"/>
        </w:rPr>
      </w:pPr>
      <w:bookmarkStart w:id="95" w:name="_Toc82546091"/>
      <w:r>
        <w:rPr>
          <w:rFonts w:hint="eastAsia" w:ascii="Times New Roman" w:hAnsi="Times New Roman" w:eastAsia="黑体"/>
        </w:rPr>
        <w:t>8</w:t>
      </w:r>
      <w:r>
        <w:rPr>
          <w:rFonts w:ascii="Times New Roman" w:hAnsi="Times New Roman" w:eastAsia="黑体"/>
        </w:rPr>
        <w:t>.4 重点建设工程或</w:t>
      </w:r>
      <w:bookmarkEnd w:id="95"/>
      <w:r>
        <w:rPr>
          <w:rFonts w:hint="eastAsia" w:ascii="Times New Roman" w:hAnsi="Times New Roman" w:eastAsia="黑体"/>
        </w:rPr>
        <w:t>规划储备项目</w:t>
      </w:r>
    </w:p>
    <w:p w14:paraId="4F8F1379">
      <w:pPr>
        <w:spacing w:line="40" w:lineRule="exact"/>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5"/>
      </w:tblGrid>
      <w:tr w14:paraId="54B23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515" w:type="dxa"/>
          </w:tcPr>
          <w:p w14:paraId="3EEAE724">
            <w:pPr>
              <w:jc w:val="center"/>
              <w:rPr>
                <w:rFonts w:ascii="仿宋_GB2312" w:eastAsia="仿宋_GB2312"/>
                <w:b/>
                <w:sz w:val="32"/>
                <w:szCs w:val="32"/>
              </w:rPr>
            </w:pPr>
            <w:r>
              <w:rPr>
                <w:rFonts w:hint="eastAsia" w:ascii="仿宋_GB2312" w:eastAsia="仿宋_GB2312"/>
                <w:b/>
                <w:sz w:val="32"/>
                <w:szCs w:val="32"/>
              </w:rPr>
              <w:t>用材林产业重点建设工程或规划储备项目</w:t>
            </w:r>
          </w:p>
        </w:tc>
      </w:tr>
      <w:tr w14:paraId="12BEE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53D938B4">
            <w:pPr>
              <w:rPr>
                <w:rFonts w:hint="eastAsia" w:eastAsia="仿宋_GB2312"/>
                <w:b/>
                <w:sz w:val="32"/>
                <w:szCs w:val="32"/>
              </w:rPr>
            </w:pPr>
            <w:r>
              <w:rPr>
                <w:rFonts w:hint="eastAsia" w:eastAsia="仿宋_GB2312"/>
                <w:b/>
                <w:sz w:val="32"/>
                <w:szCs w:val="32"/>
              </w:rPr>
              <w:t>一、森林质量精准提升工程</w:t>
            </w:r>
          </w:p>
          <w:p w14:paraId="4F613558">
            <w:pPr>
              <w:rPr>
                <w:rFonts w:hint="eastAsia" w:eastAsia="仿宋_GB2312"/>
                <w:b/>
                <w:sz w:val="32"/>
                <w:szCs w:val="32"/>
              </w:rPr>
            </w:pPr>
            <w:r>
              <w:rPr>
                <w:rFonts w:hint="eastAsia" w:ascii="仿宋_GB2312" w:eastAsia="仿宋_GB2312"/>
                <w:b/>
                <w:bCs/>
                <w:sz w:val="32"/>
                <w:szCs w:val="32"/>
              </w:rPr>
              <w:t>（一）建设国家储备林基地</w:t>
            </w:r>
          </w:p>
          <w:p w14:paraId="5F4856A5">
            <w:pPr>
              <w:ind w:firstLine="640" w:firstLineChars="200"/>
              <w:rPr>
                <w:rFonts w:eastAsia="仿宋_GB2312"/>
                <w:sz w:val="32"/>
                <w:szCs w:val="32"/>
              </w:rPr>
            </w:pPr>
            <w:r>
              <w:rPr>
                <w:rFonts w:eastAsia="仿宋_GB2312"/>
                <w:sz w:val="32"/>
                <w:szCs w:val="32"/>
              </w:rPr>
              <w:t>结合海南省未来木材产业发展方向，以木材战略储备为目标，以营造和培育珍稀树种和大径级用材林等多功能森林为重点，突出树种优势。选择木麻黄、马占相思、橡胶树、坡垒、油楠、红花天料木、油丹、海南紫荆木等列入《国家储备林树种目录》的乡土树种。主要短周期树种为木麻黄和马占相思，中长周期树种为橡胶树和加勒比松；主要珍稀树种为降香黄檀、</w:t>
            </w:r>
            <w:r>
              <w:rPr>
                <w:rFonts w:hint="eastAsia" w:eastAsia="仿宋_GB2312"/>
                <w:sz w:val="32"/>
                <w:szCs w:val="32"/>
              </w:rPr>
              <w:t>白木香</w:t>
            </w:r>
            <w:r>
              <w:rPr>
                <w:rFonts w:eastAsia="仿宋_GB2312"/>
                <w:sz w:val="32"/>
                <w:szCs w:val="32"/>
              </w:rPr>
              <w:t>、坡垒、油楠、红花天料木、海南紫荆木和铁刀木</w:t>
            </w:r>
            <w:r>
              <w:rPr>
                <w:rFonts w:hint="eastAsia" w:eastAsia="仿宋_GB2312"/>
                <w:sz w:val="32"/>
                <w:szCs w:val="32"/>
              </w:rPr>
              <w:t>，</w:t>
            </w:r>
            <w:r>
              <w:rPr>
                <w:rFonts w:eastAsia="仿宋_GB2312"/>
                <w:sz w:val="32"/>
                <w:szCs w:val="32"/>
              </w:rPr>
              <w:t>引入大径材</w:t>
            </w:r>
            <w:r>
              <w:rPr>
                <w:rFonts w:hint="eastAsia" w:eastAsia="仿宋_GB2312"/>
                <w:sz w:val="32"/>
                <w:szCs w:val="32"/>
              </w:rPr>
              <w:t>、</w:t>
            </w:r>
            <w:r>
              <w:rPr>
                <w:rFonts w:eastAsia="仿宋_GB2312"/>
                <w:sz w:val="32"/>
                <w:szCs w:val="32"/>
              </w:rPr>
              <w:t>速生的树种</w:t>
            </w:r>
            <w:r>
              <w:rPr>
                <w:rFonts w:hint="eastAsia" w:eastAsia="仿宋_GB2312"/>
                <w:sz w:val="32"/>
                <w:szCs w:val="32"/>
              </w:rPr>
              <w:t>，</w:t>
            </w:r>
            <w:r>
              <w:rPr>
                <w:rFonts w:eastAsia="仿宋_GB2312"/>
                <w:sz w:val="32"/>
                <w:szCs w:val="32"/>
              </w:rPr>
              <w:t>如泡桐</w:t>
            </w:r>
            <w:r>
              <w:rPr>
                <w:rFonts w:hint="eastAsia" w:eastAsia="仿宋_GB2312"/>
                <w:sz w:val="32"/>
                <w:szCs w:val="32"/>
              </w:rPr>
              <w:t>。</w:t>
            </w:r>
            <w:r>
              <w:rPr>
                <w:rFonts w:eastAsia="仿宋_GB2312"/>
                <w:sz w:val="32"/>
                <w:szCs w:val="32"/>
              </w:rPr>
              <w:t>到</w:t>
            </w:r>
            <w:r>
              <w:rPr>
                <w:rFonts w:hint="eastAsia" w:eastAsia="仿宋_GB2312"/>
                <w:sz w:val="32"/>
                <w:szCs w:val="32"/>
              </w:rPr>
              <w:t>2035年，</w:t>
            </w:r>
            <w:r>
              <w:rPr>
                <w:rFonts w:eastAsia="仿宋_GB2312"/>
                <w:sz w:val="32"/>
                <w:szCs w:val="32"/>
              </w:rPr>
              <w:t>集约人工林栽培</w:t>
            </w:r>
            <w:r>
              <w:rPr>
                <w:rFonts w:hint="eastAsia" w:eastAsia="仿宋_GB2312"/>
                <w:sz w:val="32"/>
                <w:szCs w:val="32"/>
              </w:rPr>
              <w:t>3</w:t>
            </w:r>
            <w:r>
              <w:rPr>
                <w:rFonts w:eastAsia="仿宋_GB2312"/>
                <w:sz w:val="32"/>
                <w:szCs w:val="32"/>
              </w:rPr>
              <w:t>00</w:t>
            </w:r>
            <w:r>
              <w:rPr>
                <w:rFonts w:hint="eastAsia" w:eastAsia="仿宋_GB2312"/>
                <w:sz w:val="32"/>
                <w:szCs w:val="32"/>
              </w:rPr>
              <w:t xml:space="preserve"> </w:t>
            </w:r>
            <w:r>
              <w:rPr>
                <w:rFonts w:eastAsia="仿宋_GB2312"/>
                <w:sz w:val="32"/>
                <w:szCs w:val="32"/>
              </w:rPr>
              <w:t>hm</w:t>
            </w:r>
            <w:r>
              <w:rPr>
                <w:rFonts w:eastAsia="仿宋_GB2312"/>
                <w:bCs/>
                <w:sz w:val="32"/>
                <w:szCs w:val="32"/>
                <w:vertAlign w:val="superscript"/>
              </w:rPr>
              <w:t>2</w:t>
            </w:r>
            <w:r>
              <w:rPr>
                <w:rFonts w:hint="eastAsia" w:eastAsia="仿宋_GB2312"/>
                <w:bCs/>
                <w:sz w:val="32"/>
                <w:szCs w:val="32"/>
              </w:rPr>
              <w:t>，计划投资45000万元。</w:t>
            </w:r>
          </w:p>
          <w:p w14:paraId="7530E46F">
            <w:pPr>
              <w:rPr>
                <w:rFonts w:hint="eastAsia" w:eastAsia="仿宋_GB2312"/>
                <w:b/>
                <w:sz w:val="32"/>
                <w:szCs w:val="32"/>
              </w:rPr>
            </w:pPr>
            <w:r>
              <w:rPr>
                <w:rFonts w:hint="eastAsia" w:eastAsia="仿宋_GB2312"/>
                <w:b/>
                <w:sz w:val="32"/>
                <w:szCs w:val="32"/>
              </w:rPr>
              <w:t>（二）现有林改培</w:t>
            </w:r>
          </w:p>
          <w:p w14:paraId="6FB87720">
            <w:pPr>
              <w:ind w:firstLine="640" w:firstLineChars="200"/>
              <w:rPr>
                <w:rFonts w:eastAsia="黑体"/>
                <w:b/>
                <w:bCs/>
                <w:sz w:val="32"/>
                <w:szCs w:val="32"/>
              </w:rPr>
            </w:pPr>
            <w:r>
              <w:rPr>
                <w:rFonts w:eastAsia="仿宋_GB2312"/>
                <w:sz w:val="32"/>
                <w:szCs w:val="32"/>
              </w:rPr>
              <w:t>按照因地制宜、营管并举、量质并重的原则，</w:t>
            </w:r>
            <w:r>
              <w:rPr>
                <w:rFonts w:hint="eastAsia" w:eastAsia="仿宋_GB2312"/>
                <w:sz w:val="32"/>
                <w:szCs w:val="32"/>
              </w:rPr>
              <w:t>采取林植改造、更换树种、间伐等经营措施，适当将纯林逐步调整为复合龄层混交林，建设</w:t>
            </w:r>
            <w:r>
              <w:rPr>
                <w:rFonts w:eastAsia="仿宋_GB2312"/>
                <w:sz w:val="32"/>
                <w:szCs w:val="32"/>
              </w:rPr>
              <w:t>地点</w:t>
            </w:r>
            <w:r>
              <w:rPr>
                <w:rFonts w:hint="eastAsia" w:eastAsia="仿宋_GB2312"/>
                <w:sz w:val="32"/>
                <w:szCs w:val="32"/>
              </w:rPr>
              <w:t>全市</w:t>
            </w:r>
            <w:r>
              <w:rPr>
                <w:rFonts w:eastAsia="仿宋_GB2312"/>
                <w:sz w:val="32"/>
                <w:szCs w:val="32"/>
              </w:rPr>
              <w:t>范围的</w:t>
            </w:r>
            <w:r>
              <w:rPr>
                <w:rFonts w:hint="eastAsia" w:eastAsia="仿宋_GB2312"/>
                <w:sz w:val="32"/>
                <w:szCs w:val="32"/>
              </w:rPr>
              <w:t>低质低效林分。</w:t>
            </w:r>
            <w:r>
              <w:rPr>
                <w:rFonts w:eastAsia="仿宋_GB2312"/>
                <w:sz w:val="32"/>
                <w:szCs w:val="32"/>
              </w:rPr>
              <w:t>到</w:t>
            </w:r>
            <w:r>
              <w:rPr>
                <w:rFonts w:hint="eastAsia" w:eastAsia="仿宋_GB2312"/>
                <w:sz w:val="32"/>
                <w:szCs w:val="32"/>
              </w:rPr>
              <w:t>2035年，</w:t>
            </w:r>
            <w:r>
              <w:rPr>
                <w:rFonts w:eastAsia="仿宋_GB2312"/>
                <w:sz w:val="32"/>
                <w:szCs w:val="32"/>
              </w:rPr>
              <w:t>现有林改培</w:t>
            </w:r>
            <w:r>
              <w:rPr>
                <w:rFonts w:hint="eastAsia" w:eastAsia="仿宋_GB2312"/>
                <w:sz w:val="32"/>
                <w:szCs w:val="32"/>
              </w:rPr>
              <w:t>2</w:t>
            </w:r>
            <w:r>
              <w:rPr>
                <w:rFonts w:eastAsia="仿宋_GB2312"/>
                <w:sz w:val="32"/>
                <w:szCs w:val="32"/>
              </w:rPr>
              <w:t>00 hm</w:t>
            </w:r>
            <w:r>
              <w:rPr>
                <w:rFonts w:eastAsia="仿宋_GB2312"/>
                <w:bCs/>
                <w:sz w:val="32"/>
                <w:szCs w:val="32"/>
                <w:vertAlign w:val="superscript"/>
              </w:rPr>
              <w:t>2</w:t>
            </w:r>
            <w:r>
              <w:rPr>
                <w:rFonts w:hint="eastAsia" w:eastAsia="仿宋_GB2312"/>
                <w:bCs/>
                <w:sz w:val="32"/>
                <w:szCs w:val="32"/>
              </w:rPr>
              <w:t>，</w:t>
            </w:r>
            <w:r>
              <w:rPr>
                <w:rFonts w:eastAsia="仿宋_GB2312"/>
                <w:bCs/>
                <w:sz w:val="32"/>
                <w:szCs w:val="32"/>
              </w:rPr>
              <w:t>计划投资</w:t>
            </w:r>
            <w:r>
              <w:rPr>
                <w:rFonts w:hint="eastAsia" w:eastAsia="仿宋_GB2312"/>
                <w:bCs/>
                <w:sz w:val="32"/>
                <w:szCs w:val="32"/>
              </w:rPr>
              <w:t>30000万元</w:t>
            </w:r>
            <w:r>
              <w:rPr>
                <w:rFonts w:eastAsia="仿宋_GB2312"/>
                <w:sz w:val="32"/>
                <w:szCs w:val="32"/>
              </w:rPr>
              <w:t>。</w:t>
            </w:r>
          </w:p>
        </w:tc>
      </w:tr>
      <w:tr w14:paraId="4FE85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411A76F1">
            <w:pPr>
              <w:spacing w:line="360" w:lineRule="auto"/>
              <w:rPr>
                <w:rFonts w:hint="eastAsia" w:ascii="仿宋_GB2312" w:eastAsia="仿宋_GB2312"/>
                <w:b/>
                <w:sz w:val="32"/>
                <w:szCs w:val="32"/>
              </w:rPr>
            </w:pPr>
            <w:r>
              <w:rPr>
                <w:rFonts w:hint="eastAsia" w:ascii="仿宋_GB2312" w:eastAsia="仿宋_GB2312"/>
                <w:b/>
                <w:sz w:val="32"/>
                <w:szCs w:val="32"/>
              </w:rPr>
              <w:t>二、优质白木香生产基地</w:t>
            </w:r>
          </w:p>
          <w:p w14:paraId="2F51CF9F">
            <w:pPr>
              <w:spacing w:line="360" w:lineRule="auto"/>
              <w:rPr>
                <w:rFonts w:hint="eastAsia" w:eastAsia="仿宋_GB2312"/>
                <w:b/>
                <w:bCs/>
                <w:sz w:val="32"/>
                <w:szCs w:val="32"/>
              </w:rPr>
            </w:pPr>
            <w:r>
              <w:rPr>
                <w:rFonts w:hint="eastAsia" w:eastAsia="仿宋_GB2312"/>
                <w:b/>
                <w:bCs/>
                <w:sz w:val="32"/>
                <w:szCs w:val="32"/>
              </w:rPr>
              <w:t>（一）</w:t>
            </w:r>
            <w:r>
              <w:rPr>
                <w:rFonts w:eastAsia="仿宋_GB2312"/>
                <w:b/>
                <w:bCs/>
                <w:sz w:val="32"/>
                <w:szCs w:val="32"/>
              </w:rPr>
              <w:t>建设优良种苗繁育基地</w:t>
            </w:r>
          </w:p>
          <w:p w14:paraId="7096D8F5">
            <w:pPr>
              <w:spacing w:line="360" w:lineRule="auto"/>
              <w:ind w:firstLine="640" w:firstLineChars="200"/>
              <w:rPr>
                <w:rFonts w:hint="eastAsia" w:eastAsia="仿宋_GB2312"/>
                <w:bCs/>
                <w:sz w:val="32"/>
                <w:szCs w:val="32"/>
              </w:rPr>
            </w:pPr>
            <w:r>
              <w:rPr>
                <w:rFonts w:eastAsia="仿宋_GB2312"/>
                <w:bCs/>
                <w:sz w:val="32"/>
                <w:szCs w:val="32"/>
              </w:rPr>
              <w:t>充分发挥行业协会作用，快速扩大</w:t>
            </w:r>
            <w:r>
              <w:rPr>
                <w:rFonts w:hint="eastAsia" w:eastAsia="仿宋_GB2312"/>
                <w:bCs/>
                <w:sz w:val="32"/>
                <w:szCs w:val="32"/>
              </w:rPr>
              <w:t>白木香</w:t>
            </w:r>
            <w:r>
              <w:rPr>
                <w:rFonts w:eastAsia="仿宋_GB2312"/>
                <w:bCs/>
                <w:sz w:val="32"/>
                <w:szCs w:val="32"/>
              </w:rPr>
              <w:t>种植规模，建设1个年生产种苗5万株左右的</w:t>
            </w:r>
            <w:r>
              <w:rPr>
                <w:rFonts w:hint="eastAsia" w:eastAsia="仿宋_GB2312"/>
                <w:bCs/>
                <w:sz w:val="32"/>
                <w:szCs w:val="32"/>
              </w:rPr>
              <w:t>白木香</w:t>
            </w:r>
            <w:r>
              <w:rPr>
                <w:rFonts w:eastAsia="仿宋_GB2312"/>
                <w:bCs/>
                <w:sz w:val="32"/>
                <w:szCs w:val="32"/>
              </w:rPr>
              <w:t>优良种苗繁育基地</w:t>
            </w:r>
            <w:r>
              <w:rPr>
                <w:rFonts w:hint="eastAsia" w:eastAsia="仿宋_GB2312"/>
                <w:bCs/>
                <w:sz w:val="32"/>
                <w:szCs w:val="32"/>
              </w:rPr>
              <w:t>3</w:t>
            </w:r>
            <w:r>
              <w:rPr>
                <w:rFonts w:eastAsia="仿宋_GB2312"/>
                <w:bCs/>
                <w:sz w:val="32"/>
                <w:szCs w:val="32"/>
              </w:rPr>
              <w:t>.3 hm</w:t>
            </w:r>
            <w:r>
              <w:rPr>
                <w:rFonts w:eastAsia="仿宋_GB2312"/>
                <w:bCs/>
                <w:sz w:val="32"/>
                <w:szCs w:val="32"/>
                <w:vertAlign w:val="superscript"/>
              </w:rPr>
              <w:t>2</w:t>
            </w:r>
            <w:r>
              <w:rPr>
                <w:rFonts w:eastAsia="仿宋_GB2312"/>
                <w:bCs/>
                <w:sz w:val="32"/>
                <w:szCs w:val="32"/>
              </w:rPr>
              <w:t>，覆盖</w:t>
            </w:r>
            <w:r>
              <w:rPr>
                <w:rFonts w:hint="eastAsia" w:eastAsia="仿宋_GB2312"/>
                <w:bCs/>
                <w:sz w:val="32"/>
                <w:szCs w:val="32"/>
              </w:rPr>
              <w:t>白木香</w:t>
            </w:r>
            <w:r>
              <w:rPr>
                <w:rFonts w:eastAsia="仿宋_GB2312"/>
                <w:bCs/>
                <w:sz w:val="32"/>
                <w:szCs w:val="32"/>
              </w:rPr>
              <w:t>生产区域，通过财政补贴等形式推进优良种苗覆盖率。建设地点</w:t>
            </w:r>
            <w:r>
              <w:rPr>
                <w:rFonts w:hint="eastAsia" w:eastAsia="仿宋_GB2312"/>
                <w:bCs/>
                <w:sz w:val="32"/>
                <w:szCs w:val="32"/>
              </w:rPr>
              <w:t>天涯区，至2025年，</w:t>
            </w:r>
            <w:r>
              <w:rPr>
                <w:rFonts w:eastAsia="仿宋_GB2312"/>
                <w:bCs/>
                <w:sz w:val="32"/>
                <w:szCs w:val="32"/>
              </w:rPr>
              <w:t>计划投资</w:t>
            </w:r>
            <w:r>
              <w:rPr>
                <w:rFonts w:hint="eastAsia" w:eastAsia="仿宋_GB2312"/>
                <w:bCs/>
                <w:sz w:val="32"/>
                <w:szCs w:val="32"/>
              </w:rPr>
              <w:t>1000万元。</w:t>
            </w:r>
          </w:p>
          <w:p w14:paraId="660E12CE">
            <w:pPr>
              <w:spacing w:line="360" w:lineRule="auto"/>
              <w:rPr>
                <w:rFonts w:hint="eastAsia" w:eastAsia="仿宋_GB2312"/>
                <w:b/>
                <w:bCs/>
                <w:sz w:val="32"/>
                <w:szCs w:val="32"/>
              </w:rPr>
            </w:pPr>
            <w:r>
              <w:rPr>
                <w:rFonts w:hint="eastAsia" w:eastAsia="仿宋_GB2312"/>
                <w:b/>
                <w:bCs/>
                <w:sz w:val="32"/>
                <w:szCs w:val="32"/>
              </w:rPr>
              <w:t>（二）种植示范基地</w:t>
            </w:r>
          </w:p>
          <w:p w14:paraId="44F466F1">
            <w:pPr>
              <w:spacing w:line="360" w:lineRule="auto"/>
              <w:ind w:firstLine="640" w:firstLineChars="200"/>
              <w:rPr>
                <w:rFonts w:hint="eastAsia" w:eastAsia="仿宋_GB2312"/>
                <w:bCs/>
                <w:sz w:val="32"/>
                <w:szCs w:val="32"/>
              </w:rPr>
            </w:pPr>
            <w:r>
              <w:rPr>
                <w:rFonts w:hint="eastAsia" w:ascii="仿宋_GB2312" w:eastAsia="仿宋_GB2312"/>
                <w:bCs/>
                <w:sz w:val="32"/>
                <w:szCs w:val="32"/>
              </w:rPr>
              <w:t>以白木香种植集中</w:t>
            </w:r>
            <w:r>
              <w:rPr>
                <w:rFonts w:eastAsia="仿宋_GB2312"/>
                <w:bCs/>
                <w:sz w:val="32"/>
                <w:szCs w:val="32"/>
              </w:rPr>
              <w:t>连片、增产潜力大的主产区为主，加强新品种示范，推广优质高效丰产栽培技术。计划到2025年，建成2个</w:t>
            </w:r>
            <w:r>
              <w:rPr>
                <w:rFonts w:hint="eastAsia" w:eastAsia="仿宋_GB2312"/>
                <w:bCs/>
                <w:sz w:val="32"/>
                <w:szCs w:val="32"/>
              </w:rPr>
              <w:t>白木香</w:t>
            </w:r>
            <w:r>
              <w:rPr>
                <w:rFonts w:eastAsia="仿宋_GB2312"/>
                <w:bCs/>
                <w:sz w:val="32"/>
                <w:szCs w:val="32"/>
              </w:rPr>
              <w:t>标准化生产示范基地（</w:t>
            </w:r>
            <w:r>
              <w:rPr>
                <w:rFonts w:hint="eastAsia" w:eastAsia="仿宋_GB2312"/>
                <w:bCs/>
                <w:sz w:val="32"/>
                <w:szCs w:val="32"/>
              </w:rPr>
              <w:t>天涯区</w:t>
            </w:r>
            <w:r>
              <w:rPr>
                <w:rFonts w:eastAsia="仿宋_GB2312"/>
                <w:bCs/>
                <w:sz w:val="32"/>
                <w:szCs w:val="32"/>
              </w:rPr>
              <w:t>和育才生态区），总面积60 hm</w:t>
            </w:r>
            <w:r>
              <w:rPr>
                <w:rFonts w:eastAsia="仿宋_GB2312"/>
                <w:bCs/>
                <w:sz w:val="32"/>
                <w:szCs w:val="32"/>
                <w:vertAlign w:val="superscript"/>
              </w:rPr>
              <w:t>2</w:t>
            </w:r>
            <w:r>
              <w:rPr>
                <w:rFonts w:hint="eastAsia" w:eastAsia="仿宋_GB2312"/>
                <w:bCs/>
                <w:sz w:val="32"/>
                <w:szCs w:val="32"/>
              </w:rPr>
              <w:t>，至2025年，</w:t>
            </w:r>
            <w:r>
              <w:rPr>
                <w:rFonts w:eastAsia="仿宋_GB2312"/>
                <w:bCs/>
                <w:sz w:val="32"/>
                <w:szCs w:val="32"/>
              </w:rPr>
              <w:t>计划投资</w:t>
            </w:r>
            <w:r>
              <w:rPr>
                <w:rFonts w:hint="eastAsia" w:eastAsia="仿宋_GB2312"/>
                <w:bCs/>
                <w:sz w:val="32"/>
                <w:szCs w:val="32"/>
              </w:rPr>
              <w:t>2000万元。</w:t>
            </w:r>
          </w:p>
          <w:p w14:paraId="6F1DF9EC">
            <w:pPr>
              <w:spacing w:line="360" w:lineRule="auto"/>
              <w:rPr>
                <w:rFonts w:hint="eastAsia" w:ascii="仿宋_GB2312" w:eastAsia="仿宋_GB2312"/>
                <w:b/>
                <w:sz w:val="32"/>
                <w:szCs w:val="32"/>
              </w:rPr>
            </w:pPr>
            <w:r>
              <w:rPr>
                <w:rFonts w:hint="eastAsia" w:ascii="仿宋_GB2312" w:eastAsia="仿宋_GB2312"/>
                <w:b/>
                <w:sz w:val="32"/>
                <w:szCs w:val="32"/>
              </w:rPr>
              <w:t>（三）人工结香技术示范基地</w:t>
            </w:r>
          </w:p>
          <w:p w14:paraId="6C09D2C9">
            <w:pPr>
              <w:ind w:firstLine="640" w:firstLineChars="200"/>
              <w:rPr>
                <w:rFonts w:hint="eastAsia" w:eastAsia="仿宋_GB2312"/>
                <w:b/>
                <w:sz w:val="32"/>
                <w:szCs w:val="32"/>
              </w:rPr>
            </w:pPr>
            <w:r>
              <w:rPr>
                <w:rFonts w:eastAsia="仿宋_GB2312"/>
                <w:bCs/>
                <w:sz w:val="32"/>
                <w:szCs w:val="32"/>
              </w:rPr>
              <w:t>对现有的</w:t>
            </w:r>
            <w:r>
              <w:rPr>
                <w:rFonts w:hint="eastAsia" w:eastAsia="仿宋_GB2312"/>
                <w:bCs/>
                <w:sz w:val="32"/>
                <w:szCs w:val="32"/>
              </w:rPr>
              <w:t>白木香</w:t>
            </w:r>
            <w:r>
              <w:rPr>
                <w:rFonts w:eastAsia="仿宋_GB2312"/>
                <w:bCs/>
                <w:sz w:val="32"/>
                <w:szCs w:val="32"/>
              </w:rPr>
              <w:t>种植基地（66 hm</w:t>
            </w:r>
            <w:r>
              <w:rPr>
                <w:rFonts w:eastAsia="仿宋_GB2312"/>
                <w:bCs/>
                <w:sz w:val="32"/>
                <w:szCs w:val="32"/>
                <w:vertAlign w:val="superscript"/>
              </w:rPr>
              <w:t>2</w:t>
            </w:r>
            <w:r>
              <w:rPr>
                <w:rFonts w:eastAsia="仿宋_GB2312"/>
                <w:bCs/>
                <w:sz w:val="32"/>
                <w:szCs w:val="32"/>
              </w:rPr>
              <w:t>），推广人工结香技术，使</w:t>
            </w:r>
            <w:r>
              <w:rPr>
                <w:rFonts w:hint="eastAsia" w:eastAsia="仿宋_GB2312"/>
                <w:bCs/>
                <w:sz w:val="32"/>
                <w:szCs w:val="32"/>
              </w:rPr>
              <w:t>白木香</w:t>
            </w:r>
            <w:r>
              <w:rPr>
                <w:rFonts w:eastAsia="仿宋_GB2312"/>
                <w:bCs/>
                <w:sz w:val="32"/>
                <w:szCs w:val="32"/>
              </w:rPr>
              <w:t>结香在厚度、完整度、产量等方面的效果更佳，人工结香的</w:t>
            </w:r>
            <w:r>
              <w:rPr>
                <w:rFonts w:hint="eastAsia" w:eastAsia="仿宋_GB2312"/>
                <w:bCs/>
                <w:sz w:val="32"/>
                <w:szCs w:val="32"/>
              </w:rPr>
              <w:t>白木香</w:t>
            </w:r>
            <w:r>
              <w:rPr>
                <w:rFonts w:eastAsia="仿宋_GB2312"/>
                <w:bCs/>
                <w:sz w:val="32"/>
                <w:szCs w:val="32"/>
              </w:rPr>
              <w:t>用途更广泛。同时从基础研究的角度，继续深入开展</w:t>
            </w:r>
            <w:r>
              <w:rPr>
                <w:rFonts w:hint="eastAsia" w:eastAsia="仿宋_GB2312"/>
                <w:bCs/>
                <w:sz w:val="32"/>
                <w:szCs w:val="32"/>
              </w:rPr>
              <w:t>白木香</w:t>
            </w:r>
            <w:r>
              <w:rPr>
                <w:rFonts w:eastAsia="仿宋_GB2312"/>
                <w:bCs/>
                <w:sz w:val="32"/>
                <w:szCs w:val="32"/>
              </w:rPr>
              <w:t>结香机理研究。重点选择1个</w:t>
            </w:r>
            <w:r>
              <w:rPr>
                <w:rFonts w:hint="eastAsia" w:eastAsia="仿宋_GB2312"/>
                <w:bCs/>
                <w:sz w:val="32"/>
                <w:szCs w:val="32"/>
              </w:rPr>
              <w:t>白木香</w:t>
            </w:r>
            <w:r>
              <w:rPr>
                <w:rFonts w:eastAsia="仿宋_GB2312"/>
                <w:bCs/>
                <w:sz w:val="32"/>
                <w:szCs w:val="32"/>
              </w:rPr>
              <w:t>新品种和结香技术进行大面积推广，保证每年</w:t>
            </w:r>
            <w:r>
              <w:rPr>
                <w:rFonts w:hint="eastAsia" w:eastAsia="仿宋_GB2312"/>
                <w:bCs/>
                <w:sz w:val="32"/>
                <w:szCs w:val="32"/>
              </w:rPr>
              <w:t>沉香</w:t>
            </w:r>
            <w:r>
              <w:rPr>
                <w:rFonts w:eastAsia="仿宋_GB2312"/>
                <w:bCs/>
                <w:sz w:val="32"/>
                <w:szCs w:val="32"/>
              </w:rPr>
              <w:t>原料产量达到100吨以上。</w:t>
            </w:r>
            <w:r>
              <w:rPr>
                <w:rFonts w:hint="eastAsia" w:eastAsia="仿宋_GB2312"/>
                <w:bCs/>
                <w:sz w:val="32"/>
                <w:szCs w:val="32"/>
              </w:rPr>
              <w:t>至2035年，</w:t>
            </w:r>
            <w:r>
              <w:rPr>
                <w:rFonts w:hint="eastAsia" w:ascii="仿宋_GB2312" w:eastAsia="仿宋_GB2312"/>
                <w:bCs/>
                <w:sz w:val="32"/>
                <w:szCs w:val="32"/>
              </w:rPr>
              <w:t>计划投</w:t>
            </w:r>
            <w:r>
              <w:rPr>
                <w:rFonts w:eastAsia="仿宋_GB2312"/>
                <w:bCs/>
                <w:sz w:val="32"/>
                <w:szCs w:val="32"/>
              </w:rPr>
              <w:t>资1000万元。</w:t>
            </w:r>
          </w:p>
        </w:tc>
      </w:tr>
      <w:tr w14:paraId="02891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1ECC677A">
            <w:pPr>
              <w:rPr>
                <w:rFonts w:hint="eastAsia" w:ascii="仿宋_GB2312" w:eastAsia="仿宋_GB2312"/>
                <w:b/>
                <w:sz w:val="32"/>
                <w:szCs w:val="32"/>
              </w:rPr>
            </w:pPr>
            <w:r>
              <w:rPr>
                <w:rFonts w:hint="eastAsia" w:ascii="仿宋_GB2312" w:eastAsia="仿宋_GB2312"/>
                <w:b/>
                <w:bCs/>
                <w:sz w:val="32"/>
                <w:szCs w:val="32"/>
              </w:rPr>
              <w:t>三、</w:t>
            </w:r>
            <w:r>
              <w:rPr>
                <w:rFonts w:ascii="仿宋_GB2312" w:eastAsia="仿宋_GB2312"/>
                <w:b/>
                <w:bCs/>
                <w:sz w:val="32"/>
                <w:szCs w:val="32"/>
              </w:rPr>
              <w:t>用材林科技示范园</w:t>
            </w:r>
          </w:p>
          <w:p w14:paraId="22AA83A5">
            <w:pPr>
              <w:spacing w:line="360" w:lineRule="auto"/>
              <w:ind w:firstLine="640" w:firstLineChars="200"/>
              <w:rPr>
                <w:rFonts w:hint="eastAsia" w:ascii="仿宋_GB2312" w:eastAsia="仿宋_GB2312"/>
                <w:b/>
                <w:sz w:val="32"/>
                <w:szCs w:val="32"/>
              </w:rPr>
            </w:pPr>
            <w:r>
              <w:rPr>
                <w:rFonts w:hint="eastAsia" w:eastAsia="仿宋_GB2312"/>
                <w:sz w:val="32"/>
                <w:szCs w:val="32"/>
              </w:rPr>
              <w:t>通过</w:t>
            </w:r>
            <w:r>
              <w:rPr>
                <w:rFonts w:eastAsia="仿宋_GB2312"/>
                <w:sz w:val="32"/>
                <w:szCs w:val="32"/>
              </w:rPr>
              <w:t>低效林改造等途径，建设相对集中连片的珍贵用材林基地，结合生态文化建设，以三亚（抱龙）珍稀树木园为主体，建设2处珍贵用材林培育科技示范园，发挥科技示范和宣传引导的作用。</w:t>
            </w:r>
            <w:r>
              <w:rPr>
                <w:rFonts w:hint="eastAsia" w:eastAsia="仿宋_GB2312"/>
                <w:bCs/>
                <w:sz w:val="32"/>
                <w:szCs w:val="32"/>
              </w:rPr>
              <w:t>至2035年，</w:t>
            </w:r>
            <w:r>
              <w:rPr>
                <w:rFonts w:eastAsia="仿宋_GB2312"/>
                <w:sz w:val="32"/>
                <w:szCs w:val="32"/>
              </w:rPr>
              <w:t>计划投资</w:t>
            </w:r>
            <w:r>
              <w:rPr>
                <w:rFonts w:hint="eastAsia" w:eastAsia="仿宋_GB2312"/>
                <w:sz w:val="32"/>
                <w:szCs w:val="32"/>
              </w:rPr>
              <w:t>5000万元。</w:t>
            </w:r>
          </w:p>
        </w:tc>
      </w:tr>
      <w:tr w14:paraId="54324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619D1EF3">
            <w:pPr>
              <w:rPr>
                <w:rFonts w:hint="eastAsia" w:ascii="仿宋_GB2312" w:eastAsia="仿宋_GB2312"/>
                <w:b/>
                <w:sz w:val="32"/>
                <w:szCs w:val="32"/>
              </w:rPr>
            </w:pPr>
            <w:r>
              <w:rPr>
                <w:rFonts w:hint="eastAsia" w:ascii="仿宋_GB2312" w:eastAsia="仿宋_GB2312"/>
                <w:b/>
                <w:bCs/>
                <w:sz w:val="32"/>
                <w:szCs w:val="32"/>
              </w:rPr>
              <w:t>四、</w:t>
            </w:r>
            <w:r>
              <w:rPr>
                <w:rFonts w:hint="eastAsia" w:ascii="仿宋_GB2312" w:eastAsia="仿宋_GB2312"/>
                <w:b/>
                <w:sz w:val="32"/>
                <w:szCs w:val="32"/>
              </w:rPr>
              <w:t>林产品工艺品加工</w:t>
            </w:r>
          </w:p>
          <w:p w14:paraId="63B93BA6">
            <w:pPr>
              <w:ind w:firstLine="640" w:firstLineChars="200"/>
              <w:rPr>
                <w:rFonts w:hint="eastAsia" w:ascii="仿宋_GB2312" w:eastAsia="仿宋_GB2312"/>
                <w:b/>
                <w:bCs/>
                <w:sz w:val="32"/>
                <w:szCs w:val="32"/>
              </w:rPr>
            </w:pPr>
            <w:r>
              <w:rPr>
                <w:rFonts w:eastAsia="仿宋_GB2312"/>
                <w:sz w:val="32"/>
                <w:szCs w:val="32"/>
              </w:rPr>
              <w:t>发展林产品工艺品加工、珍贵树种精油深加工，大力促进林产加工企业技术更新和设备改造，改良现有生产工艺，构建资源节约、循环利用、节能高效、低碳发展的林产品加工体系，引进战略投资者，通过提升营销能力，培育珍贵树种工艺品的品牌，满足社会经济发展对林产品与服务的需求。以精深加工为带动，着力强化和提升第二产业</w:t>
            </w:r>
            <w:r>
              <w:rPr>
                <w:rFonts w:hint="eastAsia" w:eastAsia="仿宋_GB2312"/>
                <w:sz w:val="32"/>
                <w:szCs w:val="32"/>
              </w:rPr>
              <w:t>。至2025年，</w:t>
            </w:r>
            <w:r>
              <w:rPr>
                <w:rFonts w:eastAsia="仿宋_GB2312"/>
                <w:sz w:val="32"/>
                <w:szCs w:val="32"/>
              </w:rPr>
              <w:t>培育林产品加工企业</w:t>
            </w:r>
            <w:r>
              <w:rPr>
                <w:rFonts w:hint="eastAsia" w:eastAsia="仿宋_GB2312"/>
                <w:sz w:val="32"/>
                <w:szCs w:val="32"/>
              </w:rPr>
              <w:t>1</w:t>
            </w:r>
            <w:r>
              <w:rPr>
                <w:rFonts w:eastAsia="仿宋_GB2312"/>
                <w:sz w:val="32"/>
                <w:szCs w:val="32"/>
              </w:rPr>
              <w:t>家，计划投资</w:t>
            </w:r>
            <w:r>
              <w:rPr>
                <w:rFonts w:hint="eastAsia" w:eastAsia="仿宋_GB2312"/>
                <w:sz w:val="32"/>
                <w:szCs w:val="32"/>
              </w:rPr>
              <w:t>1</w:t>
            </w:r>
            <w:r>
              <w:rPr>
                <w:rFonts w:eastAsia="仿宋_GB2312"/>
                <w:sz w:val="32"/>
                <w:szCs w:val="32"/>
              </w:rPr>
              <w:t>000万元</w:t>
            </w:r>
            <w:r>
              <w:rPr>
                <w:rFonts w:hint="eastAsia" w:eastAsia="仿宋_GB2312"/>
                <w:sz w:val="32"/>
                <w:szCs w:val="32"/>
              </w:rPr>
              <w:t>；至2035年</w:t>
            </w:r>
            <w:r>
              <w:rPr>
                <w:rFonts w:eastAsia="仿宋_GB2312"/>
                <w:sz w:val="32"/>
                <w:szCs w:val="32"/>
              </w:rPr>
              <w:t>培育林产品加工企业</w:t>
            </w:r>
            <w:r>
              <w:rPr>
                <w:rFonts w:hint="eastAsia" w:eastAsia="仿宋_GB2312"/>
                <w:sz w:val="32"/>
                <w:szCs w:val="32"/>
              </w:rPr>
              <w:t>1</w:t>
            </w:r>
            <w:r>
              <w:rPr>
                <w:rFonts w:eastAsia="仿宋_GB2312"/>
                <w:sz w:val="32"/>
                <w:szCs w:val="32"/>
              </w:rPr>
              <w:t>家，计划投资</w:t>
            </w:r>
            <w:r>
              <w:rPr>
                <w:rFonts w:hint="eastAsia" w:eastAsia="仿宋_GB2312"/>
                <w:sz w:val="32"/>
                <w:szCs w:val="32"/>
              </w:rPr>
              <w:t>1</w:t>
            </w:r>
            <w:r>
              <w:rPr>
                <w:rFonts w:eastAsia="仿宋_GB2312"/>
                <w:sz w:val="32"/>
                <w:szCs w:val="32"/>
              </w:rPr>
              <w:t>000万元</w:t>
            </w:r>
            <w:r>
              <w:rPr>
                <w:rFonts w:hint="eastAsia" w:eastAsia="仿宋_GB2312"/>
                <w:sz w:val="32"/>
                <w:szCs w:val="32"/>
              </w:rPr>
              <w:t>，</w:t>
            </w:r>
            <w:r>
              <w:rPr>
                <w:rFonts w:eastAsia="仿宋_GB2312"/>
                <w:sz w:val="32"/>
                <w:szCs w:val="32"/>
              </w:rPr>
              <w:t>总投资</w:t>
            </w:r>
            <w:r>
              <w:rPr>
                <w:rFonts w:hint="eastAsia" w:eastAsia="仿宋_GB2312"/>
                <w:sz w:val="32"/>
                <w:szCs w:val="32"/>
              </w:rPr>
              <w:t>2000万元。</w:t>
            </w:r>
          </w:p>
        </w:tc>
      </w:tr>
    </w:tbl>
    <w:p w14:paraId="28800724">
      <w:pPr>
        <w:widowControl/>
        <w:spacing w:line="360" w:lineRule="auto"/>
        <w:rPr>
          <w:rFonts w:hint="eastAsia" w:eastAsia="仿宋_GB2312"/>
          <w:sz w:val="16"/>
          <w:szCs w:val="32"/>
        </w:rPr>
      </w:pPr>
    </w:p>
    <w:p w14:paraId="529ECA11">
      <w:pPr>
        <w:pStyle w:val="3"/>
        <w:spacing w:before="0" w:after="0" w:line="240" w:lineRule="auto"/>
        <w:rPr>
          <w:rFonts w:ascii="Times New Roman" w:hAnsi="Times New Roman" w:eastAsia="黑体"/>
        </w:rPr>
      </w:pPr>
      <w:bookmarkStart w:id="96" w:name="_Toc82546092"/>
      <w:r>
        <w:rPr>
          <w:rFonts w:hint="eastAsia" w:ascii="Times New Roman" w:hAnsi="Times New Roman" w:eastAsia="黑体"/>
        </w:rPr>
        <w:t>8</w:t>
      </w:r>
      <w:r>
        <w:rPr>
          <w:rFonts w:ascii="Times New Roman" w:hAnsi="Times New Roman" w:eastAsia="黑体"/>
        </w:rPr>
        <w:t>.</w:t>
      </w:r>
      <w:r>
        <w:rPr>
          <w:rFonts w:hint="eastAsia" w:ascii="Times New Roman" w:hAnsi="Times New Roman" w:eastAsia="黑体"/>
        </w:rPr>
        <w:t>5</w:t>
      </w:r>
      <w:r>
        <w:rPr>
          <w:rFonts w:ascii="Times New Roman" w:hAnsi="Times New Roman" w:eastAsia="黑体"/>
        </w:rPr>
        <w:t xml:space="preserve"> </w:t>
      </w:r>
      <w:r>
        <w:rPr>
          <w:rFonts w:hint="eastAsia" w:ascii="Times New Roman" w:hAnsi="Times New Roman" w:eastAsia="黑体"/>
        </w:rPr>
        <w:t>投资估算与资金来源</w:t>
      </w:r>
      <w:bookmarkEnd w:id="96"/>
    </w:p>
    <w:p w14:paraId="30BACDC9">
      <w:pPr>
        <w:spacing w:line="360" w:lineRule="auto"/>
        <w:ind w:firstLine="640" w:firstLineChars="200"/>
        <w:jc w:val="left"/>
        <w:rPr>
          <w:rFonts w:eastAsia="仿宋_GB2312"/>
          <w:sz w:val="16"/>
          <w:szCs w:val="32"/>
        </w:rPr>
        <w:sectPr>
          <w:pgSz w:w="11905" w:h="16838"/>
          <w:pgMar w:top="1440" w:right="1803" w:bottom="1440" w:left="1803" w:header="851" w:footer="992" w:gutter="0"/>
          <w:cols w:space="720" w:num="1"/>
          <w:docGrid w:type="lines" w:linePitch="319" w:charSpace="0"/>
        </w:sectPr>
      </w:pPr>
      <w:r>
        <w:rPr>
          <w:rFonts w:hint="eastAsia" w:eastAsia="仿宋_GB2312"/>
          <w:bCs/>
          <w:sz w:val="32"/>
          <w:szCs w:val="32"/>
        </w:rPr>
        <w:t>用材林</w:t>
      </w:r>
      <w:r>
        <w:rPr>
          <w:rStyle w:val="44"/>
          <w:rFonts w:hint="eastAsia" w:hAnsi="Times New Roman" w:eastAsia="仿宋_GB2312" w:cs="Times New Roman"/>
          <w:sz w:val="32"/>
          <w:szCs w:val="32"/>
        </w:rPr>
        <w:t>产业共有4个重点工程7个规划储备项目，计划总投资86000万元，</w:t>
      </w:r>
      <w:r>
        <w:rPr>
          <w:rFonts w:hint="eastAsia" w:eastAsia="仿宋_GB2312"/>
          <w:sz w:val="32"/>
          <w:szCs w:val="32"/>
        </w:rPr>
        <w:t>其中2021~</w:t>
      </w:r>
      <w:r>
        <w:rPr>
          <w:rFonts w:eastAsia="仿宋_GB2312"/>
          <w:sz w:val="32"/>
          <w:szCs w:val="32"/>
        </w:rPr>
        <w:t>2025年累计投入资金</w:t>
      </w:r>
      <w:r>
        <w:rPr>
          <w:rFonts w:hint="eastAsia" w:eastAsia="仿宋_GB2312"/>
          <w:sz w:val="32"/>
          <w:szCs w:val="32"/>
        </w:rPr>
        <w:t>4000</w:t>
      </w:r>
      <w:r>
        <w:rPr>
          <w:rFonts w:eastAsia="仿宋_GB2312"/>
          <w:sz w:val="32"/>
          <w:szCs w:val="32"/>
        </w:rPr>
        <w:t>万元，</w:t>
      </w:r>
      <w:r>
        <w:rPr>
          <w:rFonts w:hint="eastAsia" w:eastAsia="仿宋_GB2312"/>
          <w:sz w:val="32"/>
          <w:szCs w:val="32"/>
        </w:rPr>
        <w:t>2026~</w:t>
      </w:r>
      <w:r>
        <w:rPr>
          <w:rFonts w:eastAsia="仿宋_GB2312"/>
          <w:sz w:val="32"/>
          <w:szCs w:val="32"/>
        </w:rPr>
        <w:t>2035年累计投入资金</w:t>
      </w:r>
      <w:r>
        <w:rPr>
          <w:rFonts w:hint="eastAsia" w:eastAsia="仿宋_GB2312"/>
          <w:sz w:val="32"/>
          <w:szCs w:val="32"/>
        </w:rPr>
        <w:t>82000</w:t>
      </w:r>
      <w:r>
        <w:rPr>
          <w:rFonts w:eastAsia="仿宋_GB2312"/>
          <w:sz w:val="32"/>
          <w:szCs w:val="32"/>
        </w:rPr>
        <w:t>万元</w:t>
      </w:r>
      <w:r>
        <w:rPr>
          <w:rFonts w:hint="eastAsia" w:eastAsia="仿宋_GB2312"/>
          <w:sz w:val="32"/>
          <w:szCs w:val="32"/>
        </w:rPr>
        <w:t>，</w:t>
      </w:r>
      <w:r>
        <w:rPr>
          <w:rStyle w:val="44"/>
          <w:rFonts w:hint="eastAsia" w:hAnsi="Times New Roman" w:eastAsia="仿宋_GB2312" w:cs="Times New Roman"/>
          <w:sz w:val="32"/>
          <w:szCs w:val="32"/>
        </w:rPr>
        <w:t>详见表8-1。</w:t>
      </w:r>
    </w:p>
    <w:p w14:paraId="0975692C">
      <w:pPr>
        <w:spacing w:line="360" w:lineRule="auto"/>
        <w:jc w:val="center"/>
        <w:rPr>
          <w:rFonts w:hint="eastAsia"/>
          <w:kern w:val="0"/>
          <w:sz w:val="32"/>
          <w:szCs w:val="32"/>
        </w:rPr>
      </w:pPr>
      <w:r>
        <w:rPr>
          <w:b/>
          <w:kern w:val="0"/>
          <w:sz w:val="28"/>
          <w:szCs w:val="32"/>
        </w:rPr>
        <w:t>表</w:t>
      </w:r>
      <w:r>
        <w:rPr>
          <w:rFonts w:hint="eastAsia"/>
          <w:b/>
          <w:kern w:val="0"/>
          <w:sz w:val="28"/>
          <w:szCs w:val="32"/>
        </w:rPr>
        <w:t>8</w:t>
      </w:r>
      <w:r>
        <w:rPr>
          <w:b/>
          <w:kern w:val="0"/>
          <w:sz w:val="28"/>
          <w:szCs w:val="32"/>
        </w:rPr>
        <w:t>-1  用材林产业规划储备项目一览表</w:t>
      </w:r>
    </w:p>
    <w:tbl>
      <w:tblPr>
        <w:tblStyle w:val="18"/>
        <w:tblW w:w="0" w:type="auto"/>
        <w:tblInd w:w="93" w:type="dxa"/>
        <w:tblLayout w:type="fixed"/>
        <w:tblCellMar>
          <w:top w:w="0" w:type="dxa"/>
          <w:left w:w="108" w:type="dxa"/>
          <w:bottom w:w="0" w:type="dxa"/>
          <w:right w:w="108" w:type="dxa"/>
        </w:tblCellMar>
      </w:tblPr>
      <w:tblGrid>
        <w:gridCol w:w="706"/>
        <w:gridCol w:w="1546"/>
        <w:gridCol w:w="3008"/>
        <w:gridCol w:w="1276"/>
        <w:gridCol w:w="1276"/>
        <w:gridCol w:w="1418"/>
        <w:gridCol w:w="1276"/>
        <w:gridCol w:w="3343"/>
      </w:tblGrid>
      <w:tr w14:paraId="0901A61C">
        <w:tblPrEx>
          <w:tblCellMar>
            <w:top w:w="0" w:type="dxa"/>
            <w:left w:w="108" w:type="dxa"/>
            <w:bottom w:w="0" w:type="dxa"/>
            <w:right w:w="108" w:type="dxa"/>
          </w:tblCellMar>
        </w:tblPrEx>
        <w:trPr>
          <w:trHeight w:val="285" w:hRule="atLeast"/>
        </w:trPr>
        <w:tc>
          <w:tcPr>
            <w:tcW w:w="706" w:type="dxa"/>
            <w:tcBorders>
              <w:top w:val="single" w:color="auto" w:sz="4" w:space="0"/>
              <w:left w:val="single" w:color="auto" w:sz="4" w:space="0"/>
              <w:bottom w:val="single" w:color="auto" w:sz="4" w:space="0"/>
              <w:right w:val="single" w:color="auto" w:sz="4" w:space="0"/>
            </w:tcBorders>
            <w:vAlign w:val="center"/>
          </w:tcPr>
          <w:p w14:paraId="78506598">
            <w:pPr>
              <w:widowControl/>
              <w:jc w:val="center"/>
              <w:rPr>
                <w:rFonts w:ascii="宋体" w:hAnsi="宋体" w:cs="宋体"/>
                <w:b/>
                <w:bCs/>
                <w:kern w:val="0"/>
                <w:sz w:val="24"/>
              </w:rPr>
            </w:pPr>
            <w:r>
              <w:rPr>
                <w:rFonts w:hint="eastAsia" w:ascii="宋体" w:hAnsi="宋体" w:cs="宋体"/>
                <w:b/>
                <w:bCs/>
                <w:kern w:val="0"/>
                <w:sz w:val="24"/>
              </w:rPr>
              <w:t>序号</w:t>
            </w:r>
          </w:p>
        </w:tc>
        <w:tc>
          <w:tcPr>
            <w:tcW w:w="1546" w:type="dxa"/>
            <w:tcBorders>
              <w:top w:val="single" w:color="auto" w:sz="4" w:space="0"/>
              <w:left w:val="nil"/>
              <w:bottom w:val="single" w:color="auto" w:sz="4" w:space="0"/>
              <w:right w:val="single" w:color="auto" w:sz="4" w:space="0"/>
            </w:tcBorders>
            <w:vAlign w:val="center"/>
          </w:tcPr>
          <w:p w14:paraId="3F56634B">
            <w:pPr>
              <w:widowControl/>
              <w:jc w:val="center"/>
              <w:rPr>
                <w:rFonts w:ascii="宋体" w:hAnsi="宋体" w:cs="宋体"/>
                <w:b/>
                <w:bCs/>
                <w:kern w:val="0"/>
                <w:sz w:val="24"/>
              </w:rPr>
            </w:pPr>
            <w:r>
              <w:rPr>
                <w:rFonts w:hint="eastAsia" w:ascii="宋体" w:hAnsi="宋体" w:cs="宋体"/>
                <w:b/>
                <w:bCs/>
                <w:kern w:val="0"/>
                <w:sz w:val="24"/>
              </w:rPr>
              <w:t>规划期</w:t>
            </w:r>
          </w:p>
        </w:tc>
        <w:tc>
          <w:tcPr>
            <w:tcW w:w="3008" w:type="dxa"/>
            <w:tcBorders>
              <w:top w:val="single" w:color="auto" w:sz="4" w:space="0"/>
              <w:left w:val="nil"/>
              <w:bottom w:val="single" w:color="auto" w:sz="4" w:space="0"/>
              <w:right w:val="single" w:color="auto" w:sz="4" w:space="0"/>
            </w:tcBorders>
            <w:vAlign w:val="center"/>
          </w:tcPr>
          <w:p w14:paraId="702BFD73">
            <w:pPr>
              <w:widowControl/>
              <w:jc w:val="center"/>
              <w:rPr>
                <w:rFonts w:ascii="宋体" w:hAnsi="宋体" w:cs="宋体"/>
                <w:b/>
                <w:bCs/>
                <w:kern w:val="0"/>
                <w:sz w:val="24"/>
              </w:rPr>
            </w:pPr>
            <w:r>
              <w:rPr>
                <w:rFonts w:hint="eastAsia" w:ascii="宋体" w:hAnsi="宋体" w:cs="宋体"/>
                <w:b/>
                <w:bCs/>
                <w:kern w:val="0"/>
                <w:sz w:val="24"/>
              </w:rPr>
              <w:t>项目名称</w:t>
            </w:r>
          </w:p>
        </w:tc>
        <w:tc>
          <w:tcPr>
            <w:tcW w:w="1276" w:type="dxa"/>
            <w:tcBorders>
              <w:top w:val="single" w:color="auto" w:sz="4" w:space="0"/>
              <w:left w:val="nil"/>
              <w:bottom w:val="single" w:color="auto" w:sz="4" w:space="0"/>
              <w:right w:val="single" w:color="auto" w:sz="4" w:space="0"/>
            </w:tcBorders>
            <w:vAlign w:val="center"/>
          </w:tcPr>
          <w:p w14:paraId="62A7105F">
            <w:pPr>
              <w:widowControl/>
              <w:jc w:val="center"/>
              <w:rPr>
                <w:rFonts w:ascii="宋体" w:hAnsi="宋体" w:cs="宋体"/>
                <w:b/>
                <w:bCs/>
                <w:kern w:val="0"/>
                <w:sz w:val="24"/>
              </w:rPr>
            </w:pPr>
            <w:r>
              <w:rPr>
                <w:rFonts w:hint="eastAsia" w:ascii="宋体" w:hAnsi="宋体" w:cs="宋体"/>
                <w:b/>
                <w:bCs/>
                <w:kern w:val="0"/>
                <w:sz w:val="24"/>
              </w:rPr>
              <w:t>建设规模</w:t>
            </w:r>
          </w:p>
        </w:tc>
        <w:tc>
          <w:tcPr>
            <w:tcW w:w="1276" w:type="dxa"/>
            <w:tcBorders>
              <w:top w:val="single" w:color="auto" w:sz="4" w:space="0"/>
              <w:left w:val="nil"/>
              <w:bottom w:val="single" w:color="auto" w:sz="4" w:space="0"/>
              <w:right w:val="single" w:color="auto" w:sz="4" w:space="0"/>
            </w:tcBorders>
            <w:vAlign w:val="center"/>
          </w:tcPr>
          <w:p w14:paraId="3E2C066C">
            <w:pPr>
              <w:widowControl/>
              <w:jc w:val="center"/>
              <w:rPr>
                <w:rFonts w:ascii="宋体" w:hAnsi="宋体" w:cs="宋体"/>
                <w:b/>
                <w:bCs/>
                <w:kern w:val="0"/>
                <w:sz w:val="24"/>
              </w:rPr>
            </w:pPr>
            <w:r>
              <w:rPr>
                <w:rFonts w:hint="eastAsia" w:ascii="宋体" w:hAnsi="宋体" w:cs="宋体"/>
                <w:b/>
                <w:bCs/>
                <w:kern w:val="0"/>
                <w:sz w:val="24"/>
              </w:rPr>
              <w:t>建设性质</w:t>
            </w:r>
          </w:p>
        </w:tc>
        <w:tc>
          <w:tcPr>
            <w:tcW w:w="1418" w:type="dxa"/>
            <w:tcBorders>
              <w:top w:val="single" w:color="auto" w:sz="4" w:space="0"/>
              <w:left w:val="nil"/>
              <w:bottom w:val="single" w:color="auto" w:sz="4" w:space="0"/>
              <w:right w:val="single" w:color="auto" w:sz="4" w:space="0"/>
            </w:tcBorders>
            <w:vAlign w:val="center"/>
          </w:tcPr>
          <w:p w14:paraId="39FF2504">
            <w:pPr>
              <w:widowControl/>
              <w:jc w:val="center"/>
              <w:rPr>
                <w:rFonts w:ascii="宋体" w:hAnsi="宋体" w:cs="宋体"/>
                <w:b/>
                <w:bCs/>
                <w:kern w:val="0"/>
                <w:sz w:val="24"/>
              </w:rPr>
            </w:pPr>
            <w:r>
              <w:rPr>
                <w:rFonts w:hint="eastAsia" w:ascii="宋体" w:hAnsi="宋体" w:cs="宋体"/>
                <w:b/>
                <w:bCs/>
                <w:kern w:val="0"/>
                <w:sz w:val="24"/>
              </w:rPr>
              <w:t>投资估算（万元）</w:t>
            </w:r>
          </w:p>
        </w:tc>
        <w:tc>
          <w:tcPr>
            <w:tcW w:w="1276" w:type="dxa"/>
            <w:tcBorders>
              <w:top w:val="single" w:color="auto" w:sz="4" w:space="0"/>
              <w:left w:val="nil"/>
              <w:bottom w:val="single" w:color="auto" w:sz="4" w:space="0"/>
              <w:right w:val="single" w:color="auto" w:sz="4" w:space="0"/>
            </w:tcBorders>
            <w:vAlign w:val="center"/>
          </w:tcPr>
          <w:p w14:paraId="0C3BE4BF">
            <w:pPr>
              <w:widowControl/>
              <w:jc w:val="center"/>
              <w:rPr>
                <w:rFonts w:ascii="宋体" w:hAnsi="宋体" w:cs="宋体"/>
                <w:b/>
                <w:bCs/>
                <w:kern w:val="0"/>
                <w:sz w:val="24"/>
              </w:rPr>
            </w:pPr>
            <w:r>
              <w:rPr>
                <w:rFonts w:hint="eastAsia" w:ascii="宋体" w:hAnsi="宋体" w:cs="宋体"/>
                <w:b/>
                <w:bCs/>
                <w:kern w:val="0"/>
                <w:sz w:val="24"/>
              </w:rPr>
              <w:t>资金来源</w:t>
            </w:r>
          </w:p>
        </w:tc>
        <w:tc>
          <w:tcPr>
            <w:tcW w:w="3343" w:type="dxa"/>
            <w:tcBorders>
              <w:top w:val="single" w:color="auto" w:sz="4" w:space="0"/>
              <w:left w:val="nil"/>
              <w:bottom w:val="single" w:color="auto" w:sz="4" w:space="0"/>
              <w:right w:val="single" w:color="auto" w:sz="4" w:space="0"/>
            </w:tcBorders>
            <w:vAlign w:val="center"/>
          </w:tcPr>
          <w:p w14:paraId="70C32224">
            <w:pPr>
              <w:widowControl/>
              <w:jc w:val="center"/>
              <w:rPr>
                <w:rFonts w:ascii="宋体" w:hAnsi="宋体" w:cs="宋体"/>
                <w:b/>
                <w:bCs/>
                <w:kern w:val="0"/>
                <w:sz w:val="24"/>
              </w:rPr>
            </w:pPr>
            <w:r>
              <w:rPr>
                <w:rFonts w:hint="eastAsia" w:ascii="宋体" w:hAnsi="宋体" w:cs="宋体"/>
                <w:b/>
                <w:bCs/>
                <w:kern w:val="0"/>
                <w:sz w:val="24"/>
              </w:rPr>
              <w:t>建设地点</w:t>
            </w:r>
          </w:p>
        </w:tc>
      </w:tr>
      <w:tr w14:paraId="50082F24">
        <w:tblPrEx>
          <w:tblCellMar>
            <w:top w:w="0" w:type="dxa"/>
            <w:left w:w="108" w:type="dxa"/>
            <w:bottom w:w="0" w:type="dxa"/>
            <w:right w:w="108" w:type="dxa"/>
          </w:tblCellMar>
        </w:tblPrEx>
        <w:trPr>
          <w:trHeight w:val="330" w:hRule="atLeast"/>
        </w:trPr>
        <w:tc>
          <w:tcPr>
            <w:tcW w:w="706" w:type="dxa"/>
            <w:tcBorders>
              <w:top w:val="nil"/>
              <w:left w:val="single" w:color="auto" w:sz="8" w:space="0"/>
              <w:bottom w:val="single" w:color="auto" w:sz="8" w:space="0"/>
              <w:right w:val="single" w:color="auto" w:sz="8" w:space="0"/>
            </w:tcBorders>
            <w:vAlign w:val="center"/>
          </w:tcPr>
          <w:p w14:paraId="1F4E2A5C">
            <w:pPr>
              <w:widowControl/>
              <w:jc w:val="center"/>
              <w:rPr>
                <w:rFonts w:ascii="宋体" w:hAnsi="宋体" w:cs="宋体"/>
                <w:b/>
                <w:bCs/>
                <w:kern w:val="0"/>
                <w:sz w:val="24"/>
              </w:rPr>
            </w:pPr>
          </w:p>
        </w:tc>
        <w:tc>
          <w:tcPr>
            <w:tcW w:w="1546" w:type="dxa"/>
            <w:tcBorders>
              <w:top w:val="nil"/>
              <w:left w:val="nil"/>
              <w:bottom w:val="single" w:color="auto" w:sz="8" w:space="0"/>
              <w:right w:val="single" w:color="auto" w:sz="8" w:space="0"/>
            </w:tcBorders>
            <w:vAlign w:val="center"/>
          </w:tcPr>
          <w:p w14:paraId="14BBC904">
            <w:pPr>
              <w:widowControl/>
              <w:jc w:val="center"/>
              <w:rPr>
                <w:rFonts w:ascii="宋体" w:hAnsi="宋体" w:cs="宋体"/>
                <w:b/>
                <w:bCs/>
                <w:kern w:val="0"/>
                <w:sz w:val="24"/>
              </w:rPr>
            </w:pPr>
          </w:p>
        </w:tc>
        <w:tc>
          <w:tcPr>
            <w:tcW w:w="3008" w:type="dxa"/>
            <w:tcBorders>
              <w:top w:val="nil"/>
              <w:left w:val="nil"/>
              <w:bottom w:val="single" w:color="auto" w:sz="8" w:space="0"/>
              <w:right w:val="single" w:color="auto" w:sz="8" w:space="0"/>
            </w:tcBorders>
            <w:vAlign w:val="center"/>
          </w:tcPr>
          <w:p w14:paraId="031B5DC6">
            <w:pPr>
              <w:widowControl/>
              <w:jc w:val="center"/>
              <w:rPr>
                <w:rFonts w:ascii="宋体" w:hAnsi="宋体" w:cs="宋体"/>
                <w:b/>
                <w:bCs/>
                <w:kern w:val="0"/>
                <w:sz w:val="24"/>
              </w:rPr>
            </w:pPr>
            <w:r>
              <w:rPr>
                <w:rFonts w:hint="eastAsia" w:ascii="宋体" w:hAnsi="宋体" w:cs="宋体"/>
                <w:b/>
                <w:bCs/>
                <w:kern w:val="0"/>
                <w:sz w:val="24"/>
              </w:rPr>
              <w:t>总投资</w:t>
            </w:r>
          </w:p>
        </w:tc>
        <w:tc>
          <w:tcPr>
            <w:tcW w:w="1276" w:type="dxa"/>
            <w:tcBorders>
              <w:top w:val="nil"/>
              <w:left w:val="nil"/>
              <w:bottom w:val="single" w:color="auto" w:sz="8" w:space="0"/>
              <w:right w:val="single" w:color="auto" w:sz="8" w:space="0"/>
            </w:tcBorders>
            <w:vAlign w:val="center"/>
          </w:tcPr>
          <w:p w14:paraId="4BE914B3">
            <w:pPr>
              <w:widowControl/>
              <w:jc w:val="center"/>
              <w:rPr>
                <w:rFonts w:ascii="宋体" w:hAnsi="宋体" w:cs="宋体"/>
                <w:b/>
                <w:bCs/>
                <w:kern w:val="0"/>
                <w:sz w:val="24"/>
              </w:rPr>
            </w:pPr>
          </w:p>
        </w:tc>
        <w:tc>
          <w:tcPr>
            <w:tcW w:w="1276" w:type="dxa"/>
            <w:tcBorders>
              <w:top w:val="nil"/>
              <w:left w:val="nil"/>
              <w:bottom w:val="single" w:color="auto" w:sz="8" w:space="0"/>
              <w:right w:val="single" w:color="auto" w:sz="8" w:space="0"/>
            </w:tcBorders>
            <w:vAlign w:val="center"/>
          </w:tcPr>
          <w:p w14:paraId="47CBF178">
            <w:pPr>
              <w:widowControl/>
              <w:jc w:val="center"/>
              <w:rPr>
                <w:rFonts w:ascii="宋体" w:hAnsi="宋体" w:cs="宋体"/>
                <w:b/>
                <w:bCs/>
                <w:kern w:val="0"/>
                <w:sz w:val="24"/>
              </w:rPr>
            </w:pPr>
          </w:p>
        </w:tc>
        <w:tc>
          <w:tcPr>
            <w:tcW w:w="1418" w:type="dxa"/>
            <w:tcBorders>
              <w:top w:val="nil"/>
              <w:left w:val="nil"/>
              <w:bottom w:val="single" w:color="auto" w:sz="8" w:space="0"/>
              <w:right w:val="single" w:color="auto" w:sz="8" w:space="0"/>
            </w:tcBorders>
            <w:vAlign w:val="center"/>
          </w:tcPr>
          <w:p w14:paraId="75FB5C49">
            <w:pPr>
              <w:widowControl/>
              <w:jc w:val="center"/>
              <w:rPr>
                <w:b/>
                <w:bCs/>
                <w:kern w:val="0"/>
                <w:sz w:val="24"/>
              </w:rPr>
            </w:pPr>
            <w:r>
              <w:rPr>
                <w:rFonts w:hint="eastAsia"/>
                <w:b/>
                <w:bCs/>
                <w:kern w:val="0"/>
                <w:sz w:val="24"/>
              </w:rPr>
              <w:t>86</w:t>
            </w:r>
            <w:r>
              <w:rPr>
                <w:b/>
                <w:bCs/>
                <w:kern w:val="0"/>
                <w:sz w:val="24"/>
              </w:rPr>
              <w:t>000</w:t>
            </w:r>
          </w:p>
        </w:tc>
        <w:tc>
          <w:tcPr>
            <w:tcW w:w="1276" w:type="dxa"/>
            <w:tcBorders>
              <w:top w:val="nil"/>
              <w:left w:val="nil"/>
              <w:bottom w:val="single" w:color="auto" w:sz="8" w:space="0"/>
              <w:right w:val="single" w:color="auto" w:sz="8" w:space="0"/>
            </w:tcBorders>
            <w:vAlign w:val="center"/>
          </w:tcPr>
          <w:p w14:paraId="4710589A">
            <w:pPr>
              <w:widowControl/>
              <w:jc w:val="center"/>
              <w:rPr>
                <w:rFonts w:ascii="宋体" w:hAnsi="宋体" w:cs="宋体"/>
                <w:b/>
                <w:bCs/>
                <w:kern w:val="0"/>
                <w:sz w:val="24"/>
              </w:rPr>
            </w:pPr>
          </w:p>
        </w:tc>
        <w:tc>
          <w:tcPr>
            <w:tcW w:w="3343" w:type="dxa"/>
            <w:tcBorders>
              <w:top w:val="nil"/>
              <w:left w:val="nil"/>
              <w:bottom w:val="single" w:color="auto" w:sz="8" w:space="0"/>
              <w:right w:val="single" w:color="auto" w:sz="8" w:space="0"/>
            </w:tcBorders>
            <w:vAlign w:val="center"/>
          </w:tcPr>
          <w:p w14:paraId="5923DDFE">
            <w:pPr>
              <w:widowControl/>
              <w:jc w:val="center"/>
              <w:rPr>
                <w:rFonts w:ascii="宋体" w:hAnsi="宋体" w:cs="宋体"/>
                <w:b/>
                <w:bCs/>
                <w:kern w:val="0"/>
                <w:sz w:val="24"/>
              </w:rPr>
            </w:pPr>
          </w:p>
        </w:tc>
      </w:tr>
      <w:tr w14:paraId="30F62CA4">
        <w:tblPrEx>
          <w:tblCellMar>
            <w:top w:w="0" w:type="dxa"/>
            <w:left w:w="108" w:type="dxa"/>
            <w:bottom w:w="0" w:type="dxa"/>
            <w:right w:w="108" w:type="dxa"/>
          </w:tblCellMar>
        </w:tblPrEx>
        <w:trPr>
          <w:trHeight w:val="330" w:hRule="atLeast"/>
        </w:trPr>
        <w:tc>
          <w:tcPr>
            <w:tcW w:w="706" w:type="dxa"/>
            <w:vMerge w:val="restart"/>
            <w:tcBorders>
              <w:top w:val="nil"/>
              <w:left w:val="single" w:color="auto" w:sz="8" w:space="0"/>
              <w:bottom w:val="single" w:color="000000" w:sz="8" w:space="0"/>
              <w:right w:val="single" w:color="auto" w:sz="8" w:space="0"/>
            </w:tcBorders>
            <w:vAlign w:val="center"/>
          </w:tcPr>
          <w:p w14:paraId="6505580F">
            <w:pPr>
              <w:widowControl/>
              <w:jc w:val="center"/>
              <w:rPr>
                <w:kern w:val="0"/>
                <w:sz w:val="24"/>
              </w:rPr>
            </w:pPr>
          </w:p>
        </w:tc>
        <w:tc>
          <w:tcPr>
            <w:tcW w:w="1546" w:type="dxa"/>
            <w:vMerge w:val="restart"/>
            <w:tcBorders>
              <w:top w:val="nil"/>
              <w:left w:val="single" w:color="auto" w:sz="8" w:space="0"/>
              <w:bottom w:val="single" w:color="000000" w:sz="8" w:space="0"/>
              <w:right w:val="single" w:color="auto" w:sz="8" w:space="0"/>
            </w:tcBorders>
            <w:vAlign w:val="center"/>
          </w:tcPr>
          <w:p w14:paraId="19102B71">
            <w:pPr>
              <w:widowControl/>
              <w:jc w:val="center"/>
              <w:rPr>
                <w:rFonts w:ascii="宋体" w:hAnsi="宋体" w:cs="宋体"/>
                <w:kern w:val="0"/>
                <w:sz w:val="24"/>
              </w:rPr>
            </w:pPr>
            <w:r>
              <w:rPr>
                <w:rFonts w:ascii="宋体" w:hAnsi="宋体" w:cs="宋体"/>
                <w:kern w:val="0"/>
                <w:sz w:val="24"/>
              </w:rPr>
              <w:t>近期（</w:t>
            </w:r>
            <w:r>
              <w:rPr>
                <w:kern w:val="0"/>
                <w:sz w:val="24"/>
              </w:rPr>
              <w:t>202</w:t>
            </w:r>
            <w:r>
              <w:rPr>
                <w:rFonts w:hint="eastAsia"/>
                <w:kern w:val="0"/>
                <w:sz w:val="24"/>
              </w:rPr>
              <w:t>1</w:t>
            </w:r>
            <w:r>
              <w:rPr>
                <w:kern w:val="0"/>
                <w:sz w:val="24"/>
              </w:rPr>
              <w:t>~20</w:t>
            </w:r>
            <w:r>
              <w:rPr>
                <w:rFonts w:hint="eastAsia"/>
                <w:kern w:val="0"/>
                <w:sz w:val="24"/>
              </w:rPr>
              <w:t>2</w:t>
            </w:r>
            <w:r>
              <w:rPr>
                <w:kern w:val="0"/>
                <w:sz w:val="24"/>
              </w:rPr>
              <w:t>5</w:t>
            </w:r>
            <w:r>
              <w:rPr>
                <w:rFonts w:hint="eastAsia" w:ascii="宋体" w:hAnsi="宋体" w:cs="宋体"/>
                <w:kern w:val="0"/>
                <w:sz w:val="24"/>
              </w:rPr>
              <w:t>年</w:t>
            </w:r>
            <w:r>
              <w:rPr>
                <w:rFonts w:ascii="宋体" w:hAnsi="宋体" w:cs="宋体"/>
                <w:kern w:val="0"/>
                <w:sz w:val="24"/>
              </w:rPr>
              <w:t>）</w:t>
            </w:r>
          </w:p>
        </w:tc>
        <w:tc>
          <w:tcPr>
            <w:tcW w:w="3008" w:type="dxa"/>
            <w:tcBorders>
              <w:top w:val="nil"/>
              <w:left w:val="nil"/>
              <w:bottom w:val="single" w:color="auto" w:sz="8" w:space="0"/>
              <w:right w:val="single" w:color="auto" w:sz="8" w:space="0"/>
            </w:tcBorders>
            <w:noWrap/>
            <w:vAlign w:val="center"/>
          </w:tcPr>
          <w:p w14:paraId="1C5F486C">
            <w:pPr>
              <w:widowControl/>
              <w:jc w:val="center"/>
              <w:rPr>
                <w:rFonts w:ascii="宋体" w:hAnsi="宋体" w:cs="宋体"/>
                <w:kern w:val="0"/>
                <w:sz w:val="24"/>
              </w:rPr>
            </w:pPr>
            <w:r>
              <w:rPr>
                <w:rFonts w:hint="eastAsia" w:ascii="宋体" w:hAnsi="宋体" w:cs="宋体"/>
                <w:kern w:val="0"/>
                <w:sz w:val="24"/>
              </w:rPr>
              <w:t>白木香繁育基地</w:t>
            </w:r>
          </w:p>
        </w:tc>
        <w:tc>
          <w:tcPr>
            <w:tcW w:w="1276" w:type="dxa"/>
            <w:tcBorders>
              <w:top w:val="nil"/>
              <w:left w:val="nil"/>
              <w:bottom w:val="single" w:color="auto" w:sz="8" w:space="0"/>
              <w:right w:val="single" w:color="auto" w:sz="8" w:space="0"/>
            </w:tcBorders>
            <w:noWrap/>
            <w:vAlign w:val="center"/>
          </w:tcPr>
          <w:p w14:paraId="0E6A1DD2">
            <w:pPr>
              <w:widowControl/>
              <w:jc w:val="center"/>
              <w:rPr>
                <w:kern w:val="0"/>
                <w:sz w:val="24"/>
              </w:rPr>
            </w:pPr>
            <w:r>
              <w:rPr>
                <w:kern w:val="0"/>
                <w:sz w:val="24"/>
              </w:rPr>
              <w:t>1</w:t>
            </w:r>
            <w:r>
              <w:rPr>
                <w:rFonts w:hint="eastAsia" w:ascii="宋体" w:hAnsi="宋体"/>
                <w:kern w:val="0"/>
                <w:sz w:val="24"/>
              </w:rPr>
              <w:t>个</w:t>
            </w:r>
          </w:p>
        </w:tc>
        <w:tc>
          <w:tcPr>
            <w:tcW w:w="1276" w:type="dxa"/>
            <w:tcBorders>
              <w:top w:val="nil"/>
              <w:left w:val="nil"/>
              <w:bottom w:val="single" w:color="auto" w:sz="8" w:space="0"/>
              <w:right w:val="single" w:color="auto" w:sz="8" w:space="0"/>
            </w:tcBorders>
            <w:vAlign w:val="center"/>
          </w:tcPr>
          <w:p w14:paraId="1806B8D0">
            <w:pPr>
              <w:widowControl/>
              <w:jc w:val="center"/>
              <w:rPr>
                <w:rFonts w:ascii="宋体" w:hAnsi="宋体" w:cs="宋体"/>
                <w:kern w:val="0"/>
                <w:sz w:val="24"/>
              </w:rPr>
            </w:pPr>
            <w:r>
              <w:rPr>
                <w:rFonts w:hint="eastAsia" w:ascii="宋体" w:hAnsi="宋体" w:cs="宋体"/>
                <w:kern w:val="0"/>
                <w:sz w:val="24"/>
              </w:rPr>
              <w:t>新建</w:t>
            </w:r>
          </w:p>
        </w:tc>
        <w:tc>
          <w:tcPr>
            <w:tcW w:w="1418" w:type="dxa"/>
            <w:tcBorders>
              <w:top w:val="nil"/>
              <w:left w:val="nil"/>
              <w:bottom w:val="single" w:color="auto" w:sz="8" w:space="0"/>
              <w:right w:val="single" w:color="auto" w:sz="8" w:space="0"/>
            </w:tcBorders>
            <w:noWrap/>
            <w:vAlign w:val="center"/>
          </w:tcPr>
          <w:p w14:paraId="54ECCDE4">
            <w:pPr>
              <w:widowControl/>
              <w:jc w:val="center"/>
              <w:rPr>
                <w:kern w:val="0"/>
                <w:sz w:val="24"/>
              </w:rPr>
            </w:pPr>
            <w:r>
              <w:rPr>
                <w:kern w:val="0"/>
                <w:sz w:val="24"/>
              </w:rPr>
              <w:t>1000</w:t>
            </w:r>
          </w:p>
        </w:tc>
        <w:tc>
          <w:tcPr>
            <w:tcW w:w="1276" w:type="dxa"/>
            <w:tcBorders>
              <w:top w:val="nil"/>
              <w:left w:val="nil"/>
              <w:bottom w:val="single" w:color="auto" w:sz="8" w:space="0"/>
              <w:right w:val="single" w:color="auto" w:sz="8" w:space="0"/>
            </w:tcBorders>
            <w:vAlign w:val="center"/>
          </w:tcPr>
          <w:p w14:paraId="1BA384DD">
            <w:pPr>
              <w:widowControl/>
              <w:jc w:val="center"/>
              <w:rPr>
                <w:rFonts w:ascii="宋体" w:hAnsi="宋体" w:cs="宋体"/>
                <w:kern w:val="0"/>
                <w:sz w:val="24"/>
              </w:rPr>
            </w:pPr>
            <w:r>
              <w:rPr>
                <w:rFonts w:hint="eastAsia" w:ascii="宋体" w:hAnsi="宋体" w:cs="宋体"/>
                <w:kern w:val="0"/>
                <w:sz w:val="24"/>
              </w:rPr>
              <w:t>政府投资</w:t>
            </w:r>
          </w:p>
        </w:tc>
        <w:tc>
          <w:tcPr>
            <w:tcW w:w="3343" w:type="dxa"/>
            <w:tcBorders>
              <w:top w:val="nil"/>
              <w:left w:val="nil"/>
              <w:bottom w:val="single" w:color="auto" w:sz="8" w:space="0"/>
              <w:right w:val="single" w:color="auto" w:sz="8" w:space="0"/>
            </w:tcBorders>
            <w:noWrap/>
            <w:vAlign w:val="center"/>
          </w:tcPr>
          <w:p w14:paraId="6B2CCE60">
            <w:pPr>
              <w:widowControl/>
              <w:jc w:val="center"/>
              <w:rPr>
                <w:rFonts w:ascii="宋体" w:hAnsi="宋体" w:cs="宋体"/>
                <w:kern w:val="0"/>
                <w:sz w:val="24"/>
              </w:rPr>
            </w:pPr>
            <w:r>
              <w:rPr>
                <w:rFonts w:hint="eastAsia" w:ascii="宋体" w:hAnsi="宋体" w:cs="宋体"/>
                <w:kern w:val="0"/>
                <w:sz w:val="24"/>
              </w:rPr>
              <w:t>天涯区</w:t>
            </w:r>
          </w:p>
        </w:tc>
      </w:tr>
      <w:tr w14:paraId="55C2CB27">
        <w:tblPrEx>
          <w:tblCellMar>
            <w:top w:w="0" w:type="dxa"/>
            <w:left w:w="108" w:type="dxa"/>
            <w:bottom w:w="0" w:type="dxa"/>
            <w:right w:w="108" w:type="dxa"/>
          </w:tblCellMar>
        </w:tblPrEx>
        <w:trPr>
          <w:trHeight w:val="390" w:hRule="atLeast"/>
        </w:trPr>
        <w:tc>
          <w:tcPr>
            <w:tcW w:w="706" w:type="dxa"/>
            <w:vMerge w:val="continue"/>
            <w:tcBorders>
              <w:top w:val="nil"/>
              <w:left w:val="single" w:color="auto" w:sz="8" w:space="0"/>
              <w:bottom w:val="single" w:color="000000" w:sz="8" w:space="0"/>
              <w:right w:val="single" w:color="auto" w:sz="8" w:space="0"/>
            </w:tcBorders>
            <w:vAlign w:val="center"/>
          </w:tcPr>
          <w:p w14:paraId="6F1B5B7A">
            <w:pPr>
              <w:widowControl/>
              <w:jc w:val="center"/>
              <w:rPr>
                <w:kern w:val="0"/>
                <w:sz w:val="24"/>
              </w:rPr>
            </w:pPr>
          </w:p>
        </w:tc>
        <w:tc>
          <w:tcPr>
            <w:tcW w:w="1546" w:type="dxa"/>
            <w:vMerge w:val="continue"/>
            <w:tcBorders>
              <w:top w:val="nil"/>
              <w:left w:val="single" w:color="auto" w:sz="8" w:space="0"/>
              <w:bottom w:val="single" w:color="000000" w:sz="8" w:space="0"/>
              <w:right w:val="single" w:color="auto" w:sz="8" w:space="0"/>
            </w:tcBorders>
            <w:vAlign w:val="center"/>
          </w:tcPr>
          <w:p w14:paraId="0791579A">
            <w:pPr>
              <w:widowControl/>
              <w:jc w:val="center"/>
              <w:rPr>
                <w:rFonts w:ascii="宋体" w:hAnsi="宋体" w:cs="宋体"/>
                <w:kern w:val="0"/>
                <w:sz w:val="24"/>
              </w:rPr>
            </w:pPr>
          </w:p>
        </w:tc>
        <w:tc>
          <w:tcPr>
            <w:tcW w:w="3008" w:type="dxa"/>
            <w:tcBorders>
              <w:top w:val="nil"/>
              <w:left w:val="nil"/>
              <w:bottom w:val="single" w:color="auto" w:sz="8" w:space="0"/>
              <w:right w:val="single" w:color="auto" w:sz="8" w:space="0"/>
            </w:tcBorders>
            <w:noWrap/>
            <w:vAlign w:val="center"/>
          </w:tcPr>
          <w:p w14:paraId="6DDA6138">
            <w:pPr>
              <w:widowControl/>
              <w:jc w:val="center"/>
              <w:rPr>
                <w:rFonts w:ascii="宋体" w:hAnsi="宋体" w:cs="宋体"/>
                <w:kern w:val="0"/>
                <w:sz w:val="24"/>
              </w:rPr>
            </w:pPr>
            <w:r>
              <w:rPr>
                <w:rFonts w:hint="eastAsia" w:ascii="宋体" w:hAnsi="宋体" w:cs="宋体"/>
                <w:kern w:val="0"/>
                <w:sz w:val="24"/>
              </w:rPr>
              <w:t>白木香种植示范基地</w:t>
            </w:r>
          </w:p>
        </w:tc>
        <w:tc>
          <w:tcPr>
            <w:tcW w:w="1276" w:type="dxa"/>
            <w:tcBorders>
              <w:top w:val="nil"/>
              <w:left w:val="nil"/>
              <w:bottom w:val="single" w:color="auto" w:sz="8" w:space="0"/>
              <w:right w:val="single" w:color="auto" w:sz="8" w:space="0"/>
            </w:tcBorders>
            <w:noWrap/>
            <w:vAlign w:val="center"/>
          </w:tcPr>
          <w:p w14:paraId="6DD09CF9">
            <w:pPr>
              <w:widowControl/>
              <w:jc w:val="center"/>
              <w:rPr>
                <w:kern w:val="0"/>
                <w:sz w:val="24"/>
              </w:rPr>
            </w:pPr>
            <w:r>
              <w:rPr>
                <w:kern w:val="0"/>
                <w:sz w:val="24"/>
              </w:rPr>
              <w:t>60 hm</w:t>
            </w:r>
            <w:r>
              <w:rPr>
                <w:kern w:val="0"/>
                <w:sz w:val="24"/>
                <w:vertAlign w:val="superscript"/>
              </w:rPr>
              <w:t>2</w:t>
            </w:r>
          </w:p>
        </w:tc>
        <w:tc>
          <w:tcPr>
            <w:tcW w:w="1276" w:type="dxa"/>
            <w:tcBorders>
              <w:top w:val="nil"/>
              <w:left w:val="nil"/>
              <w:bottom w:val="single" w:color="auto" w:sz="8" w:space="0"/>
              <w:right w:val="single" w:color="auto" w:sz="8" w:space="0"/>
            </w:tcBorders>
            <w:vAlign w:val="center"/>
          </w:tcPr>
          <w:p w14:paraId="7722F191">
            <w:pPr>
              <w:widowControl/>
              <w:jc w:val="center"/>
              <w:rPr>
                <w:rFonts w:ascii="宋体" w:hAnsi="宋体" w:cs="宋体"/>
                <w:kern w:val="0"/>
                <w:sz w:val="24"/>
              </w:rPr>
            </w:pPr>
            <w:r>
              <w:rPr>
                <w:rFonts w:hint="eastAsia" w:ascii="宋体" w:hAnsi="宋体" w:cs="宋体"/>
                <w:kern w:val="0"/>
                <w:sz w:val="24"/>
              </w:rPr>
              <w:t>新建</w:t>
            </w:r>
          </w:p>
        </w:tc>
        <w:tc>
          <w:tcPr>
            <w:tcW w:w="1418" w:type="dxa"/>
            <w:tcBorders>
              <w:top w:val="nil"/>
              <w:left w:val="nil"/>
              <w:bottom w:val="single" w:color="auto" w:sz="8" w:space="0"/>
              <w:right w:val="single" w:color="auto" w:sz="8" w:space="0"/>
            </w:tcBorders>
            <w:noWrap/>
            <w:vAlign w:val="center"/>
          </w:tcPr>
          <w:p w14:paraId="129A4449">
            <w:pPr>
              <w:widowControl/>
              <w:jc w:val="center"/>
              <w:rPr>
                <w:kern w:val="0"/>
                <w:sz w:val="24"/>
              </w:rPr>
            </w:pPr>
            <w:r>
              <w:rPr>
                <w:kern w:val="0"/>
                <w:sz w:val="24"/>
              </w:rPr>
              <w:t>2000</w:t>
            </w:r>
          </w:p>
        </w:tc>
        <w:tc>
          <w:tcPr>
            <w:tcW w:w="1276" w:type="dxa"/>
            <w:tcBorders>
              <w:top w:val="nil"/>
              <w:left w:val="nil"/>
              <w:bottom w:val="single" w:color="auto" w:sz="8" w:space="0"/>
              <w:right w:val="single" w:color="auto" w:sz="8" w:space="0"/>
            </w:tcBorders>
            <w:vAlign w:val="center"/>
          </w:tcPr>
          <w:p w14:paraId="433A5AB1">
            <w:pPr>
              <w:widowControl/>
              <w:jc w:val="center"/>
              <w:rPr>
                <w:rFonts w:ascii="宋体" w:hAnsi="宋体" w:cs="宋体"/>
                <w:kern w:val="0"/>
                <w:sz w:val="24"/>
              </w:rPr>
            </w:pPr>
            <w:r>
              <w:rPr>
                <w:rFonts w:hint="eastAsia" w:ascii="宋体" w:hAnsi="宋体" w:cs="宋体"/>
                <w:kern w:val="0"/>
                <w:sz w:val="24"/>
              </w:rPr>
              <w:t>政府投资社会投资</w:t>
            </w:r>
          </w:p>
        </w:tc>
        <w:tc>
          <w:tcPr>
            <w:tcW w:w="3343" w:type="dxa"/>
            <w:tcBorders>
              <w:top w:val="nil"/>
              <w:left w:val="nil"/>
              <w:bottom w:val="single" w:color="auto" w:sz="8" w:space="0"/>
              <w:right w:val="single" w:color="auto" w:sz="8" w:space="0"/>
            </w:tcBorders>
            <w:noWrap/>
            <w:vAlign w:val="center"/>
          </w:tcPr>
          <w:p w14:paraId="30B61EA7">
            <w:pPr>
              <w:widowControl/>
              <w:jc w:val="center"/>
              <w:rPr>
                <w:rFonts w:ascii="宋体" w:hAnsi="宋体" w:cs="宋体"/>
                <w:kern w:val="0"/>
                <w:sz w:val="24"/>
              </w:rPr>
            </w:pPr>
            <w:r>
              <w:rPr>
                <w:rFonts w:hint="eastAsia" w:ascii="宋体" w:hAnsi="宋体" w:cs="宋体"/>
                <w:kern w:val="0"/>
                <w:sz w:val="24"/>
              </w:rPr>
              <w:t>天涯区和育才生态区</w:t>
            </w:r>
          </w:p>
        </w:tc>
      </w:tr>
      <w:tr w14:paraId="3E67F7A1">
        <w:tblPrEx>
          <w:tblCellMar>
            <w:top w:w="0" w:type="dxa"/>
            <w:left w:w="108" w:type="dxa"/>
            <w:bottom w:w="0" w:type="dxa"/>
            <w:right w:w="108" w:type="dxa"/>
          </w:tblCellMar>
        </w:tblPrEx>
        <w:trPr>
          <w:trHeight w:val="330" w:hRule="atLeast"/>
        </w:trPr>
        <w:tc>
          <w:tcPr>
            <w:tcW w:w="706" w:type="dxa"/>
            <w:vMerge w:val="continue"/>
            <w:tcBorders>
              <w:top w:val="nil"/>
              <w:left w:val="single" w:color="auto" w:sz="8" w:space="0"/>
              <w:bottom w:val="single" w:color="000000" w:sz="8" w:space="0"/>
              <w:right w:val="single" w:color="auto" w:sz="8" w:space="0"/>
            </w:tcBorders>
            <w:vAlign w:val="center"/>
          </w:tcPr>
          <w:p w14:paraId="2CF872E2">
            <w:pPr>
              <w:widowControl/>
              <w:jc w:val="center"/>
              <w:rPr>
                <w:kern w:val="0"/>
                <w:sz w:val="24"/>
              </w:rPr>
            </w:pPr>
          </w:p>
        </w:tc>
        <w:tc>
          <w:tcPr>
            <w:tcW w:w="1546" w:type="dxa"/>
            <w:vMerge w:val="continue"/>
            <w:tcBorders>
              <w:top w:val="nil"/>
              <w:left w:val="single" w:color="auto" w:sz="8" w:space="0"/>
              <w:bottom w:val="single" w:color="000000" w:sz="8" w:space="0"/>
              <w:right w:val="single" w:color="auto" w:sz="8" w:space="0"/>
            </w:tcBorders>
            <w:vAlign w:val="center"/>
          </w:tcPr>
          <w:p w14:paraId="525C082A">
            <w:pPr>
              <w:widowControl/>
              <w:jc w:val="center"/>
              <w:rPr>
                <w:rFonts w:ascii="宋体" w:hAnsi="宋体" w:cs="宋体"/>
                <w:kern w:val="0"/>
                <w:sz w:val="24"/>
              </w:rPr>
            </w:pPr>
          </w:p>
        </w:tc>
        <w:tc>
          <w:tcPr>
            <w:tcW w:w="3008" w:type="dxa"/>
            <w:tcBorders>
              <w:top w:val="nil"/>
              <w:left w:val="nil"/>
              <w:bottom w:val="single" w:color="auto" w:sz="8" w:space="0"/>
              <w:right w:val="single" w:color="auto" w:sz="8" w:space="0"/>
            </w:tcBorders>
            <w:noWrap/>
            <w:vAlign w:val="center"/>
          </w:tcPr>
          <w:p w14:paraId="2FB218B6">
            <w:pPr>
              <w:widowControl/>
              <w:jc w:val="center"/>
              <w:rPr>
                <w:rFonts w:ascii="宋体" w:hAnsi="宋体" w:cs="宋体"/>
                <w:kern w:val="0"/>
                <w:sz w:val="24"/>
              </w:rPr>
            </w:pPr>
            <w:r>
              <w:rPr>
                <w:rFonts w:hint="eastAsia" w:ascii="宋体" w:hAnsi="宋体" w:cs="宋体"/>
                <w:kern w:val="0"/>
                <w:sz w:val="24"/>
              </w:rPr>
              <w:t>林产品加工企业</w:t>
            </w:r>
          </w:p>
        </w:tc>
        <w:tc>
          <w:tcPr>
            <w:tcW w:w="1276" w:type="dxa"/>
            <w:tcBorders>
              <w:top w:val="nil"/>
              <w:left w:val="nil"/>
              <w:bottom w:val="single" w:color="auto" w:sz="8" w:space="0"/>
              <w:right w:val="single" w:color="auto" w:sz="8" w:space="0"/>
            </w:tcBorders>
            <w:noWrap/>
            <w:vAlign w:val="center"/>
          </w:tcPr>
          <w:p w14:paraId="5E6AD5B5">
            <w:pPr>
              <w:widowControl/>
              <w:jc w:val="center"/>
              <w:rPr>
                <w:kern w:val="0"/>
                <w:sz w:val="24"/>
              </w:rPr>
            </w:pPr>
            <w:r>
              <w:rPr>
                <w:kern w:val="0"/>
                <w:sz w:val="24"/>
              </w:rPr>
              <w:t>1</w:t>
            </w:r>
            <w:r>
              <w:rPr>
                <w:rFonts w:hint="eastAsia" w:ascii="宋体" w:hAnsi="宋体"/>
                <w:kern w:val="0"/>
                <w:sz w:val="24"/>
              </w:rPr>
              <w:t>家</w:t>
            </w:r>
          </w:p>
        </w:tc>
        <w:tc>
          <w:tcPr>
            <w:tcW w:w="1276" w:type="dxa"/>
            <w:tcBorders>
              <w:top w:val="nil"/>
              <w:left w:val="nil"/>
              <w:bottom w:val="single" w:color="auto" w:sz="8" w:space="0"/>
              <w:right w:val="single" w:color="auto" w:sz="8" w:space="0"/>
            </w:tcBorders>
            <w:vAlign w:val="center"/>
          </w:tcPr>
          <w:p w14:paraId="4395678E">
            <w:pPr>
              <w:widowControl/>
              <w:jc w:val="center"/>
              <w:rPr>
                <w:rFonts w:ascii="宋体" w:hAnsi="宋体" w:cs="宋体"/>
                <w:kern w:val="0"/>
                <w:sz w:val="24"/>
              </w:rPr>
            </w:pPr>
            <w:r>
              <w:rPr>
                <w:rFonts w:hint="eastAsia" w:ascii="宋体" w:hAnsi="宋体" w:cs="宋体"/>
                <w:kern w:val="0"/>
                <w:sz w:val="24"/>
              </w:rPr>
              <w:t>新建</w:t>
            </w:r>
          </w:p>
        </w:tc>
        <w:tc>
          <w:tcPr>
            <w:tcW w:w="1418" w:type="dxa"/>
            <w:tcBorders>
              <w:top w:val="nil"/>
              <w:left w:val="nil"/>
              <w:bottom w:val="single" w:color="auto" w:sz="8" w:space="0"/>
              <w:right w:val="single" w:color="auto" w:sz="8" w:space="0"/>
            </w:tcBorders>
            <w:noWrap/>
            <w:vAlign w:val="center"/>
          </w:tcPr>
          <w:p w14:paraId="55B29484">
            <w:pPr>
              <w:widowControl/>
              <w:jc w:val="center"/>
              <w:rPr>
                <w:kern w:val="0"/>
                <w:sz w:val="24"/>
              </w:rPr>
            </w:pPr>
            <w:r>
              <w:rPr>
                <w:kern w:val="0"/>
                <w:sz w:val="24"/>
              </w:rPr>
              <w:t>1000</w:t>
            </w:r>
          </w:p>
        </w:tc>
        <w:tc>
          <w:tcPr>
            <w:tcW w:w="1276" w:type="dxa"/>
            <w:tcBorders>
              <w:top w:val="nil"/>
              <w:left w:val="nil"/>
              <w:bottom w:val="single" w:color="auto" w:sz="8" w:space="0"/>
              <w:right w:val="single" w:color="auto" w:sz="8" w:space="0"/>
            </w:tcBorders>
            <w:vAlign w:val="center"/>
          </w:tcPr>
          <w:p w14:paraId="3EF8754D">
            <w:pPr>
              <w:widowControl/>
              <w:jc w:val="center"/>
              <w:rPr>
                <w:rFonts w:ascii="宋体" w:hAnsi="宋体" w:cs="宋体"/>
                <w:kern w:val="0"/>
                <w:sz w:val="24"/>
              </w:rPr>
            </w:pPr>
            <w:r>
              <w:rPr>
                <w:rFonts w:hint="eastAsia" w:ascii="宋体" w:hAnsi="宋体" w:cs="宋体"/>
                <w:kern w:val="0"/>
                <w:sz w:val="24"/>
              </w:rPr>
              <w:t>政府投资社会投资</w:t>
            </w:r>
          </w:p>
        </w:tc>
        <w:tc>
          <w:tcPr>
            <w:tcW w:w="3343" w:type="dxa"/>
            <w:tcBorders>
              <w:top w:val="nil"/>
              <w:left w:val="nil"/>
              <w:bottom w:val="single" w:color="auto" w:sz="8" w:space="0"/>
              <w:right w:val="single" w:color="auto" w:sz="8" w:space="0"/>
            </w:tcBorders>
            <w:noWrap/>
            <w:vAlign w:val="center"/>
          </w:tcPr>
          <w:p w14:paraId="5CB8F3A5">
            <w:pPr>
              <w:widowControl/>
              <w:jc w:val="center"/>
              <w:rPr>
                <w:rFonts w:ascii="宋体" w:hAnsi="宋体" w:cs="宋体"/>
                <w:kern w:val="0"/>
                <w:sz w:val="24"/>
              </w:rPr>
            </w:pPr>
            <w:r>
              <w:rPr>
                <w:rFonts w:ascii="宋体" w:hAnsi="宋体" w:cs="宋体"/>
                <w:kern w:val="0"/>
                <w:sz w:val="24"/>
              </w:rPr>
              <w:t>崖州区</w:t>
            </w:r>
          </w:p>
        </w:tc>
      </w:tr>
      <w:tr w14:paraId="3FD28BBD">
        <w:tblPrEx>
          <w:tblCellMar>
            <w:top w:w="0" w:type="dxa"/>
            <w:left w:w="108" w:type="dxa"/>
            <w:bottom w:w="0" w:type="dxa"/>
            <w:right w:w="108" w:type="dxa"/>
          </w:tblCellMar>
        </w:tblPrEx>
        <w:trPr>
          <w:trHeight w:val="330" w:hRule="atLeast"/>
        </w:trPr>
        <w:tc>
          <w:tcPr>
            <w:tcW w:w="706" w:type="dxa"/>
            <w:vMerge w:val="continue"/>
            <w:tcBorders>
              <w:top w:val="nil"/>
              <w:left w:val="single" w:color="auto" w:sz="8" w:space="0"/>
              <w:bottom w:val="single" w:color="000000" w:sz="8" w:space="0"/>
              <w:right w:val="single" w:color="auto" w:sz="8" w:space="0"/>
            </w:tcBorders>
            <w:vAlign w:val="center"/>
          </w:tcPr>
          <w:p w14:paraId="3593AA8A">
            <w:pPr>
              <w:widowControl/>
              <w:jc w:val="center"/>
              <w:rPr>
                <w:kern w:val="0"/>
                <w:sz w:val="24"/>
              </w:rPr>
            </w:pPr>
          </w:p>
        </w:tc>
        <w:tc>
          <w:tcPr>
            <w:tcW w:w="4554" w:type="dxa"/>
            <w:gridSpan w:val="2"/>
            <w:tcBorders>
              <w:top w:val="single" w:color="auto" w:sz="8" w:space="0"/>
              <w:left w:val="nil"/>
              <w:bottom w:val="single" w:color="auto" w:sz="8" w:space="0"/>
              <w:right w:val="single" w:color="000000" w:sz="8" w:space="0"/>
            </w:tcBorders>
            <w:vAlign w:val="center"/>
          </w:tcPr>
          <w:p w14:paraId="7D023BCF">
            <w:pPr>
              <w:widowControl/>
              <w:jc w:val="center"/>
              <w:rPr>
                <w:rFonts w:ascii="宋体" w:hAnsi="宋体" w:cs="宋体"/>
                <w:b/>
                <w:bCs/>
                <w:kern w:val="0"/>
                <w:sz w:val="24"/>
              </w:rPr>
            </w:pPr>
            <w:r>
              <w:rPr>
                <w:rFonts w:hint="eastAsia" w:ascii="宋体" w:hAnsi="宋体" w:cs="宋体"/>
                <w:b/>
                <w:bCs/>
                <w:kern w:val="0"/>
                <w:sz w:val="24"/>
              </w:rPr>
              <w:t>小计</w:t>
            </w:r>
          </w:p>
        </w:tc>
        <w:tc>
          <w:tcPr>
            <w:tcW w:w="1276" w:type="dxa"/>
            <w:tcBorders>
              <w:top w:val="nil"/>
              <w:left w:val="nil"/>
              <w:bottom w:val="single" w:color="auto" w:sz="8" w:space="0"/>
              <w:right w:val="single" w:color="auto" w:sz="8" w:space="0"/>
            </w:tcBorders>
            <w:vAlign w:val="center"/>
          </w:tcPr>
          <w:p w14:paraId="59BD5F92">
            <w:pPr>
              <w:widowControl/>
              <w:jc w:val="center"/>
              <w:rPr>
                <w:rFonts w:ascii="宋体" w:hAnsi="宋体" w:cs="宋体"/>
                <w:b/>
                <w:bCs/>
                <w:kern w:val="0"/>
                <w:sz w:val="24"/>
              </w:rPr>
            </w:pPr>
          </w:p>
        </w:tc>
        <w:tc>
          <w:tcPr>
            <w:tcW w:w="1276" w:type="dxa"/>
            <w:tcBorders>
              <w:top w:val="nil"/>
              <w:left w:val="nil"/>
              <w:bottom w:val="single" w:color="auto" w:sz="8" w:space="0"/>
              <w:right w:val="single" w:color="auto" w:sz="8" w:space="0"/>
            </w:tcBorders>
            <w:noWrap/>
            <w:vAlign w:val="center"/>
          </w:tcPr>
          <w:p w14:paraId="5108491E">
            <w:pPr>
              <w:widowControl/>
              <w:jc w:val="center"/>
              <w:rPr>
                <w:rFonts w:ascii="宋体" w:hAnsi="宋体" w:cs="宋体"/>
                <w:kern w:val="0"/>
                <w:sz w:val="24"/>
              </w:rPr>
            </w:pPr>
          </w:p>
        </w:tc>
        <w:tc>
          <w:tcPr>
            <w:tcW w:w="1418" w:type="dxa"/>
            <w:tcBorders>
              <w:top w:val="nil"/>
              <w:left w:val="nil"/>
              <w:bottom w:val="single" w:color="auto" w:sz="8" w:space="0"/>
              <w:right w:val="single" w:color="auto" w:sz="8" w:space="0"/>
            </w:tcBorders>
            <w:noWrap/>
            <w:vAlign w:val="center"/>
          </w:tcPr>
          <w:p w14:paraId="45E9DF03">
            <w:pPr>
              <w:widowControl/>
              <w:jc w:val="center"/>
              <w:rPr>
                <w:b/>
                <w:bCs/>
                <w:kern w:val="0"/>
                <w:sz w:val="24"/>
              </w:rPr>
            </w:pPr>
            <w:r>
              <w:rPr>
                <w:rFonts w:hint="eastAsia"/>
                <w:b/>
                <w:bCs/>
                <w:kern w:val="0"/>
                <w:sz w:val="24"/>
              </w:rPr>
              <w:t>4</w:t>
            </w:r>
            <w:r>
              <w:rPr>
                <w:b/>
                <w:bCs/>
                <w:kern w:val="0"/>
                <w:sz w:val="24"/>
              </w:rPr>
              <w:t>000</w:t>
            </w:r>
          </w:p>
        </w:tc>
        <w:tc>
          <w:tcPr>
            <w:tcW w:w="1276" w:type="dxa"/>
            <w:tcBorders>
              <w:top w:val="nil"/>
              <w:left w:val="nil"/>
              <w:bottom w:val="single" w:color="auto" w:sz="8" w:space="0"/>
              <w:right w:val="single" w:color="auto" w:sz="8" w:space="0"/>
            </w:tcBorders>
            <w:noWrap/>
            <w:vAlign w:val="center"/>
          </w:tcPr>
          <w:p w14:paraId="381D4B22">
            <w:pPr>
              <w:widowControl/>
              <w:jc w:val="center"/>
              <w:rPr>
                <w:rFonts w:ascii="宋体" w:hAnsi="宋体" w:cs="宋体"/>
                <w:kern w:val="0"/>
                <w:sz w:val="24"/>
              </w:rPr>
            </w:pPr>
          </w:p>
        </w:tc>
        <w:tc>
          <w:tcPr>
            <w:tcW w:w="3343" w:type="dxa"/>
            <w:tcBorders>
              <w:top w:val="nil"/>
              <w:left w:val="nil"/>
              <w:bottom w:val="single" w:color="auto" w:sz="8" w:space="0"/>
              <w:right w:val="single" w:color="auto" w:sz="8" w:space="0"/>
            </w:tcBorders>
            <w:noWrap/>
            <w:vAlign w:val="center"/>
          </w:tcPr>
          <w:p w14:paraId="56D83769">
            <w:pPr>
              <w:widowControl/>
              <w:jc w:val="center"/>
              <w:rPr>
                <w:rFonts w:ascii="宋体" w:hAnsi="宋体" w:cs="宋体"/>
                <w:kern w:val="0"/>
                <w:sz w:val="24"/>
              </w:rPr>
            </w:pPr>
          </w:p>
        </w:tc>
      </w:tr>
      <w:tr w14:paraId="2A628DAF">
        <w:tblPrEx>
          <w:tblCellMar>
            <w:top w:w="0" w:type="dxa"/>
            <w:left w:w="108" w:type="dxa"/>
            <w:bottom w:w="0" w:type="dxa"/>
            <w:right w:w="108" w:type="dxa"/>
          </w:tblCellMar>
        </w:tblPrEx>
        <w:trPr>
          <w:trHeight w:val="390" w:hRule="atLeast"/>
        </w:trPr>
        <w:tc>
          <w:tcPr>
            <w:tcW w:w="706" w:type="dxa"/>
            <w:vMerge w:val="restart"/>
            <w:tcBorders>
              <w:top w:val="nil"/>
              <w:left w:val="single" w:color="auto" w:sz="8" w:space="0"/>
              <w:bottom w:val="single" w:color="000000" w:sz="8" w:space="0"/>
              <w:right w:val="single" w:color="auto" w:sz="8" w:space="0"/>
            </w:tcBorders>
            <w:noWrap/>
            <w:vAlign w:val="center"/>
          </w:tcPr>
          <w:p w14:paraId="0B47AE46">
            <w:pPr>
              <w:widowControl/>
              <w:jc w:val="center"/>
              <w:rPr>
                <w:kern w:val="0"/>
                <w:sz w:val="24"/>
              </w:rPr>
            </w:pPr>
            <w:r>
              <w:rPr>
                <w:kern w:val="0"/>
                <w:sz w:val="24"/>
              </w:rPr>
              <w:t>2</w:t>
            </w:r>
          </w:p>
        </w:tc>
        <w:tc>
          <w:tcPr>
            <w:tcW w:w="1546" w:type="dxa"/>
            <w:vMerge w:val="restart"/>
            <w:tcBorders>
              <w:top w:val="nil"/>
              <w:left w:val="single" w:color="auto" w:sz="8" w:space="0"/>
              <w:bottom w:val="single" w:color="000000" w:sz="8" w:space="0"/>
              <w:right w:val="single" w:color="auto" w:sz="8" w:space="0"/>
            </w:tcBorders>
            <w:vAlign w:val="center"/>
          </w:tcPr>
          <w:p w14:paraId="57F57A63">
            <w:pPr>
              <w:widowControl/>
              <w:jc w:val="center"/>
              <w:rPr>
                <w:rFonts w:ascii="宋体" w:hAnsi="宋体" w:cs="宋体"/>
                <w:kern w:val="0"/>
                <w:sz w:val="24"/>
              </w:rPr>
            </w:pPr>
            <w:r>
              <w:rPr>
                <w:rFonts w:hint="eastAsia" w:ascii="宋体" w:hAnsi="宋体" w:cs="宋体"/>
                <w:kern w:val="0"/>
                <w:sz w:val="24"/>
              </w:rPr>
              <w:t>中长期（</w:t>
            </w:r>
            <w:r>
              <w:rPr>
                <w:kern w:val="0"/>
                <w:sz w:val="24"/>
              </w:rPr>
              <w:t>2026~2035</w:t>
            </w:r>
            <w:r>
              <w:rPr>
                <w:rFonts w:hint="eastAsia" w:ascii="宋体" w:hAnsi="宋体" w:cs="宋体"/>
                <w:kern w:val="0"/>
                <w:sz w:val="24"/>
              </w:rPr>
              <w:t>年）</w:t>
            </w:r>
          </w:p>
        </w:tc>
        <w:tc>
          <w:tcPr>
            <w:tcW w:w="3008" w:type="dxa"/>
            <w:tcBorders>
              <w:top w:val="nil"/>
              <w:left w:val="nil"/>
              <w:bottom w:val="single" w:color="auto" w:sz="8" w:space="0"/>
              <w:right w:val="single" w:color="auto" w:sz="8" w:space="0"/>
            </w:tcBorders>
            <w:noWrap/>
            <w:vAlign w:val="center"/>
          </w:tcPr>
          <w:p w14:paraId="7F650253">
            <w:pPr>
              <w:widowControl/>
              <w:jc w:val="center"/>
              <w:rPr>
                <w:rFonts w:ascii="宋体" w:hAnsi="宋体" w:cs="宋体"/>
                <w:kern w:val="0"/>
                <w:sz w:val="24"/>
              </w:rPr>
            </w:pPr>
            <w:r>
              <w:rPr>
                <w:rFonts w:hint="eastAsia" w:ascii="宋体" w:hAnsi="宋体" w:cs="宋体"/>
                <w:kern w:val="0"/>
                <w:sz w:val="24"/>
              </w:rPr>
              <w:t>国家储备林基地</w:t>
            </w:r>
          </w:p>
        </w:tc>
        <w:tc>
          <w:tcPr>
            <w:tcW w:w="1276" w:type="dxa"/>
            <w:tcBorders>
              <w:top w:val="nil"/>
              <w:left w:val="nil"/>
              <w:bottom w:val="single" w:color="auto" w:sz="8" w:space="0"/>
              <w:right w:val="single" w:color="auto" w:sz="8" w:space="0"/>
            </w:tcBorders>
            <w:noWrap/>
            <w:vAlign w:val="center"/>
          </w:tcPr>
          <w:p w14:paraId="61172C9A">
            <w:pPr>
              <w:widowControl/>
              <w:jc w:val="center"/>
              <w:rPr>
                <w:kern w:val="0"/>
                <w:sz w:val="24"/>
              </w:rPr>
            </w:pPr>
            <w:r>
              <w:rPr>
                <w:rFonts w:hint="eastAsia"/>
                <w:kern w:val="0"/>
                <w:sz w:val="24"/>
              </w:rPr>
              <w:t>3</w:t>
            </w:r>
            <w:r>
              <w:rPr>
                <w:kern w:val="0"/>
                <w:sz w:val="24"/>
              </w:rPr>
              <w:t>00 hm</w:t>
            </w:r>
            <w:r>
              <w:rPr>
                <w:kern w:val="0"/>
                <w:sz w:val="24"/>
                <w:vertAlign w:val="superscript"/>
              </w:rPr>
              <w:t>2</w:t>
            </w:r>
          </w:p>
        </w:tc>
        <w:tc>
          <w:tcPr>
            <w:tcW w:w="1276" w:type="dxa"/>
            <w:tcBorders>
              <w:top w:val="nil"/>
              <w:left w:val="nil"/>
              <w:bottom w:val="single" w:color="auto" w:sz="8" w:space="0"/>
              <w:right w:val="single" w:color="auto" w:sz="8" w:space="0"/>
            </w:tcBorders>
            <w:vAlign w:val="center"/>
          </w:tcPr>
          <w:p w14:paraId="5116F2ED">
            <w:pPr>
              <w:widowControl/>
              <w:jc w:val="center"/>
              <w:rPr>
                <w:rFonts w:ascii="宋体" w:hAnsi="宋体" w:cs="宋体"/>
                <w:kern w:val="0"/>
                <w:sz w:val="24"/>
              </w:rPr>
            </w:pPr>
            <w:r>
              <w:rPr>
                <w:rFonts w:hint="eastAsia" w:ascii="宋体" w:hAnsi="宋体" w:cs="宋体"/>
                <w:kern w:val="0"/>
                <w:sz w:val="24"/>
              </w:rPr>
              <w:t>续建</w:t>
            </w:r>
          </w:p>
        </w:tc>
        <w:tc>
          <w:tcPr>
            <w:tcW w:w="1418" w:type="dxa"/>
            <w:tcBorders>
              <w:top w:val="nil"/>
              <w:left w:val="nil"/>
              <w:bottom w:val="single" w:color="auto" w:sz="8" w:space="0"/>
              <w:right w:val="single" w:color="auto" w:sz="8" w:space="0"/>
            </w:tcBorders>
            <w:noWrap/>
            <w:vAlign w:val="center"/>
          </w:tcPr>
          <w:p w14:paraId="787245E9">
            <w:pPr>
              <w:widowControl/>
              <w:jc w:val="center"/>
              <w:rPr>
                <w:kern w:val="0"/>
                <w:sz w:val="24"/>
              </w:rPr>
            </w:pPr>
            <w:r>
              <w:rPr>
                <w:rFonts w:hint="eastAsia"/>
                <w:kern w:val="0"/>
                <w:sz w:val="24"/>
              </w:rPr>
              <w:t>45</w:t>
            </w:r>
            <w:r>
              <w:rPr>
                <w:kern w:val="0"/>
                <w:sz w:val="24"/>
              </w:rPr>
              <w:t>000</w:t>
            </w:r>
          </w:p>
        </w:tc>
        <w:tc>
          <w:tcPr>
            <w:tcW w:w="1276" w:type="dxa"/>
            <w:tcBorders>
              <w:top w:val="nil"/>
              <w:left w:val="nil"/>
              <w:bottom w:val="single" w:color="auto" w:sz="8" w:space="0"/>
              <w:right w:val="single" w:color="auto" w:sz="8" w:space="0"/>
            </w:tcBorders>
            <w:vAlign w:val="center"/>
          </w:tcPr>
          <w:p w14:paraId="52F0F75A">
            <w:pPr>
              <w:widowControl/>
              <w:jc w:val="center"/>
              <w:rPr>
                <w:rFonts w:ascii="宋体" w:hAnsi="宋体" w:cs="宋体"/>
                <w:kern w:val="0"/>
                <w:sz w:val="24"/>
              </w:rPr>
            </w:pPr>
            <w:r>
              <w:rPr>
                <w:rFonts w:hint="eastAsia" w:ascii="宋体" w:hAnsi="宋体" w:cs="宋体"/>
                <w:kern w:val="0"/>
                <w:sz w:val="24"/>
              </w:rPr>
              <w:t>社会投资</w:t>
            </w:r>
          </w:p>
        </w:tc>
        <w:tc>
          <w:tcPr>
            <w:tcW w:w="3343" w:type="dxa"/>
            <w:tcBorders>
              <w:top w:val="nil"/>
              <w:left w:val="nil"/>
              <w:bottom w:val="single" w:color="auto" w:sz="8" w:space="0"/>
              <w:right w:val="single" w:color="auto" w:sz="8" w:space="0"/>
            </w:tcBorders>
            <w:noWrap/>
            <w:vAlign w:val="center"/>
          </w:tcPr>
          <w:p w14:paraId="014E0D58">
            <w:pPr>
              <w:widowControl/>
              <w:jc w:val="center"/>
              <w:rPr>
                <w:rFonts w:ascii="宋体" w:hAnsi="宋体" w:cs="宋体"/>
                <w:kern w:val="0"/>
                <w:sz w:val="24"/>
              </w:rPr>
            </w:pPr>
            <w:r>
              <w:rPr>
                <w:rFonts w:ascii="宋体" w:hAnsi="宋体" w:cs="宋体"/>
                <w:kern w:val="0"/>
                <w:sz w:val="24"/>
              </w:rPr>
              <w:t>育才生态区</w:t>
            </w:r>
          </w:p>
        </w:tc>
      </w:tr>
      <w:tr w14:paraId="076238E5">
        <w:tblPrEx>
          <w:tblCellMar>
            <w:top w:w="0" w:type="dxa"/>
            <w:left w:w="108" w:type="dxa"/>
            <w:bottom w:w="0" w:type="dxa"/>
            <w:right w:w="108" w:type="dxa"/>
          </w:tblCellMar>
        </w:tblPrEx>
        <w:trPr>
          <w:trHeight w:val="330" w:hRule="atLeast"/>
        </w:trPr>
        <w:tc>
          <w:tcPr>
            <w:tcW w:w="706" w:type="dxa"/>
            <w:vMerge w:val="continue"/>
            <w:tcBorders>
              <w:top w:val="nil"/>
              <w:left w:val="single" w:color="auto" w:sz="8" w:space="0"/>
              <w:bottom w:val="single" w:color="000000" w:sz="8" w:space="0"/>
              <w:right w:val="single" w:color="auto" w:sz="8" w:space="0"/>
            </w:tcBorders>
            <w:vAlign w:val="center"/>
          </w:tcPr>
          <w:p w14:paraId="21E24C91">
            <w:pPr>
              <w:widowControl/>
              <w:jc w:val="center"/>
              <w:rPr>
                <w:kern w:val="0"/>
                <w:sz w:val="24"/>
              </w:rPr>
            </w:pPr>
          </w:p>
        </w:tc>
        <w:tc>
          <w:tcPr>
            <w:tcW w:w="1546" w:type="dxa"/>
            <w:vMerge w:val="continue"/>
            <w:tcBorders>
              <w:top w:val="nil"/>
              <w:left w:val="single" w:color="auto" w:sz="8" w:space="0"/>
              <w:bottom w:val="single" w:color="000000" w:sz="8" w:space="0"/>
              <w:right w:val="single" w:color="auto" w:sz="8" w:space="0"/>
            </w:tcBorders>
            <w:vAlign w:val="center"/>
          </w:tcPr>
          <w:p w14:paraId="01A01B6D">
            <w:pPr>
              <w:widowControl/>
              <w:jc w:val="center"/>
              <w:rPr>
                <w:rFonts w:ascii="宋体" w:hAnsi="宋体" w:cs="宋体"/>
                <w:kern w:val="0"/>
                <w:sz w:val="24"/>
              </w:rPr>
            </w:pPr>
          </w:p>
        </w:tc>
        <w:tc>
          <w:tcPr>
            <w:tcW w:w="3008" w:type="dxa"/>
            <w:tcBorders>
              <w:top w:val="nil"/>
              <w:left w:val="nil"/>
              <w:bottom w:val="single" w:color="auto" w:sz="8" w:space="0"/>
              <w:right w:val="single" w:color="auto" w:sz="8" w:space="0"/>
            </w:tcBorders>
            <w:noWrap/>
            <w:vAlign w:val="center"/>
          </w:tcPr>
          <w:p w14:paraId="7648DE07">
            <w:pPr>
              <w:widowControl/>
              <w:jc w:val="center"/>
              <w:rPr>
                <w:rFonts w:hint="eastAsia" w:ascii="宋体" w:hAnsi="宋体" w:cs="宋体"/>
                <w:kern w:val="0"/>
                <w:sz w:val="24"/>
              </w:rPr>
            </w:pPr>
            <w:r>
              <w:rPr>
                <w:rFonts w:hint="eastAsia" w:ascii="宋体" w:hAnsi="宋体" w:cs="宋体"/>
                <w:kern w:val="0"/>
                <w:sz w:val="24"/>
              </w:rPr>
              <w:t>现有林改培</w:t>
            </w:r>
          </w:p>
        </w:tc>
        <w:tc>
          <w:tcPr>
            <w:tcW w:w="1276" w:type="dxa"/>
            <w:tcBorders>
              <w:top w:val="nil"/>
              <w:left w:val="nil"/>
              <w:bottom w:val="single" w:color="auto" w:sz="8" w:space="0"/>
              <w:right w:val="single" w:color="auto" w:sz="8" w:space="0"/>
            </w:tcBorders>
            <w:noWrap/>
            <w:vAlign w:val="center"/>
          </w:tcPr>
          <w:p w14:paraId="647AA84B">
            <w:pPr>
              <w:widowControl/>
              <w:jc w:val="center"/>
              <w:rPr>
                <w:kern w:val="0"/>
                <w:sz w:val="24"/>
              </w:rPr>
            </w:pPr>
            <w:r>
              <w:rPr>
                <w:rFonts w:hint="eastAsia"/>
                <w:kern w:val="0"/>
                <w:sz w:val="24"/>
              </w:rPr>
              <w:t>200</w:t>
            </w:r>
            <w:r>
              <w:rPr>
                <w:kern w:val="0"/>
                <w:sz w:val="24"/>
              </w:rPr>
              <w:t xml:space="preserve"> hm</w:t>
            </w:r>
            <w:r>
              <w:rPr>
                <w:kern w:val="0"/>
                <w:sz w:val="24"/>
                <w:vertAlign w:val="superscript"/>
              </w:rPr>
              <w:t>2</w:t>
            </w:r>
          </w:p>
        </w:tc>
        <w:tc>
          <w:tcPr>
            <w:tcW w:w="1276" w:type="dxa"/>
            <w:tcBorders>
              <w:top w:val="nil"/>
              <w:left w:val="nil"/>
              <w:bottom w:val="single" w:color="auto" w:sz="8" w:space="0"/>
              <w:right w:val="single" w:color="auto" w:sz="8" w:space="0"/>
            </w:tcBorders>
            <w:vAlign w:val="center"/>
          </w:tcPr>
          <w:p w14:paraId="509728AD">
            <w:pPr>
              <w:widowControl/>
              <w:jc w:val="center"/>
              <w:rPr>
                <w:rFonts w:hint="eastAsia" w:ascii="宋体" w:hAnsi="宋体" w:cs="宋体"/>
                <w:kern w:val="0"/>
                <w:sz w:val="24"/>
              </w:rPr>
            </w:pPr>
            <w:r>
              <w:rPr>
                <w:rFonts w:hint="eastAsia" w:ascii="宋体" w:hAnsi="宋体" w:cs="宋体"/>
                <w:kern w:val="0"/>
                <w:sz w:val="24"/>
              </w:rPr>
              <w:t>提质</w:t>
            </w:r>
          </w:p>
        </w:tc>
        <w:tc>
          <w:tcPr>
            <w:tcW w:w="1418" w:type="dxa"/>
            <w:tcBorders>
              <w:top w:val="nil"/>
              <w:left w:val="nil"/>
              <w:bottom w:val="single" w:color="auto" w:sz="8" w:space="0"/>
              <w:right w:val="single" w:color="auto" w:sz="8" w:space="0"/>
            </w:tcBorders>
            <w:noWrap/>
            <w:vAlign w:val="center"/>
          </w:tcPr>
          <w:p w14:paraId="5200501C">
            <w:pPr>
              <w:widowControl/>
              <w:jc w:val="center"/>
              <w:rPr>
                <w:kern w:val="0"/>
                <w:sz w:val="24"/>
              </w:rPr>
            </w:pPr>
            <w:r>
              <w:rPr>
                <w:rFonts w:hint="eastAsia"/>
                <w:kern w:val="0"/>
                <w:sz w:val="24"/>
              </w:rPr>
              <w:t>30</w:t>
            </w:r>
            <w:r>
              <w:rPr>
                <w:kern w:val="0"/>
                <w:sz w:val="24"/>
              </w:rPr>
              <w:t>000</w:t>
            </w:r>
          </w:p>
        </w:tc>
        <w:tc>
          <w:tcPr>
            <w:tcW w:w="1276" w:type="dxa"/>
            <w:tcBorders>
              <w:top w:val="nil"/>
              <w:left w:val="nil"/>
              <w:bottom w:val="single" w:color="auto" w:sz="8" w:space="0"/>
              <w:right w:val="single" w:color="auto" w:sz="8" w:space="0"/>
            </w:tcBorders>
            <w:vAlign w:val="center"/>
          </w:tcPr>
          <w:p w14:paraId="710E2526">
            <w:pPr>
              <w:widowControl/>
              <w:jc w:val="center"/>
              <w:rPr>
                <w:rFonts w:hint="eastAsia" w:ascii="宋体" w:hAnsi="宋体" w:cs="宋体"/>
                <w:kern w:val="0"/>
                <w:sz w:val="24"/>
              </w:rPr>
            </w:pPr>
            <w:r>
              <w:rPr>
                <w:rFonts w:hint="eastAsia" w:ascii="宋体" w:hAnsi="宋体" w:cs="宋体"/>
                <w:kern w:val="0"/>
                <w:sz w:val="24"/>
              </w:rPr>
              <w:t>政府投资</w:t>
            </w:r>
          </w:p>
        </w:tc>
        <w:tc>
          <w:tcPr>
            <w:tcW w:w="3343" w:type="dxa"/>
            <w:tcBorders>
              <w:top w:val="nil"/>
              <w:left w:val="nil"/>
              <w:bottom w:val="single" w:color="auto" w:sz="8" w:space="0"/>
              <w:right w:val="single" w:color="auto" w:sz="8" w:space="0"/>
            </w:tcBorders>
            <w:noWrap/>
            <w:vAlign w:val="center"/>
          </w:tcPr>
          <w:p w14:paraId="46B420FC">
            <w:pPr>
              <w:widowControl/>
              <w:jc w:val="center"/>
              <w:rPr>
                <w:rFonts w:hint="eastAsia" w:ascii="宋体" w:hAnsi="宋体" w:cs="宋体"/>
                <w:kern w:val="0"/>
                <w:sz w:val="24"/>
              </w:rPr>
            </w:pPr>
            <w:r>
              <w:rPr>
                <w:rFonts w:hint="eastAsia" w:ascii="宋体" w:hAnsi="宋体" w:cs="宋体"/>
                <w:kern w:val="0"/>
                <w:sz w:val="24"/>
              </w:rPr>
              <w:t>全市范围</w:t>
            </w:r>
          </w:p>
        </w:tc>
      </w:tr>
      <w:tr w14:paraId="6E86297D">
        <w:tblPrEx>
          <w:tblCellMar>
            <w:top w:w="0" w:type="dxa"/>
            <w:left w:w="108" w:type="dxa"/>
            <w:bottom w:w="0" w:type="dxa"/>
            <w:right w:w="108" w:type="dxa"/>
          </w:tblCellMar>
        </w:tblPrEx>
        <w:trPr>
          <w:trHeight w:val="330" w:hRule="atLeast"/>
        </w:trPr>
        <w:tc>
          <w:tcPr>
            <w:tcW w:w="706" w:type="dxa"/>
            <w:vMerge w:val="continue"/>
            <w:tcBorders>
              <w:top w:val="nil"/>
              <w:left w:val="single" w:color="auto" w:sz="8" w:space="0"/>
              <w:bottom w:val="single" w:color="000000" w:sz="8" w:space="0"/>
              <w:right w:val="single" w:color="auto" w:sz="8" w:space="0"/>
            </w:tcBorders>
            <w:vAlign w:val="center"/>
          </w:tcPr>
          <w:p w14:paraId="5E2D5865">
            <w:pPr>
              <w:widowControl/>
              <w:jc w:val="center"/>
              <w:rPr>
                <w:kern w:val="0"/>
                <w:sz w:val="24"/>
              </w:rPr>
            </w:pPr>
          </w:p>
        </w:tc>
        <w:tc>
          <w:tcPr>
            <w:tcW w:w="1546" w:type="dxa"/>
            <w:vMerge w:val="continue"/>
            <w:tcBorders>
              <w:top w:val="nil"/>
              <w:left w:val="single" w:color="auto" w:sz="8" w:space="0"/>
              <w:bottom w:val="single" w:color="000000" w:sz="8" w:space="0"/>
              <w:right w:val="single" w:color="auto" w:sz="8" w:space="0"/>
            </w:tcBorders>
            <w:vAlign w:val="center"/>
          </w:tcPr>
          <w:p w14:paraId="0CA5052B">
            <w:pPr>
              <w:widowControl/>
              <w:jc w:val="center"/>
              <w:rPr>
                <w:rFonts w:ascii="宋体" w:hAnsi="宋体" w:cs="宋体"/>
                <w:kern w:val="0"/>
                <w:sz w:val="24"/>
              </w:rPr>
            </w:pPr>
          </w:p>
        </w:tc>
        <w:tc>
          <w:tcPr>
            <w:tcW w:w="3008" w:type="dxa"/>
            <w:tcBorders>
              <w:top w:val="nil"/>
              <w:left w:val="nil"/>
              <w:bottom w:val="single" w:color="auto" w:sz="8" w:space="0"/>
              <w:right w:val="single" w:color="auto" w:sz="8" w:space="0"/>
            </w:tcBorders>
            <w:noWrap/>
            <w:vAlign w:val="center"/>
          </w:tcPr>
          <w:p w14:paraId="31C3FA5E">
            <w:pPr>
              <w:widowControl/>
              <w:jc w:val="center"/>
              <w:rPr>
                <w:rFonts w:ascii="宋体" w:hAnsi="宋体" w:cs="宋体"/>
                <w:kern w:val="0"/>
                <w:sz w:val="24"/>
              </w:rPr>
            </w:pPr>
            <w:r>
              <w:rPr>
                <w:rFonts w:hint="eastAsia" w:ascii="宋体" w:hAnsi="宋体" w:cs="宋体"/>
                <w:kern w:val="0"/>
                <w:sz w:val="24"/>
              </w:rPr>
              <w:t>人工结香技术示范基地</w:t>
            </w:r>
          </w:p>
        </w:tc>
        <w:tc>
          <w:tcPr>
            <w:tcW w:w="1276" w:type="dxa"/>
            <w:tcBorders>
              <w:top w:val="nil"/>
              <w:left w:val="nil"/>
              <w:bottom w:val="single" w:color="auto" w:sz="8" w:space="0"/>
              <w:right w:val="single" w:color="auto" w:sz="8" w:space="0"/>
            </w:tcBorders>
            <w:noWrap/>
            <w:vAlign w:val="center"/>
          </w:tcPr>
          <w:p w14:paraId="4668C762">
            <w:pPr>
              <w:widowControl/>
              <w:jc w:val="center"/>
              <w:rPr>
                <w:kern w:val="0"/>
                <w:sz w:val="24"/>
              </w:rPr>
            </w:pPr>
            <w:r>
              <w:rPr>
                <w:kern w:val="0"/>
                <w:sz w:val="24"/>
              </w:rPr>
              <w:t>1</w:t>
            </w:r>
            <w:r>
              <w:rPr>
                <w:rFonts w:hint="eastAsia" w:ascii="宋体" w:hAnsi="宋体"/>
                <w:kern w:val="0"/>
                <w:sz w:val="24"/>
              </w:rPr>
              <w:t>个</w:t>
            </w:r>
          </w:p>
        </w:tc>
        <w:tc>
          <w:tcPr>
            <w:tcW w:w="1276" w:type="dxa"/>
            <w:tcBorders>
              <w:top w:val="nil"/>
              <w:left w:val="nil"/>
              <w:bottom w:val="single" w:color="auto" w:sz="8" w:space="0"/>
              <w:right w:val="single" w:color="auto" w:sz="8" w:space="0"/>
            </w:tcBorders>
            <w:vAlign w:val="center"/>
          </w:tcPr>
          <w:p w14:paraId="3CB5CF45">
            <w:pPr>
              <w:widowControl/>
              <w:jc w:val="center"/>
              <w:rPr>
                <w:rFonts w:ascii="宋体" w:hAnsi="宋体" w:cs="宋体"/>
                <w:kern w:val="0"/>
                <w:sz w:val="24"/>
              </w:rPr>
            </w:pPr>
            <w:r>
              <w:rPr>
                <w:rFonts w:hint="eastAsia" w:ascii="宋体" w:hAnsi="宋体" w:cs="宋体"/>
                <w:kern w:val="0"/>
                <w:sz w:val="24"/>
              </w:rPr>
              <w:t>提质</w:t>
            </w:r>
          </w:p>
        </w:tc>
        <w:tc>
          <w:tcPr>
            <w:tcW w:w="1418" w:type="dxa"/>
            <w:tcBorders>
              <w:top w:val="nil"/>
              <w:left w:val="nil"/>
              <w:bottom w:val="single" w:color="auto" w:sz="8" w:space="0"/>
              <w:right w:val="single" w:color="auto" w:sz="8" w:space="0"/>
            </w:tcBorders>
            <w:noWrap/>
            <w:vAlign w:val="center"/>
          </w:tcPr>
          <w:p w14:paraId="25DD6DA6">
            <w:pPr>
              <w:widowControl/>
              <w:jc w:val="center"/>
              <w:rPr>
                <w:kern w:val="0"/>
                <w:sz w:val="24"/>
              </w:rPr>
            </w:pPr>
            <w:r>
              <w:rPr>
                <w:kern w:val="0"/>
                <w:sz w:val="24"/>
              </w:rPr>
              <w:t>1000</w:t>
            </w:r>
          </w:p>
        </w:tc>
        <w:tc>
          <w:tcPr>
            <w:tcW w:w="1276" w:type="dxa"/>
            <w:tcBorders>
              <w:top w:val="nil"/>
              <w:left w:val="nil"/>
              <w:bottom w:val="single" w:color="auto" w:sz="8" w:space="0"/>
              <w:right w:val="single" w:color="auto" w:sz="8" w:space="0"/>
            </w:tcBorders>
            <w:vAlign w:val="center"/>
          </w:tcPr>
          <w:p w14:paraId="3AC43C24">
            <w:pPr>
              <w:widowControl/>
              <w:jc w:val="center"/>
              <w:rPr>
                <w:rFonts w:ascii="宋体" w:hAnsi="宋体" w:cs="宋体"/>
                <w:kern w:val="0"/>
                <w:sz w:val="24"/>
              </w:rPr>
            </w:pPr>
            <w:r>
              <w:rPr>
                <w:rFonts w:hint="eastAsia" w:ascii="宋体" w:hAnsi="宋体" w:cs="宋体"/>
                <w:kern w:val="0"/>
                <w:sz w:val="24"/>
              </w:rPr>
              <w:t>政府投资社会投资</w:t>
            </w:r>
          </w:p>
        </w:tc>
        <w:tc>
          <w:tcPr>
            <w:tcW w:w="3343" w:type="dxa"/>
            <w:tcBorders>
              <w:top w:val="nil"/>
              <w:left w:val="nil"/>
              <w:bottom w:val="single" w:color="auto" w:sz="8" w:space="0"/>
              <w:right w:val="single" w:color="auto" w:sz="8" w:space="0"/>
            </w:tcBorders>
            <w:noWrap/>
            <w:vAlign w:val="center"/>
          </w:tcPr>
          <w:p w14:paraId="15440BD2">
            <w:pPr>
              <w:widowControl/>
              <w:jc w:val="center"/>
              <w:rPr>
                <w:rFonts w:ascii="宋体" w:hAnsi="宋体" w:cs="宋体"/>
                <w:kern w:val="0"/>
                <w:sz w:val="24"/>
              </w:rPr>
            </w:pPr>
            <w:r>
              <w:rPr>
                <w:rFonts w:ascii="宋体" w:hAnsi="宋体" w:cs="宋体"/>
                <w:kern w:val="0"/>
                <w:sz w:val="24"/>
              </w:rPr>
              <w:t>天涯区</w:t>
            </w:r>
          </w:p>
        </w:tc>
      </w:tr>
      <w:tr w14:paraId="4C814FA0">
        <w:tblPrEx>
          <w:tblCellMar>
            <w:top w:w="0" w:type="dxa"/>
            <w:left w:w="108" w:type="dxa"/>
            <w:bottom w:w="0" w:type="dxa"/>
            <w:right w:w="108" w:type="dxa"/>
          </w:tblCellMar>
        </w:tblPrEx>
        <w:trPr>
          <w:trHeight w:val="330" w:hRule="atLeast"/>
        </w:trPr>
        <w:tc>
          <w:tcPr>
            <w:tcW w:w="706" w:type="dxa"/>
            <w:vMerge w:val="continue"/>
            <w:tcBorders>
              <w:top w:val="nil"/>
              <w:left w:val="single" w:color="auto" w:sz="8" w:space="0"/>
              <w:bottom w:val="single" w:color="000000" w:sz="8" w:space="0"/>
              <w:right w:val="single" w:color="auto" w:sz="8" w:space="0"/>
            </w:tcBorders>
            <w:vAlign w:val="center"/>
          </w:tcPr>
          <w:p w14:paraId="2BF29513">
            <w:pPr>
              <w:widowControl/>
              <w:jc w:val="center"/>
              <w:rPr>
                <w:kern w:val="0"/>
                <w:sz w:val="24"/>
              </w:rPr>
            </w:pPr>
          </w:p>
        </w:tc>
        <w:tc>
          <w:tcPr>
            <w:tcW w:w="1546" w:type="dxa"/>
            <w:vMerge w:val="continue"/>
            <w:tcBorders>
              <w:top w:val="nil"/>
              <w:left w:val="single" w:color="auto" w:sz="8" w:space="0"/>
              <w:bottom w:val="single" w:color="000000" w:sz="8" w:space="0"/>
              <w:right w:val="single" w:color="auto" w:sz="8" w:space="0"/>
            </w:tcBorders>
            <w:vAlign w:val="center"/>
          </w:tcPr>
          <w:p w14:paraId="144DCCB3">
            <w:pPr>
              <w:widowControl/>
              <w:jc w:val="center"/>
              <w:rPr>
                <w:rFonts w:ascii="宋体" w:hAnsi="宋体" w:cs="宋体"/>
                <w:kern w:val="0"/>
                <w:sz w:val="24"/>
              </w:rPr>
            </w:pPr>
          </w:p>
        </w:tc>
        <w:tc>
          <w:tcPr>
            <w:tcW w:w="3008" w:type="dxa"/>
            <w:tcBorders>
              <w:top w:val="nil"/>
              <w:left w:val="nil"/>
              <w:bottom w:val="single" w:color="auto" w:sz="8" w:space="0"/>
              <w:right w:val="single" w:color="auto" w:sz="8" w:space="0"/>
            </w:tcBorders>
            <w:noWrap/>
            <w:vAlign w:val="center"/>
          </w:tcPr>
          <w:p w14:paraId="07B2BDDB">
            <w:pPr>
              <w:widowControl/>
              <w:jc w:val="center"/>
              <w:rPr>
                <w:rFonts w:ascii="宋体" w:hAnsi="宋体" w:cs="宋体"/>
                <w:kern w:val="0"/>
                <w:sz w:val="24"/>
              </w:rPr>
            </w:pPr>
            <w:r>
              <w:rPr>
                <w:rFonts w:hint="eastAsia" w:ascii="宋体" w:hAnsi="宋体" w:cs="宋体"/>
                <w:kern w:val="0"/>
                <w:sz w:val="24"/>
              </w:rPr>
              <w:t>用材林科技示范园</w:t>
            </w:r>
          </w:p>
        </w:tc>
        <w:tc>
          <w:tcPr>
            <w:tcW w:w="1276" w:type="dxa"/>
            <w:tcBorders>
              <w:top w:val="nil"/>
              <w:left w:val="nil"/>
              <w:bottom w:val="single" w:color="auto" w:sz="8" w:space="0"/>
              <w:right w:val="single" w:color="auto" w:sz="8" w:space="0"/>
            </w:tcBorders>
            <w:noWrap/>
            <w:vAlign w:val="center"/>
          </w:tcPr>
          <w:p w14:paraId="6F2A3154">
            <w:pPr>
              <w:widowControl/>
              <w:jc w:val="center"/>
              <w:rPr>
                <w:kern w:val="0"/>
                <w:sz w:val="24"/>
              </w:rPr>
            </w:pPr>
            <w:r>
              <w:rPr>
                <w:kern w:val="0"/>
                <w:sz w:val="24"/>
              </w:rPr>
              <w:t>2</w:t>
            </w:r>
            <w:r>
              <w:rPr>
                <w:rFonts w:hint="eastAsia" w:ascii="宋体" w:hAnsi="宋体"/>
                <w:kern w:val="0"/>
                <w:sz w:val="24"/>
              </w:rPr>
              <w:t>处</w:t>
            </w:r>
          </w:p>
        </w:tc>
        <w:tc>
          <w:tcPr>
            <w:tcW w:w="1276" w:type="dxa"/>
            <w:tcBorders>
              <w:top w:val="nil"/>
              <w:left w:val="nil"/>
              <w:bottom w:val="single" w:color="auto" w:sz="8" w:space="0"/>
              <w:right w:val="single" w:color="auto" w:sz="8" w:space="0"/>
            </w:tcBorders>
            <w:vAlign w:val="center"/>
          </w:tcPr>
          <w:p w14:paraId="40B35B40">
            <w:pPr>
              <w:widowControl/>
              <w:jc w:val="center"/>
              <w:rPr>
                <w:rFonts w:ascii="宋体" w:hAnsi="宋体" w:cs="宋体"/>
                <w:kern w:val="0"/>
                <w:sz w:val="24"/>
              </w:rPr>
            </w:pPr>
            <w:r>
              <w:rPr>
                <w:rFonts w:hint="eastAsia" w:ascii="宋体" w:hAnsi="宋体" w:cs="宋体"/>
                <w:kern w:val="0"/>
                <w:sz w:val="24"/>
              </w:rPr>
              <w:t>新建</w:t>
            </w:r>
          </w:p>
        </w:tc>
        <w:tc>
          <w:tcPr>
            <w:tcW w:w="1418" w:type="dxa"/>
            <w:tcBorders>
              <w:top w:val="nil"/>
              <w:left w:val="nil"/>
              <w:bottom w:val="single" w:color="auto" w:sz="8" w:space="0"/>
              <w:right w:val="single" w:color="auto" w:sz="8" w:space="0"/>
            </w:tcBorders>
            <w:noWrap/>
            <w:vAlign w:val="center"/>
          </w:tcPr>
          <w:p w14:paraId="3BC08A48">
            <w:pPr>
              <w:widowControl/>
              <w:jc w:val="center"/>
              <w:rPr>
                <w:kern w:val="0"/>
                <w:sz w:val="24"/>
              </w:rPr>
            </w:pPr>
            <w:r>
              <w:rPr>
                <w:rFonts w:hint="eastAsia"/>
                <w:kern w:val="0"/>
                <w:sz w:val="24"/>
              </w:rPr>
              <w:t>5</w:t>
            </w:r>
            <w:r>
              <w:rPr>
                <w:kern w:val="0"/>
                <w:sz w:val="24"/>
              </w:rPr>
              <w:t>000</w:t>
            </w:r>
          </w:p>
        </w:tc>
        <w:tc>
          <w:tcPr>
            <w:tcW w:w="1276" w:type="dxa"/>
            <w:tcBorders>
              <w:top w:val="nil"/>
              <w:left w:val="nil"/>
              <w:bottom w:val="single" w:color="auto" w:sz="8" w:space="0"/>
              <w:right w:val="single" w:color="auto" w:sz="8" w:space="0"/>
            </w:tcBorders>
            <w:vAlign w:val="center"/>
          </w:tcPr>
          <w:p w14:paraId="6485B270">
            <w:pPr>
              <w:widowControl/>
              <w:jc w:val="center"/>
              <w:rPr>
                <w:rFonts w:ascii="宋体" w:hAnsi="宋体" w:cs="宋体"/>
                <w:kern w:val="0"/>
                <w:sz w:val="24"/>
              </w:rPr>
            </w:pPr>
            <w:r>
              <w:rPr>
                <w:rFonts w:hint="eastAsia" w:ascii="宋体" w:hAnsi="宋体" w:cs="宋体"/>
                <w:kern w:val="0"/>
                <w:sz w:val="24"/>
              </w:rPr>
              <w:t>政府投资社会投资</w:t>
            </w:r>
          </w:p>
        </w:tc>
        <w:tc>
          <w:tcPr>
            <w:tcW w:w="3343" w:type="dxa"/>
            <w:tcBorders>
              <w:top w:val="nil"/>
              <w:left w:val="nil"/>
              <w:bottom w:val="single" w:color="auto" w:sz="8" w:space="0"/>
              <w:right w:val="single" w:color="auto" w:sz="8" w:space="0"/>
            </w:tcBorders>
            <w:noWrap/>
            <w:vAlign w:val="center"/>
          </w:tcPr>
          <w:p w14:paraId="781B5B0F">
            <w:pPr>
              <w:widowControl/>
              <w:jc w:val="center"/>
              <w:rPr>
                <w:rFonts w:ascii="宋体" w:hAnsi="宋体" w:cs="宋体"/>
                <w:kern w:val="0"/>
                <w:sz w:val="24"/>
              </w:rPr>
            </w:pPr>
            <w:r>
              <w:rPr>
                <w:rFonts w:ascii="宋体" w:hAnsi="宋体" w:cs="宋体"/>
                <w:kern w:val="0"/>
                <w:sz w:val="24"/>
              </w:rPr>
              <w:t>天涯区</w:t>
            </w:r>
          </w:p>
        </w:tc>
      </w:tr>
      <w:tr w14:paraId="2F8B4667">
        <w:tblPrEx>
          <w:tblCellMar>
            <w:top w:w="0" w:type="dxa"/>
            <w:left w:w="108" w:type="dxa"/>
            <w:bottom w:w="0" w:type="dxa"/>
            <w:right w:w="108" w:type="dxa"/>
          </w:tblCellMar>
        </w:tblPrEx>
        <w:trPr>
          <w:trHeight w:val="330" w:hRule="atLeast"/>
        </w:trPr>
        <w:tc>
          <w:tcPr>
            <w:tcW w:w="706" w:type="dxa"/>
            <w:vMerge w:val="continue"/>
            <w:tcBorders>
              <w:top w:val="nil"/>
              <w:left w:val="single" w:color="auto" w:sz="8" w:space="0"/>
              <w:bottom w:val="single" w:color="000000" w:sz="8" w:space="0"/>
              <w:right w:val="single" w:color="auto" w:sz="8" w:space="0"/>
            </w:tcBorders>
            <w:vAlign w:val="center"/>
          </w:tcPr>
          <w:p w14:paraId="17D88CA9">
            <w:pPr>
              <w:widowControl/>
              <w:jc w:val="center"/>
              <w:rPr>
                <w:kern w:val="0"/>
                <w:sz w:val="24"/>
              </w:rPr>
            </w:pPr>
          </w:p>
        </w:tc>
        <w:tc>
          <w:tcPr>
            <w:tcW w:w="1546" w:type="dxa"/>
            <w:vMerge w:val="continue"/>
            <w:tcBorders>
              <w:top w:val="nil"/>
              <w:left w:val="single" w:color="auto" w:sz="8" w:space="0"/>
              <w:bottom w:val="single" w:color="000000" w:sz="8" w:space="0"/>
              <w:right w:val="single" w:color="auto" w:sz="8" w:space="0"/>
            </w:tcBorders>
            <w:vAlign w:val="center"/>
          </w:tcPr>
          <w:p w14:paraId="6998F992">
            <w:pPr>
              <w:widowControl/>
              <w:jc w:val="center"/>
              <w:rPr>
                <w:rFonts w:ascii="宋体" w:hAnsi="宋体" w:cs="宋体"/>
                <w:kern w:val="0"/>
                <w:sz w:val="24"/>
              </w:rPr>
            </w:pPr>
          </w:p>
        </w:tc>
        <w:tc>
          <w:tcPr>
            <w:tcW w:w="3008" w:type="dxa"/>
            <w:tcBorders>
              <w:top w:val="nil"/>
              <w:left w:val="nil"/>
              <w:bottom w:val="single" w:color="auto" w:sz="8" w:space="0"/>
              <w:right w:val="single" w:color="auto" w:sz="8" w:space="0"/>
            </w:tcBorders>
            <w:noWrap/>
            <w:vAlign w:val="center"/>
          </w:tcPr>
          <w:p w14:paraId="2CAB4F80">
            <w:pPr>
              <w:widowControl/>
              <w:jc w:val="center"/>
              <w:rPr>
                <w:rFonts w:ascii="宋体" w:hAnsi="宋体" w:cs="宋体"/>
                <w:kern w:val="0"/>
                <w:sz w:val="24"/>
              </w:rPr>
            </w:pPr>
            <w:r>
              <w:rPr>
                <w:rFonts w:hint="eastAsia" w:ascii="宋体" w:hAnsi="宋体" w:cs="宋体"/>
                <w:kern w:val="0"/>
                <w:sz w:val="24"/>
              </w:rPr>
              <w:t>林产品加工企业</w:t>
            </w:r>
          </w:p>
        </w:tc>
        <w:tc>
          <w:tcPr>
            <w:tcW w:w="1276" w:type="dxa"/>
            <w:tcBorders>
              <w:top w:val="nil"/>
              <w:left w:val="nil"/>
              <w:bottom w:val="single" w:color="auto" w:sz="8" w:space="0"/>
              <w:right w:val="single" w:color="auto" w:sz="8" w:space="0"/>
            </w:tcBorders>
            <w:noWrap/>
            <w:vAlign w:val="center"/>
          </w:tcPr>
          <w:p w14:paraId="4315A5D6">
            <w:pPr>
              <w:widowControl/>
              <w:jc w:val="center"/>
              <w:rPr>
                <w:kern w:val="0"/>
                <w:sz w:val="24"/>
              </w:rPr>
            </w:pPr>
            <w:r>
              <w:rPr>
                <w:kern w:val="0"/>
                <w:sz w:val="24"/>
              </w:rPr>
              <w:t>1</w:t>
            </w:r>
            <w:r>
              <w:rPr>
                <w:rFonts w:hint="eastAsia" w:ascii="宋体" w:hAnsi="宋体"/>
                <w:kern w:val="0"/>
                <w:sz w:val="24"/>
              </w:rPr>
              <w:t>家</w:t>
            </w:r>
          </w:p>
        </w:tc>
        <w:tc>
          <w:tcPr>
            <w:tcW w:w="1276" w:type="dxa"/>
            <w:tcBorders>
              <w:top w:val="nil"/>
              <w:left w:val="nil"/>
              <w:bottom w:val="single" w:color="auto" w:sz="8" w:space="0"/>
              <w:right w:val="single" w:color="auto" w:sz="8" w:space="0"/>
            </w:tcBorders>
            <w:vAlign w:val="center"/>
          </w:tcPr>
          <w:p w14:paraId="3087CF65">
            <w:pPr>
              <w:widowControl/>
              <w:jc w:val="center"/>
              <w:rPr>
                <w:rFonts w:ascii="宋体" w:hAnsi="宋体" w:cs="宋体"/>
                <w:kern w:val="0"/>
                <w:sz w:val="24"/>
              </w:rPr>
            </w:pPr>
            <w:r>
              <w:rPr>
                <w:rFonts w:hint="eastAsia" w:ascii="宋体" w:hAnsi="宋体" w:cs="宋体"/>
                <w:kern w:val="0"/>
                <w:sz w:val="24"/>
              </w:rPr>
              <w:t>新建</w:t>
            </w:r>
          </w:p>
        </w:tc>
        <w:tc>
          <w:tcPr>
            <w:tcW w:w="1418" w:type="dxa"/>
            <w:tcBorders>
              <w:top w:val="nil"/>
              <w:left w:val="nil"/>
              <w:bottom w:val="single" w:color="auto" w:sz="8" w:space="0"/>
              <w:right w:val="single" w:color="auto" w:sz="8" w:space="0"/>
            </w:tcBorders>
            <w:noWrap/>
            <w:vAlign w:val="center"/>
          </w:tcPr>
          <w:p w14:paraId="652C288F">
            <w:pPr>
              <w:widowControl/>
              <w:jc w:val="center"/>
              <w:rPr>
                <w:kern w:val="0"/>
                <w:sz w:val="24"/>
              </w:rPr>
            </w:pPr>
            <w:r>
              <w:rPr>
                <w:kern w:val="0"/>
                <w:sz w:val="24"/>
              </w:rPr>
              <w:t>1000</w:t>
            </w:r>
          </w:p>
        </w:tc>
        <w:tc>
          <w:tcPr>
            <w:tcW w:w="1276" w:type="dxa"/>
            <w:tcBorders>
              <w:top w:val="nil"/>
              <w:left w:val="nil"/>
              <w:bottom w:val="single" w:color="auto" w:sz="8" w:space="0"/>
              <w:right w:val="single" w:color="auto" w:sz="8" w:space="0"/>
            </w:tcBorders>
            <w:vAlign w:val="center"/>
          </w:tcPr>
          <w:p w14:paraId="6A1CF21A">
            <w:pPr>
              <w:widowControl/>
              <w:jc w:val="center"/>
              <w:rPr>
                <w:rFonts w:ascii="宋体" w:hAnsi="宋体" w:cs="宋体"/>
                <w:kern w:val="0"/>
                <w:sz w:val="24"/>
              </w:rPr>
            </w:pPr>
            <w:r>
              <w:rPr>
                <w:rFonts w:hint="eastAsia" w:ascii="宋体" w:hAnsi="宋体" w:cs="宋体"/>
                <w:kern w:val="0"/>
                <w:sz w:val="24"/>
              </w:rPr>
              <w:t>政府投资社会投资</w:t>
            </w:r>
          </w:p>
        </w:tc>
        <w:tc>
          <w:tcPr>
            <w:tcW w:w="3343" w:type="dxa"/>
            <w:tcBorders>
              <w:top w:val="nil"/>
              <w:left w:val="nil"/>
              <w:bottom w:val="single" w:color="auto" w:sz="8" w:space="0"/>
              <w:right w:val="single" w:color="auto" w:sz="8" w:space="0"/>
            </w:tcBorders>
            <w:noWrap/>
            <w:vAlign w:val="center"/>
          </w:tcPr>
          <w:p w14:paraId="7380CED2">
            <w:pPr>
              <w:widowControl/>
              <w:jc w:val="center"/>
              <w:rPr>
                <w:rFonts w:ascii="宋体" w:hAnsi="宋体" w:cs="宋体"/>
                <w:kern w:val="0"/>
                <w:sz w:val="24"/>
              </w:rPr>
            </w:pPr>
            <w:r>
              <w:rPr>
                <w:rFonts w:ascii="宋体" w:hAnsi="宋体" w:cs="宋体"/>
                <w:kern w:val="0"/>
                <w:sz w:val="24"/>
              </w:rPr>
              <w:t>崖州区</w:t>
            </w:r>
          </w:p>
        </w:tc>
      </w:tr>
      <w:tr w14:paraId="6E8E436A">
        <w:tblPrEx>
          <w:tblCellMar>
            <w:top w:w="0" w:type="dxa"/>
            <w:left w:w="108" w:type="dxa"/>
            <w:bottom w:w="0" w:type="dxa"/>
            <w:right w:w="108" w:type="dxa"/>
          </w:tblCellMar>
        </w:tblPrEx>
        <w:trPr>
          <w:trHeight w:val="330" w:hRule="atLeast"/>
        </w:trPr>
        <w:tc>
          <w:tcPr>
            <w:tcW w:w="706" w:type="dxa"/>
            <w:vMerge w:val="continue"/>
            <w:tcBorders>
              <w:top w:val="nil"/>
              <w:left w:val="single" w:color="auto" w:sz="8" w:space="0"/>
              <w:bottom w:val="single" w:color="000000" w:sz="8" w:space="0"/>
              <w:right w:val="single" w:color="auto" w:sz="8" w:space="0"/>
            </w:tcBorders>
            <w:vAlign w:val="center"/>
          </w:tcPr>
          <w:p w14:paraId="0D18977E">
            <w:pPr>
              <w:widowControl/>
              <w:jc w:val="center"/>
              <w:rPr>
                <w:kern w:val="0"/>
                <w:sz w:val="24"/>
              </w:rPr>
            </w:pPr>
          </w:p>
        </w:tc>
        <w:tc>
          <w:tcPr>
            <w:tcW w:w="4554" w:type="dxa"/>
            <w:gridSpan w:val="2"/>
            <w:tcBorders>
              <w:top w:val="single" w:color="auto" w:sz="8" w:space="0"/>
              <w:left w:val="nil"/>
              <w:bottom w:val="single" w:color="auto" w:sz="8" w:space="0"/>
              <w:right w:val="single" w:color="000000" w:sz="8" w:space="0"/>
            </w:tcBorders>
            <w:vAlign w:val="center"/>
          </w:tcPr>
          <w:p w14:paraId="0378677D">
            <w:pPr>
              <w:widowControl/>
              <w:jc w:val="center"/>
              <w:rPr>
                <w:rFonts w:ascii="宋体" w:hAnsi="宋体" w:cs="宋体"/>
                <w:b/>
                <w:bCs/>
                <w:kern w:val="0"/>
                <w:sz w:val="24"/>
              </w:rPr>
            </w:pPr>
            <w:r>
              <w:rPr>
                <w:rFonts w:hint="eastAsia" w:ascii="宋体" w:hAnsi="宋体" w:cs="宋体"/>
                <w:b/>
                <w:bCs/>
                <w:kern w:val="0"/>
                <w:sz w:val="24"/>
              </w:rPr>
              <w:t>小计</w:t>
            </w:r>
          </w:p>
        </w:tc>
        <w:tc>
          <w:tcPr>
            <w:tcW w:w="1276" w:type="dxa"/>
            <w:tcBorders>
              <w:top w:val="nil"/>
              <w:left w:val="nil"/>
              <w:bottom w:val="single" w:color="auto" w:sz="8" w:space="0"/>
              <w:right w:val="single" w:color="auto" w:sz="8" w:space="0"/>
            </w:tcBorders>
            <w:vAlign w:val="center"/>
          </w:tcPr>
          <w:p w14:paraId="3D26C80E">
            <w:pPr>
              <w:widowControl/>
              <w:jc w:val="center"/>
              <w:rPr>
                <w:rFonts w:ascii="宋体" w:hAnsi="宋体" w:cs="宋体"/>
                <w:b/>
                <w:bCs/>
                <w:kern w:val="0"/>
                <w:sz w:val="24"/>
              </w:rPr>
            </w:pPr>
          </w:p>
        </w:tc>
        <w:tc>
          <w:tcPr>
            <w:tcW w:w="1276" w:type="dxa"/>
            <w:tcBorders>
              <w:top w:val="nil"/>
              <w:left w:val="nil"/>
              <w:bottom w:val="single" w:color="auto" w:sz="8" w:space="0"/>
              <w:right w:val="single" w:color="auto" w:sz="8" w:space="0"/>
            </w:tcBorders>
            <w:noWrap/>
            <w:vAlign w:val="center"/>
          </w:tcPr>
          <w:p w14:paraId="13D589EB">
            <w:pPr>
              <w:widowControl/>
              <w:jc w:val="center"/>
              <w:rPr>
                <w:b/>
                <w:bCs/>
                <w:kern w:val="0"/>
                <w:sz w:val="24"/>
              </w:rPr>
            </w:pPr>
          </w:p>
        </w:tc>
        <w:tc>
          <w:tcPr>
            <w:tcW w:w="1418" w:type="dxa"/>
            <w:tcBorders>
              <w:top w:val="nil"/>
              <w:left w:val="nil"/>
              <w:bottom w:val="single" w:color="auto" w:sz="8" w:space="0"/>
              <w:right w:val="single" w:color="auto" w:sz="8" w:space="0"/>
            </w:tcBorders>
            <w:noWrap/>
            <w:vAlign w:val="center"/>
          </w:tcPr>
          <w:p w14:paraId="0218C521">
            <w:pPr>
              <w:widowControl/>
              <w:jc w:val="center"/>
              <w:rPr>
                <w:b/>
                <w:bCs/>
                <w:kern w:val="0"/>
                <w:sz w:val="24"/>
              </w:rPr>
            </w:pPr>
            <w:r>
              <w:rPr>
                <w:rFonts w:hint="eastAsia"/>
                <w:b/>
                <w:bCs/>
                <w:kern w:val="0"/>
                <w:sz w:val="24"/>
              </w:rPr>
              <w:t>82</w:t>
            </w:r>
            <w:r>
              <w:rPr>
                <w:b/>
                <w:bCs/>
                <w:kern w:val="0"/>
                <w:sz w:val="24"/>
              </w:rPr>
              <w:t>000</w:t>
            </w:r>
          </w:p>
        </w:tc>
        <w:tc>
          <w:tcPr>
            <w:tcW w:w="1276" w:type="dxa"/>
            <w:tcBorders>
              <w:top w:val="nil"/>
              <w:left w:val="nil"/>
              <w:bottom w:val="single" w:color="auto" w:sz="8" w:space="0"/>
              <w:right w:val="single" w:color="auto" w:sz="8" w:space="0"/>
            </w:tcBorders>
            <w:noWrap/>
            <w:vAlign w:val="center"/>
          </w:tcPr>
          <w:p w14:paraId="0B4F44C7">
            <w:pPr>
              <w:widowControl/>
              <w:jc w:val="center"/>
              <w:rPr>
                <w:rFonts w:ascii="宋体" w:hAnsi="宋体" w:cs="宋体"/>
                <w:kern w:val="0"/>
                <w:sz w:val="24"/>
              </w:rPr>
            </w:pPr>
          </w:p>
        </w:tc>
        <w:tc>
          <w:tcPr>
            <w:tcW w:w="3343" w:type="dxa"/>
            <w:tcBorders>
              <w:top w:val="nil"/>
              <w:left w:val="nil"/>
              <w:bottom w:val="single" w:color="auto" w:sz="8" w:space="0"/>
              <w:right w:val="single" w:color="auto" w:sz="8" w:space="0"/>
            </w:tcBorders>
            <w:noWrap/>
            <w:vAlign w:val="center"/>
          </w:tcPr>
          <w:p w14:paraId="7B0E4C33">
            <w:pPr>
              <w:widowControl/>
              <w:jc w:val="center"/>
              <w:rPr>
                <w:rFonts w:ascii="宋体" w:hAnsi="宋体" w:cs="宋体"/>
                <w:kern w:val="0"/>
                <w:sz w:val="24"/>
              </w:rPr>
            </w:pPr>
          </w:p>
        </w:tc>
      </w:tr>
    </w:tbl>
    <w:p w14:paraId="62BD3703">
      <w:pPr>
        <w:rPr>
          <w:rFonts w:hint="eastAsia" w:ascii="仿宋_GB2312" w:eastAsia="仿宋_GB2312"/>
          <w:b/>
          <w:sz w:val="24"/>
        </w:rPr>
      </w:pPr>
    </w:p>
    <w:p w14:paraId="0FF45186">
      <w:pPr>
        <w:sectPr>
          <w:pgSz w:w="16838" w:h="11905" w:orient="landscape"/>
          <w:pgMar w:top="1803" w:right="1440" w:bottom="1803" w:left="1440" w:header="851" w:footer="992" w:gutter="0"/>
          <w:cols w:space="720" w:num="1"/>
          <w:docGrid w:type="lines" w:linePitch="319" w:charSpace="0"/>
        </w:sectPr>
      </w:pPr>
      <w:r>
        <w:rPr>
          <w:rFonts w:hint="eastAsia" w:ascii="仿宋_GB2312" w:eastAsia="仿宋_GB2312"/>
          <w:b/>
          <w:sz w:val="24"/>
        </w:rPr>
        <w:t>注：</w:t>
      </w:r>
      <w:r>
        <w:rPr>
          <w:rFonts w:hint="eastAsia" w:ascii="仿宋_GB2312" w:eastAsia="仿宋_GB2312"/>
          <w:sz w:val="24"/>
        </w:rPr>
        <w:t>政府投资根据地方财力和批复资金为建设投资依据，社会投资根据市场和企业实际投入为建设投资依据。</w:t>
      </w:r>
    </w:p>
    <w:bookmarkEnd w:id="75"/>
    <w:bookmarkEnd w:id="76"/>
    <w:bookmarkEnd w:id="77"/>
    <w:bookmarkEnd w:id="78"/>
    <w:bookmarkEnd w:id="79"/>
    <w:p w14:paraId="2AE83695">
      <w:pPr>
        <w:pStyle w:val="15"/>
        <w:rPr>
          <w:rFonts w:ascii="黑体" w:hAnsi="黑体" w:eastAsia="黑体"/>
          <w:sz w:val="36"/>
        </w:rPr>
      </w:pPr>
      <w:bookmarkStart w:id="97" w:name="_Toc25573"/>
      <w:bookmarkStart w:id="98" w:name="_Toc22369"/>
      <w:bookmarkStart w:id="99" w:name="_Toc2721"/>
      <w:bookmarkStart w:id="100" w:name="_Toc30611"/>
      <w:bookmarkStart w:id="101" w:name="_Toc19237"/>
      <w:bookmarkStart w:id="102" w:name="_Toc82546093"/>
      <w:bookmarkStart w:id="103" w:name="_Toc5178"/>
      <w:bookmarkStart w:id="104" w:name="_Toc20745"/>
      <w:r>
        <w:rPr>
          <w:rFonts w:ascii="黑体" w:hAnsi="黑体" w:eastAsia="黑体"/>
          <w:sz w:val="36"/>
        </w:rPr>
        <w:t>第</w:t>
      </w:r>
      <w:r>
        <w:rPr>
          <w:rFonts w:hint="eastAsia" w:ascii="黑体" w:hAnsi="黑体" w:eastAsia="黑体"/>
          <w:sz w:val="36"/>
        </w:rPr>
        <w:t>九</w:t>
      </w:r>
      <w:r>
        <w:rPr>
          <w:rFonts w:ascii="黑体" w:hAnsi="黑体" w:eastAsia="黑体"/>
          <w:sz w:val="36"/>
        </w:rPr>
        <w:t>章 经济林产业</w:t>
      </w:r>
      <w:bookmarkEnd w:id="97"/>
      <w:bookmarkEnd w:id="98"/>
      <w:bookmarkEnd w:id="99"/>
      <w:bookmarkEnd w:id="100"/>
      <w:r>
        <w:rPr>
          <w:rFonts w:ascii="黑体" w:hAnsi="黑体" w:eastAsia="黑体"/>
          <w:sz w:val="36"/>
        </w:rPr>
        <w:t>规划</w:t>
      </w:r>
      <w:bookmarkEnd w:id="101"/>
      <w:bookmarkEnd w:id="102"/>
      <w:bookmarkEnd w:id="103"/>
      <w:bookmarkEnd w:id="104"/>
    </w:p>
    <w:p w14:paraId="2982AEBF">
      <w:pPr>
        <w:pStyle w:val="3"/>
        <w:spacing w:before="319" w:beforeLines="100" w:after="0" w:line="240" w:lineRule="auto"/>
        <w:rPr>
          <w:rFonts w:ascii="Times New Roman" w:hAnsi="Times New Roman" w:eastAsia="黑体"/>
        </w:rPr>
      </w:pPr>
      <w:bookmarkStart w:id="105" w:name="_Toc82546094"/>
      <w:bookmarkStart w:id="106" w:name="_Toc32587"/>
      <w:r>
        <w:rPr>
          <w:rFonts w:hint="eastAsia" w:ascii="Times New Roman" w:hAnsi="Times New Roman" w:eastAsia="黑体"/>
        </w:rPr>
        <w:t>9</w:t>
      </w:r>
      <w:r>
        <w:rPr>
          <w:rFonts w:ascii="Times New Roman" w:hAnsi="Times New Roman" w:eastAsia="黑体"/>
        </w:rPr>
        <w:t>.1 产业现状</w:t>
      </w:r>
      <w:bookmarkEnd w:id="105"/>
      <w:bookmarkEnd w:id="106"/>
    </w:p>
    <w:p w14:paraId="1576AD35">
      <w:pPr>
        <w:ind w:firstLine="640" w:firstLineChars="200"/>
        <w:rPr>
          <w:rFonts w:eastAsia="仿宋_GB2312"/>
          <w:sz w:val="32"/>
          <w:szCs w:val="32"/>
        </w:rPr>
      </w:pPr>
      <w:r>
        <w:rPr>
          <w:rFonts w:hint="eastAsia" w:eastAsia="仿宋_GB2312"/>
          <w:sz w:val="32"/>
          <w:szCs w:val="32"/>
        </w:rPr>
        <w:t>三亚市特色经济林作物有</w:t>
      </w:r>
      <w:r>
        <w:rPr>
          <w:rFonts w:eastAsia="仿宋_GB2312"/>
          <w:sz w:val="32"/>
          <w:szCs w:val="32"/>
        </w:rPr>
        <w:t>芒果、槟榔、椰子、橡胶等</w:t>
      </w:r>
      <w:r>
        <w:rPr>
          <w:rFonts w:hint="eastAsia" w:eastAsia="仿宋_GB2312"/>
          <w:sz w:val="32"/>
          <w:szCs w:val="32"/>
        </w:rPr>
        <w:t>，在农民收入中占比大，对三亚市乡村振兴战略有特殊意义。</w:t>
      </w:r>
      <w:r>
        <w:rPr>
          <w:rFonts w:eastAsia="仿宋_GB2312"/>
          <w:sz w:val="32"/>
          <w:szCs w:val="32"/>
        </w:rPr>
        <w:t>经统计，三亚市经济林种植面积有</w:t>
      </w:r>
      <w:r>
        <w:rPr>
          <w:rFonts w:hint="eastAsia" w:eastAsia="仿宋_GB2312"/>
          <w:sz w:val="32"/>
          <w:szCs w:val="32"/>
        </w:rPr>
        <w:t xml:space="preserve">59998 </w:t>
      </w:r>
      <w:r>
        <w:rPr>
          <w:rFonts w:eastAsia="仿宋_GB2312"/>
          <w:sz w:val="32"/>
          <w:szCs w:val="32"/>
        </w:rPr>
        <w:t>hm</w:t>
      </w:r>
      <w:r>
        <w:rPr>
          <w:rFonts w:eastAsia="仿宋_GB2312"/>
          <w:sz w:val="32"/>
          <w:szCs w:val="32"/>
          <w:vertAlign w:val="superscript"/>
        </w:rPr>
        <w:t>2</w:t>
      </w:r>
      <w:r>
        <w:rPr>
          <w:rFonts w:eastAsia="仿宋_GB2312"/>
          <w:sz w:val="32"/>
          <w:szCs w:val="32"/>
        </w:rPr>
        <w:t>，占全市林地面积</w:t>
      </w:r>
      <w:r>
        <w:rPr>
          <w:rFonts w:hint="eastAsia" w:eastAsia="仿宋_GB2312"/>
          <w:sz w:val="32"/>
          <w:szCs w:val="32"/>
        </w:rPr>
        <w:t>43.9</w:t>
      </w:r>
      <w:r>
        <w:rPr>
          <w:rFonts w:eastAsia="仿宋_GB2312"/>
          <w:sz w:val="32"/>
          <w:szCs w:val="32"/>
        </w:rPr>
        <w:t>%</w:t>
      </w:r>
      <w:r>
        <w:rPr>
          <w:rFonts w:hint="eastAsia" w:eastAsia="仿宋_GB2312"/>
          <w:sz w:val="32"/>
          <w:szCs w:val="32"/>
        </w:rPr>
        <w:t>，</w:t>
      </w:r>
      <w:r>
        <w:rPr>
          <w:rFonts w:eastAsia="仿宋_GB2312"/>
          <w:sz w:val="32"/>
          <w:szCs w:val="32"/>
        </w:rPr>
        <w:t>2020年经济林总产值约372859万元</w:t>
      </w:r>
      <w:r>
        <w:rPr>
          <w:rFonts w:hint="eastAsia" w:eastAsia="仿宋_GB2312"/>
          <w:sz w:val="32"/>
          <w:szCs w:val="32"/>
        </w:rPr>
        <w:t>（表9-1），</w:t>
      </w:r>
      <w:r>
        <w:rPr>
          <w:rFonts w:eastAsia="仿宋_GB2312"/>
          <w:sz w:val="32"/>
          <w:szCs w:val="32"/>
        </w:rPr>
        <w:t>占林业总产值</w:t>
      </w:r>
      <w:r>
        <w:rPr>
          <w:rFonts w:hint="eastAsia" w:eastAsia="仿宋_GB2312"/>
          <w:sz w:val="32"/>
          <w:szCs w:val="32"/>
        </w:rPr>
        <w:t>77.4%</w:t>
      </w:r>
      <w:r>
        <w:rPr>
          <w:rFonts w:eastAsia="仿宋_GB2312"/>
          <w:sz w:val="32"/>
          <w:szCs w:val="32"/>
        </w:rPr>
        <w:t>。其中，芒果栽植面积有3069</w:t>
      </w:r>
      <w:r>
        <w:rPr>
          <w:rFonts w:hint="eastAsia" w:eastAsia="仿宋_GB2312"/>
          <w:sz w:val="32"/>
          <w:szCs w:val="32"/>
        </w:rPr>
        <w:t>8</w:t>
      </w:r>
      <w:r>
        <w:rPr>
          <w:rFonts w:eastAsia="仿宋_GB2312"/>
          <w:sz w:val="32"/>
          <w:szCs w:val="32"/>
        </w:rPr>
        <w:t xml:space="preserve"> hm</w:t>
      </w:r>
      <w:r>
        <w:rPr>
          <w:rFonts w:eastAsia="仿宋_GB2312"/>
          <w:sz w:val="32"/>
          <w:szCs w:val="32"/>
          <w:vertAlign w:val="superscript"/>
        </w:rPr>
        <w:t>2</w:t>
      </w:r>
      <w:r>
        <w:rPr>
          <w:rFonts w:eastAsia="仿宋_GB2312"/>
          <w:sz w:val="32"/>
          <w:szCs w:val="32"/>
        </w:rPr>
        <w:t>，年总产量401519吨，年产值240912万元</w:t>
      </w:r>
      <w:r>
        <w:rPr>
          <w:rFonts w:hint="eastAsia" w:eastAsia="仿宋_GB2312"/>
          <w:sz w:val="32"/>
          <w:szCs w:val="32"/>
        </w:rPr>
        <w:t>，</w:t>
      </w:r>
      <w:r>
        <w:rPr>
          <w:rFonts w:eastAsia="仿宋_GB2312"/>
          <w:sz w:val="32"/>
          <w:szCs w:val="32"/>
        </w:rPr>
        <w:t>占经济林总产值</w:t>
      </w:r>
      <w:r>
        <w:rPr>
          <w:rFonts w:hint="eastAsia" w:eastAsia="仿宋_GB2312"/>
          <w:sz w:val="32"/>
          <w:szCs w:val="32"/>
        </w:rPr>
        <w:t>64.6%</w:t>
      </w:r>
      <w:r>
        <w:rPr>
          <w:rFonts w:eastAsia="仿宋_GB2312"/>
          <w:sz w:val="32"/>
          <w:szCs w:val="32"/>
        </w:rPr>
        <w:t>；槟榔栽植面积有1161</w:t>
      </w:r>
      <w:r>
        <w:rPr>
          <w:rFonts w:hint="eastAsia" w:eastAsia="仿宋_GB2312"/>
          <w:sz w:val="32"/>
          <w:szCs w:val="32"/>
        </w:rPr>
        <w:t xml:space="preserve">7 </w:t>
      </w:r>
      <w:r>
        <w:rPr>
          <w:rFonts w:eastAsia="仿宋_GB2312"/>
          <w:sz w:val="32"/>
          <w:szCs w:val="32"/>
        </w:rPr>
        <w:t>hm</w:t>
      </w:r>
      <w:r>
        <w:rPr>
          <w:rFonts w:eastAsia="仿宋_GB2312"/>
          <w:sz w:val="32"/>
          <w:szCs w:val="32"/>
          <w:vertAlign w:val="superscript"/>
        </w:rPr>
        <w:t>2</w:t>
      </w:r>
      <w:r>
        <w:rPr>
          <w:rFonts w:eastAsia="仿宋_GB2312"/>
          <w:sz w:val="32"/>
          <w:szCs w:val="32"/>
        </w:rPr>
        <w:t>，年总产量25000吨，年产值100944万元</w:t>
      </w:r>
      <w:r>
        <w:rPr>
          <w:rFonts w:hint="eastAsia" w:eastAsia="仿宋_GB2312"/>
          <w:sz w:val="32"/>
          <w:szCs w:val="32"/>
        </w:rPr>
        <w:t>，</w:t>
      </w:r>
      <w:r>
        <w:rPr>
          <w:rFonts w:eastAsia="仿宋_GB2312"/>
          <w:sz w:val="32"/>
          <w:szCs w:val="32"/>
        </w:rPr>
        <w:t>占经济林总产值</w:t>
      </w:r>
      <w:r>
        <w:rPr>
          <w:rFonts w:hint="eastAsia" w:eastAsia="仿宋_GB2312"/>
          <w:sz w:val="32"/>
          <w:szCs w:val="32"/>
        </w:rPr>
        <w:t>27.1%</w:t>
      </w:r>
      <w:r>
        <w:rPr>
          <w:rFonts w:eastAsia="仿宋_GB2312"/>
          <w:sz w:val="32"/>
          <w:szCs w:val="32"/>
        </w:rPr>
        <w:t>；橡胶栽植面积有15725 hm</w:t>
      </w:r>
      <w:r>
        <w:rPr>
          <w:rFonts w:eastAsia="仿宋_GB2312"/>
          <w:sz w:val="32"/>
          <w:szCs w:val="32"/>
          <w:vertAlign w:val="superscript"/>
        </w:rPr>
        <w:t>2</w:t>
      </w:r>
      <w:r>
        <w:rPr>
          <w:rFonts w:eastAsia="仿宋_GB2312"/>
          <w:sz w:val="32"/>
          <w:szCs w:val="32"/>
        </w:rPr>
        <w:t>，年总产量7300吨，年产值10001万元</w:t>
      </w:r>
      <w:r>
        <w:rPr>
          <w:rFonts w:hint="eastAsia" w:eastAsia="仿宋_GB2312"/>
          <w:sz w:val="32"/>
          <w:szCs w:val="32"/>
        </w:rPr>
        <w:t>，</w:t>
      </w:r>
      <w:r>
        <w:rPr>
          <w:rFonts w:eastAsia="仿宋_GB2312"/>
          <w:sz w:val="32"/>
          <w:szCs w:val="32"/>
        </w:rPr>
        <w:t>占经济林总产值</w:t>
      </w:r>
      <w:r>
        <w:rPr>
          <w:rFonts w:hint="eastAsia" w:eastAsia="仿宋_GB2312"/>
          <w:sz w:val="32"/>
          <w:szCs w:val="32"/>
        </w:rPr>
        <w:t>2.7%</w:t>
      </w:r>
      <w:r>
        <w:rPr>
          <w:rFonts w:eastAsia="仿宋_GB2312"/>
          <w:sz w:val="32"/>
          <w:szCs w:val="32"/>
        </w:rPr>
        <w:t>；椰子栽植面积有644 hm</w:t>
      </w:r>
      <w:r>
        <w:rPr>
          <w:rFonts w:eastAsia="仿宋_GB2312"/>
          <w:sz w:val="32"/>
          <w:szCs w:val="32"/>
          <w:vertAlign w:val="superscript"/>
        </w:rPr>
        <w:t>2</w:t>
      </w:r>
      <w:r>
        <w:rPr>
          <w:rFonts w:eastAsia="仿宋_GB2312"/>
          <w:sz w:val="32"/>
          <w:szCs w:val="32"/>
        </w:rPr>
        <w:t>，年总产量1012万个，年产值8096万元</w:t>
      </w:r>
      <w:r>
        <w:rPr>
          <w:rFonts w:hint="eastAsia" w:eastAsia="仿宋_GB2312"/>
          <w:sz w:val="32"/>
          <w:szCs w:val="32"/>
        </w:rPr>
        <w:t>，</w:t>
      </w:r>
      <w:r>
        <w:rPr>
          <w:rFonts w:eastAsia="仿宋_GB2312"/>
          <w:sz w:val="32"/>
          <w:szCs w:val="32"/>
        </w:rPr>
        <w:t>占经济林总产值</w:t>
      </w:r>
      <w:r>
        <w:rPr>
          <w:rFonts w:hint="eastAsia" w:eastAsia="仿宋_GB2312"/>
          <w:sz w:val="32"/>
          <w:szCs w:val="32"/>
        </w:rPr>
        <w:t>2.2%</w:t>
      </w:r>
      <w:r>
        <w:rPr>
          <w:rFonts w:eastAsia="仿宋_GB2312"/>
          <w:sz w:val="32"/>
          <w:szCs w:val="32"/>
        </w:rPr>
        <w:t>；其它品种（龙眼、荔枝、莲雾、番石榴等）栽植面积有131</w:t>
      </w:r>
      <w:r>
        <w:rPr>
          <w:rFonts w:hint="eastAsia" w:eastAsia="仿宋_GB2312"/>
          <w:sz w:val="32"/>
          <w:szCs w:val="32"/>
        </w:rPr>
        <w:t xml:space="preserve">3 </w:t>
      </w:r>
      <w:r>
        <w:rPr>
          <w:rFonts w:eastAsia="仿宋_GB2312"/>
          <w:sz w:val="32"/>
          <w:szCs w:val="32"/>
        </w:rPr>
        <w:t>hm</w:t>
      </w:r>
      <w:r>
        <w:rPr>
          <w:rFonts w:eastAsia="仿宋_GB2312"/>
          <w:sz w:val="32"/>
          <w:szCs w:val="32"/>
          <w:vertAlign w:val="superscript"/>
        </w:rPr>
        <w:t>2</w:t>
      </w:r>
      <w:r>
        <w:rPr>
          <w:rFonts w:eastAsia="仿宋_GB2312"/>
          <w:sz w:val="32"/>
          <w:szCs w:val="32"/>
        </w:rPr>
        <w:t>，年总产量437183吨，年产值12906万元</w:t>
      </w:r>
      <w:r>
        <w:rPr>
          <w:rFonts w:hint="eastAsia" w:eastAsia="仿宋_GB2312"/>
          <w:sz w:val="32"/>
          <w:szCs w:val="32"/>
        </w:rPr>
        <w:t>，</w:t>
      </w:r>
      <w:r>
        <w:rPr>
          <w:rFonts w:eastAsia="仿宋_GB2312"/>
          <w:sz w:val="32"/>
          <w:szCs w:val="32"/>
        </w:rPr>
        <w:t>占经济林总产值</w:t>
      </w:r>
      <w:r>
        <w:rPr>
          <w:rFonts w:hint="eastAsia" w:eastAsia="仿宋_GB2312"/>
          <w:sz w:val="32"/>
          <w:szCs w:val="32"/>
        </w:rPr>
        <w:t>3.5%</w:t>
      </w:r>
      <w:r>
        <w:rPr>
          <w:rFonts w:eastAsia="仿宋_GB2312"/>
          <w:sz w:val="32"/>
          <w:szCs w:val="32"/>
        </w:rPr>
        <w:t>。</w:t>
      </w:r>
    </w:p>
    <w:p w14:paraId="04DF793D">
      <w:pPr>
        <w:spacing w:line="360" w:lineRule="auto"/>
        <w:jc w:val="center"/>
        <w:rPr>
          <w:b/>
          <w:sz w:val="28"/>
          <w:szCs w:val="28"/>
        </w:rPr>
      </w:pPr>
      <w:r>
        <w:rPr>
          <w:b/>
          <w:sz w:val="28"/>
          <w:szCs w:val="28"/>
        </w:rPr>
        <w:t>表</w:t>
      </w:r>
      <w:r>
        <w:rPr>
          <w:rFonts w:hint="eastAsia"/>
          <w:b/>
          <w:sz w:val="28"/>
          <w:szCs w:val="28"/>
        </w:rPr>
        <w:t>9</w:t>
      </w:r>
      <w:r>
        <w:rPr>
          <w:b/>
          <w:sz w:val="28"/>
          <w:szCs w:val="28"/>
        </w:rPr>
        <w:t>-1  2020年三亚市经济林产品产量</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95"/>
        <w:gridCol w:w="1163"/>
        <w:gridCol w:w="2445"/>
        <w:gridCol w:w="1687"/>
        <w:gridCol w:w="1970"/>
      </w:tblGrid>
      <w:tr w14:paraId="39183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995" w:type="dxa"/>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0C3AC85E">
            <w:pPr>
              <w:jc w:val="center"/>
              <w:rPr>
                <w:b/>
                <w:sz w:val="28"/>
                <w:szCs w:val="28"/>
              </w:rPr>
            </w:pPr>
            <w:r>
              <w:rPr>
                <w:b/>
                <w:kern w:val="0"/>
                <w:sz w:val="28"/>
                <w:szCs w:val="28"/>
                <w:lang w:bidi="ar"/>
              </w:rPr>
              <w:t>序号</w:t>
            </w:r>
          </w:p>
        </w:tc>
        <w:tc>
          <w:tcPr>
            <w:tcW w:w="116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6258242">
            <w:pPr>
              <w:jc w:val="center"/>
              <w:rPr>
                <w:b/>
                <w:sz w:val="28"/>
                <w:szCs w:val="28"/>
              </w:rPr>
            </w:pPr>
            <w:r>
              <w:rPr>
                <w:b/>
                <w:kern w:val="0"/>
                <w:sz w:val="28"/>
                <w:szCs w:val="28"/>
                <w:lang w:bidi="ar"/>
              </w:rPr>
              <w:t>名称</w:t>
            </w:r>
          </w:p>
        </w:tc>
        <w:tc>
          <w:tcPr>
            <w:tcW w:w="244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802FC17">
            <w:pPr>
              <w:jc w:val="center"/>
              <w:textAlignment w:val="top"/>
              <w:rPr>
                <w:b/>
                <w:sz w:val="28"/>
                <w:szCs w:val="28"/>
              </w:rPr>
            </w:pPr>
            <w:r>
              <w:rPr>
                <w:b/>
                <w:sz w:val="28"/>
                <w:szCs w:val="28"/>
              </w:rPr>
              <w:t>栽植面积（hm</w:t>
            </w:r>
            <w:r>
              <w:rPr>
                <w:b/>
                <w:sz w:val="28"/>
                <w:szCs w:val="28"/>
                <w:vertAlign w:val="superscript"/>
              </w:rPr>
              <w:t>2</w:t>
            </w:r>
            <w:r>
              <w:rPr>
                <w:b/>
                <w:sz w:val="28"/>
                <w:szCs w:val="28"/>
              </w:rPr>
              <w:t>）</w:t>
            </w:r>
          </w:p>
        </w:tc>
        <w:tc>
          <w:tcPr>
            <w:tcW w:w="1687"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8DB73B">
            <w:pPr>
              <w:jc w:val="center"/>
              <w:textAlignment w:val="top"/>
              <w:rPr>
                <w:b/>
                <w:sz w:val="28"/>
                <w:szCs w:val="28"/>
              </w:rPr>
            </w:pPr>
            <w:r>
              <w:rPr>
                <w:b/>
                <w:sz w:val="28"/>
                <w:szCs w:val="28"/>
              </w:rPr>
              <w:t>年总产量</w:t>
            </w:r>
          </w:p>
        </w:tc>
        <w:tc>
          <w:tcPr>
            <w:tcW w:w="1970"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8BB00BC">
            <w:pPr>
              <w:jc w:val="center"/>
              <w:textAlignment w:val="top"/>
              <w:rPr>
                <w:b/>
                <w:sz w:val="28"/>
                <w:szCs w:val="28"/>
              </w:rPr>
            </w:pPr>
            <w:r>
              <w:rPr>
                <w:b/>
                <w:sz w:val="28"/>
                <w:szCs w:val="28"/>
              </w:rPr>
              <w:t>产值（万元）</w:t>
            </w:r>
          </w:p>
        </w:tc>
      </w:tr>
      <w:tr w14:paraId="4AC73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9" w:hRule="atLeast"/>
          <w:jc w:val="center"/>
        </w:trPr>
        <w:tc>
          <w:tcPr>
            <w:tcW w:w="99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0E5AB6F">
            <w:pPr>
              <w:jc w:val="center"/>
              <w:textAlignment w:val="top"/>
              <w:rPr>
                <w:sz w:val="28"/>
                <w:szCs w:val="28"/>
              </w:rPr>
            </w:pPr>
            <w:r>
              <w:rPr>
                <w:kern w:val="0"/>
                <w:sz w:val="28"/>
                <w:szCs w:val="28"/>
                <w:lang w:bidi="ar"/>
              </w:rPr>
              <w:t>1</w:t>
            </w:r>
          </w:p>
        </w:tc>
        <w:tc>
          <w:tcPr>
            <w:tcW w:w="116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5EEA308">
            <w:pPr>
              <w:jc w:val="center"/>
              <w:textAlignment w:val="top"/>
              <w:rPr>
                <w:sz w:val="28"/>
                <w:szCs w:val="28"/>
              </w:rPr>
            </w:pPr>
            <w:r>
              <w:rPr>
                <w:kern w:val="0"/>
                <w:sz w:val="28"/>
                <w:szCs w:val="28"/>
                <w:lang w:bidi="ar"/>
              </w:rPr>
              <w:t>芒果</w:t>
            </w:r>
          </w:p>
        </w:tc>
        <w:tc>
          <w:tcPr>
            <w:tcW w:w="244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EF13E5A">
            <w:pPr>
              <w:jc w:val="center"/>
              <w:rPr>
                <w:sz w:val="28"/>
                <w:szCs w:val="28"/>
              </w:rPr>
            </w:pPr>
            <w:r>
              <w:rPr>
                <w:kern w:val="0"/>
                <w:sz w:val="28"/>
                <w:szCs w:val="28"/>
              </w:rPr>
              <w:t>3069</w:t>
            </w:r>
            <w:r>
              <w:rPr>
                <w:rFonts w:hint="eastAsia"/>
                <w:kern w:val="0"/>
                <w:sz w:val="28"/>
                <w:szCs w:val="28"/>
              </w:rPr>
              <w:t>8</w:t>
            </w:r>
          </w:p>
        </w:tc>
        <w:tc>
          <w:tcPr>
            <w:tcW w:w="1687"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7F1D15F">
            <w:pPr>
              <w:jc w:val="center"/>
              <w:textAlignment w:val="top"/>
              <w:rPr>
                <w:sz w:val="28"/>
                <w:szCs w:val="28"/>
              </w:rPr>
            </w:pPr>
            <w:r>
              <w:rPr>
                <w:sz w:val="28"/>
                <w:szCs w:val="28"/>
              </w:rPr>
              <w:t>401519吨</w:t>
            </w:r>
          </w:p>
        </w:tc>
        <w:tc>
          <w:tcPr>
            <w:tcW w:w="1970"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2F9F8B7">
            <w:pPr>
              <w:jc w:val="center"/>
              <w:textAlignment w:val="top"/>
              <w:rPr>
                <w:sz w:val="28"/>
                <w:szCs w:val="28"/>
              </w:rPr>
            </w:pPr>
            <w:r>
              <w:rPr>
                <w:sz w:val="28"/>
                <w:szCs w:val="28"/>
              </w:rPr>
              <w:t>240912</w:t>
            </w:r>
          </w:p>
        </w:tc>
      </w:tr>
      <w:tr w14:paraId="26AB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6" w:hRule="atLeast"/>
          <w:jc w:val="center"/>
        </w:trPr>
        <w:tc>
          <w:tcPr>
            <w:tcW w:w="99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7B1E411">
            <w:pPr>
              <w:jc w:val="center"/>
              <w:textAlignment w:val="top"/>
              <w:rPr>
                <w:sz w:val="28"/>
                <w:szCs w:val="28"/>
              </w:rPr>
            </w:pPr>
            <w:r>
              <w:rPr>
                <w:kern w:val="0"/>
                <w:sz w:val="28"/>
                <w:szCs w:val="28"/>
                <w:lang w:bidi="ar"/>
              </w:rPr>
              <w:t>2</w:t>
            </w:r>
          </w:p>
        </w:tc>
        <w:tc>
          <w:tcPr>
            <w:tcW w:w="116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E873691">
            <w:pPr>
              <w:jc w:val="center"/>
              <w:textAlignment w:val="top"/>
              <w:rPr>
                <w:sz w:val="28"/>
                <w:szCs w:val="28"/>
              </w:rPr>
            </w:pPr>
            <w:r>
              <w:rPr>
                <w:kern w:val="0"/>
                <w:sz w:val="28"/>
                <w:szCs w:val="28"/>
                <w:lang w:bidi="ar"/>
              </w:rPr>
              <w:t>槟榔</w:t>
            </w:r>
          </w:p>
        </w:tc>
        <w:tc>
          <w:tcPr>
            <w:tcW w:w="244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4454314">
            <w:pPr>
              <w:jc w:val="center"/>
              <w:rPr>
                <w:sz w:val="28"/>
                <w:szCs w:val="28"/>
              </w:rPr>
            </w:pPr>
            <w:r>
              <w:rPr>
                <w:sz w:val="28"/>
                <w:szCs w:val="28"/>
              </w:rPr>
              <w:t>1161</w:t>
            </w:r>
            <w:r>
              <w:rPr>
                <w:rFonts w:hint="eastAsia"/>
                <w:sz w:val="28"/>
                <w:szCs w:val="28"/>
              </w:rPr>
              <w:t>7</w:t>
            </w:r>
          </w:p>
        </w:tc>
        <w:tc>
          <w:tcPr>
            <w:tcW w:w="1687"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02B070B">
            <w:pPr>
              <w:jc w:val="center"/>
              <w:textAlignment w:val="top"/>
              <w:rPr>
                <w:sz w:val="28"/>
                <w:szCs w:val="28"/>
              </w:rPr>
            </w:pPr>
            <w:r>
              <w:rPr>
                <w:sz w:val="28"/>
                <w:szCs w:val="28"/>
              </w:rPr>
              <w:t>25000吨</w:t>
            </w:r>
          </w:p>
        </w:tc>
        <w:tc>
          <w:tcPr>
            <w:tcW w:w="1970"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DBA145A">
            <w:pPr>
              <w:jc w:val="center"/>
              <w:textAlignment w:val="top"/>
              <w:rPr>
                <w:sz w:val="28"/>
                <w:szCs w:val="28"/>
              </w:rPr>
            </w:pPr>
            <w:r>
              <w:rPr>
                <w:sz w:val="28"/>
                <w:szCs w:val="28"/>
              </w:rPr>
              <w:t>100944</w:t>
            </w:r>
          </w:p>
        </w:tc>
      </w:tr>
      <w:tr w14:paraId="377B6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8" w:hRule="atLeast"/>
          <w:jc w:val="center"/>
        </w:trPr>
        <w:tc>
          <w:tcPr>
            <w:tcW w:w="99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F8554C1">
            <w:pPr>
              <w:jc w:val="center"/>
              <w:textAlignment w:val="top"/>
              <w:rPr>
                <w:kern w:val="0"/>
                <w:sz w:val="28"/>
                <w:szCs w:val="28"/>
                <w:lang w:bidi="ar"/>
              </w:rPr>
            </w:pPr>
            <w:r>
              <w:rPr>
                <w:kern w:val="0"/>
                <w:sz w:val="28"/>
                <w:szCs w:val="28"/>
                <w:lang w:bidi="ar"/>
              </w:rPr>
              <w:t>3</w:t>
            </w:r>
          </w:p>
        </w:tc>
        <w:tc>
          <w:tcPr>
            <w:tcW w:w="116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9113F50">
            <w:pPr>
              <w:jc w:val="center"/>
              <w:textAlignment w:val="top"/>
              <w:rPr>
                <w:kern w:val="0"/>
                <w:sz w:val="28"/>
                <w:szCs w:val="28"/>
                <w:lang w:bidi="ar"/>
              </w:rPr>
            </w:pPr>
            <w:r>
              <w:rPr>
                <w:kern w:val="0"/>
                <w:sz w:val="28"/>
                <w:szCs w:val="28"/>
                <w:lang w:bidi="ar"/>
              </w:rPr>
              <w:t>橡胶</w:t>
            </w:r>
          </w:p>
        </w:tc>
        <w:tc>
          <w:tcPr>
            <w:tcW w:w="244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5B6B9AE">
            <w:pPr>
              <w:jc w:val="center"/>
              <w:rPr>
                <w:sz w:val="28"/>
                <w:szCs w:val="28"/>
              </w:rPr>
            </w:pPr>
            <w:r>
              <w:rPr>
                <w:sz w:val="28"/>
                <w:szCs w:val="28"/>
              </w:rPr>
              <w:t>15725</w:t>
            </w:r>
          </w:p>
        </w:tc>
        <w:tc>
          <w:tcPr>
            <w:tcW w:w="1687"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DFE04FA">
            <w:pPr>
              <w:jc w:val="center"/>
              <w:textAlignment w:val="top"/>
              <w:rPr>
                <w:kern w:val="0"/>
                <w:sz w:val="28"/>
                <w:szCs w:val="28"/>
                <w:lang w:bidi="ar"/>
              </w:rPr>
            </w:pPr>
            <w:r>
              <w:rPr>
                <w:kern w:val="0"/>
                <w:sz w:val="28"/>
                <w:szCs w:val="28"/>
                <w:lang w:bidi="ar"/>
              </w:rPr>
              <w:t>7300</w:t>
            </w:r>
            <w:r>
              <w:rPr>
                <w:sz w:val="28"/>
                <w:szCs w:val="28"/>
              </w:rPr>
              <w:t>吨</w:t>
            </w:r>
          </w:p>
        </w:tc>
        <w:tc>
          <w:tcPr>
            <w:tcW w:w="1970"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511D093">
            <w:pPr>
              <w:jc w:val="center"/>
              <w:textAlignment w:val="top"/>
              <w:rPr>
                <w:kern w:val="0"/>
                <w:sz w:val="28"/>
                <w:szCs w:val="28"/>
                <w:lang w:bidi="ar"/>
              </w:rPr>
            </w:pPr>
            <w:r>
              <w:rPr>
                <w:kern w:val="0"/>
                <w:sz w:val="28"/>
                <w:szCs w:val="28"/>
                <w:lang w:bidi="ar"/>
              </w:rPr>
              <w:t>10001</w:t>
            </w:r>
          </w:p>
        </w:tc>
      </w:tr>
      <w:tr w14:paraId="6609A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99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3CB7F2F">
            <w:pPr>
              <w:jc w:val="center"/>
              <w:textAlignment w:val="top"/>
              <w:rPr>
                <w:sz w:val="28"/>
                <w:szCs w:val="28"/>
              </w:rPr>
            </w:pPr>
            <w:r>
              <w:rPr>
                <w:kern w:val="0"/>
                <w:sz w:val="28"/>
                <w:szCs w:val="28"/>
                <w:lang w:bidi="ar"/>
              </w:rPr>
              <w:t>4</w:t>
            </w:r>
          </w:p>
        </w:tc>
        <w:tc>
          <w:tcPr>
            <w:tcW w:w="116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0DAEB25">
            <w:pPr>
              <w:jc w:val="center"/>
              <w:textAlignment w:val="top"/>
              <w:rPr>
                <w:sz w:val="28"/>
                <w:szCs w:val="28"/>
              </w:rPr>
            </w:pPr>
            <w:r>
              <w:rPr>
                <w:kern w:val="0"/>
                <w:sz w:val="28"/>
                <w:szCs w:val="28"/>
                <w:lang w:bidi="ar"/>
              </w:rPr>
              <w:t>椰子</w:t>
            </w:r>
          </w:p>
        </w:tc>
        <w:tc>
          <w:tcPr>
            <w:tcW w:w="244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97B9F57">
            <w:pPr>
              <w:jc w:val="center"/>
              <w:rPr>
                <w:sz w:val="28"/>
                <w:szCs w:val="28"/>
              </w:rPr>
            </w:pPr>
            <w:r>
              <w:rPr>
                <w:sz w:val="28"/>
                <w:szCs w:val="28"/>
              </w:rPr>
              <w:t>644</w:t>
            </w:r>
          </w:p>
        </w:tc>
        <w:tc>
          <w:tcPr>
            <w:tcW w:w="1687"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69CAF96">
            <w:pPr>
              <w:jc w:val="center"/>
              <w:textAlignment w:val="top"/>
              <w:rPr>
                <w:sz w:val="28"/>
                <w:szCs w:val="28"/>
              </w:rPr>
            </w:pPr>
            <w:r>
              <w:rPr>
                <w:sz w:val="28"/>
                <w:szCs w:val="28"/>
              </w:rPr>
              <w:t>10120000个</w:t>
            </w:r>
          </w:p>
        </w:tc>
        <w:tc>
          <w:tcPr>
            <w:tcW w:w="1970"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408F0C7">
            <w:pPr>
              <w:jc w:val="center"/>
              <w:textAlignment w:val="top"/>
              <w:rPr>
                <w:sz w:val="28"/>
                <w:szCs w:val="28"/>
              </w:rPr>
            </w:pPr>
            <w:r>
              <w:rPr>
                <w:sz w:val="28"/>
                <w:szCs w:val="28"/>
              </w:rPr>
              <w:t>8096</w:t>
            </w:r>
          </w:p>
        </w:tc>
      </w:tr>
      <w:tr w14:paraId="27457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99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BAF0DD7">
            <w:pPr>
              <w:jc w:val="center"/>
              <w:textAlignment w:val="top"/>
              <w:rPr>
                <w:kern w:val="0"/>
                <w:sz w:val="28"/>
                <w:szCs w:val="28"/>
                <w:lang w:bidi="ar"/>
              </w:rPr>
            </w:pPr>
            <w:r>
              <w:rPr>
                <w:kern w:val="0"/>
                <w:sz w:val="28"/>
                <w:szCs w:val="28"/>
                <w:lang w:bidi="ar"/>
              </w:rPr>
              <w:t>5</w:t>
            </w:r>
          </w:p>
        </w:tc>
        <w:tc>
          <w:tcPr>
            <w:tcW w:w="116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5B2A1D0">
            <w:pPr>
              <w:jc w:val="center"/>
              <w:textAlignment w:val="top"/>
              <w:rPr>
                <w:sz w:val="28"/>
                <w:szCs w:val="28"/>
              </w:rPr>
            </w:pPr>
            <w:r>
              <w:rPr>
                <w:kern w:val="0"/>
                <w:sz w:val="28"/>
                <w:szCs w:val="28"/>
                <w:lang w:bidi="ar"/>
              </w:rPr>
              <w:t>其它</w:t>
            </w:r>
          </w:p>
        </w:tc>
        <w:tc>
          <w:tcPr>
            <w:tcW w:w="244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0F65E96">
            <w:pPr>
              <w:jc w:val="center"/>
              <w:rPr>
                <w:sz w:val="28"/>
                <w:szCs w:val="28"/>
              </w:rPr>
            </w:pPr>
            <w:r>
              <w:rPr>
                <w:sz w:val="28"/>
                <w:szCs w:val="28"/>
              </w:rPr>
              <w:t>131</w:t>
            </w:r>
            <w:r>
              <w:rPr>
                <w:rFonts w:hint="eastAsia"/>
                <w:sz w:val="28"/>
                <w:szCs w:val="28"/>
              </w:rPr>
              <w:t>3</w:t>
            </w:r>
          </w:p>
        </w:tc>
        <w:tc>
          <w:tcPr>
            <w:tcW w:w="1687"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69778E9">
            <w:pPr>
              <w:jc w:val="center"/>
              <w:rPr>
                <w:sz w:val="28"/>
                <w:szCs w:val="28"/>
              </w:rPr>
            </w:pPr>
            <w:r>
              <w:rPr>
                <w:sz w:val="28"/>
                <w:szCs w:val="28"/>
              </w:rPr>
              <w:t>437183吨</w:t>
            </w:r>
          </w:p>
        </w:tc>
        <w:tc>
          <w:tcPr>
            <w:tcW w:w="1970"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C064302">
            <w:pPr>
              <w:jc w:val="center"/>
              <w:rPr>
                <w:sz w:val="28"/>
                <w:szCs w:val="28"/>
              </w:rPr>
            </w:pPr>
            <w:r>
              <w:rPr>
                <w:sz w:val="28"/>
                <w:szCs w:val="28"/>
              </w:rPr>
              <w:t>12906</w:t>
            </w:r>
          </w:p>
        </w:tc>
      </w:tr>
      <w:tr w14:paraId="28767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2158" w:type="dxa"/>
            <w:gridSpan w:val="2"/>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01A1369">
            <w:pPr>
              <w:jc w:val="center"/>
              <w:textAlignment w:val="top"/>
              <w:rPr>
                <w:b/>
                <w:kern w:val="0"/>
                <w:sz w:val="28"/>
                <w:szCs w:val="28"/>
                <w:lang w:bidi="ar"/>
              </w:rPr>
            </w:pPr>
            <w:r>
              <w:rPr>
                <w:b/>
                <w:kern w:val="0"/>
                <w:sz w:val="28"/>
                <w:szCs w:val="28"/>
                <w:lang w:bidi="ar"/>
              </w:rPr>
              <w:t>合计</w:t>
            </w:r>
          </w:p>
        </w:tc>
        <w:tc>
          <w:tcPr>
            <w:tcW w:w="244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3676514">
            <w:pPr>
              <w:jc w:val="center"/>
              <w:textAlignment w:val="top"/>
              <w:rPr>
                <w:b/>
                <w:kern w:val="0"/>
                <w:sz w:val="28"/>
                <w:szCs w:val="28"/>
                <w:lang w:bidi="ar"/>
              </w:rPr>
            </w:pPr>
            <w:r>
              <w:rPr>
                <w:b/>
                <w:kern w:val="0"/>
                <w:sz w:val="28"/>
                <w:szCs w:val="28"/>
                <w:lang w:bidi="ar"/>
              </w:rPr>
              <w:t>5999</w:t>
            </w:r>
            <w:r>
              <w:rPr>
                <w:rFonts w:hint="eastAsia"/>
                <w:b/>
                <w:kern w:val="0"/>
                <w:sz w:val="28"/>
                <w:szCs w:val="28"/>
                <w:lang w:bidi="ar"/>
              </w:rPr>
              <w:t>8</w:t>
            </w:r>
          </w:p>
        </w:tc>
        <w:tc>
          <w:tcPr>
            <w:tcW w:w="1687"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09DAA79">
            <w:pPr>
              <w:jc w:val="center"/>
              <w:rPr>
                <w:b/>
                <w:bCs/>
                <w:sz w:val="28"/>
                <w:szCs w:val="28"/>
              </w:rPr>
            </w:pPr>
          </w:p>
        </w:tc>
        <w:tc>
          <w:tcPr>
            <w:tcW w:w="1970"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BA1C7B0">
            <w:pPr>
              <w:jc w:val="center"/>
              <w:textAlignment w:val="top"/>
              <w:rPr>
                <w:b/>
                <w:kern w:val="0"/>
                <w:sz w:val="28"/>
                <w:szCs w:val="28"/>
              </w:rPr>
            </w:pPr>
            <w:r>
              <w:rPr>
                <w:b/>
                <w:kern w:val="0"/>
                <w:sz w:val="28"/>
                <w:szCs w:val="28"/>
              </w:rPr>
              <w:t>372859</w:t>
            </w:r>
          </w:p>
        </w:tc>
      </w:tr>
    </w:tbl>
    <w:p w14:paraId="6474C79D">
      <w:pPr>
        <w:spacing w:before="159" w:beforeLines="50" w:line="360" w:lineRule="auto"/>
        <w:jc w:val="left"/>
        <w:rPr>
          <w:rFonts w:eastAsia="仿宋_GB2312"/>
          <w:sz w:val="32"/>
          <w:szCs w:val="32"/>
        </w:rPr>
      </w:pPr>
      <w:r>
        <w:rPr>
          <w:rFonts w:eastAsia="仿宋_GB2312"/>
          <w:sz w:val="32"/>
          <w:szCs w:val="32"/>
        </w:rPr>
        <w:t xml:space="preserve"> </w:t>
      </w:r>
      <w:r>
        <w:rPr>
          <w:rFonts w:hint="eastAsia" w:eastAsia="仿宋_GB2312"/>
          <w:sz w:val="32"/>
          <w:szCs w:val="32"/>
        </w:rPr>
        <w:t xml:space="preserve">  </w:t>
      </w:r>
      <w:r>
        <w:rPr>
          <w:rFonts w:eastAsia="仿宋_GB2312"/>
          <w:sz w:val="32"/>
          <w:szCs w:val="32"/>
        </w:rPr>
        <w:t>（1）芒果</w:t>
      </w:r>
    </w:p>
    <w:p w14:paraId="6F1AAB59">
      <w:pPr>
        <w:spacing w:line="360" w:lineRule="auto"/>
        <w:ind w:firstLine="640" w:firstLineChars="200"/>
        <w:jc w:val="left"/>
        <w:rPr>
          <w:rFonts w:eastAsia="仿宋_GB2312"/>
          <w:sz w:val="32"/>
          <w:szCs w:val="32"/>
        </w:rPr>
      </w:pPr>
      <w:r>
        <w:rPr>
          <w:rFonts w:eastAsia="仿宋_GB2312"/>
          <w:sz w:val="32"/>
          <w:szCs w:val="32"/>
        </w:rPr>
        <w:t>三亚市芒果栽培历史悠久，1985 年全市芒果种植仅为</w:t>
      </w:r>
    </w:p>
    <w:p w14:paraId="6D2C62F3">
      <w:pPr>
        <w:spacing w:line="360" w:lineRule="auto"/>
        <w:jc w:val="left"/>
        <w:rPr>
          <w:rFonts w:eastAsia="仿宋_GB2312"/>
          <w:sz w:val="32"/>
          <w:szCs w:val="32"/>
        </w:rPr>
      </w:pPr>
      <w:r>
        <w:rPr>
          <w:rFonts w:eastAsia="仿宋_GB2312"/>
          <w:sz w:val="32"/>
          <w:szCs w:val="32"/>
        </w:rPr>
        <w:t>20.5</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，到2020年规模已达3069</w:t>
      </w:r>
      <w:r>
        <w:rPr>
          <w:rFonts w:hint="eastAsia" w:eastAsia="仿宋_GB2312"/>
          <w:sz w:val="32"/>
          <w:szCs w:val="32"/>
        </w:rPr>
        <w:t xml:space="preserve">8 </w:t>
      </w:r>
      <w:r>
        <w:rPr>
          <w:rFonts w:eastAsia="仿宋_GB2312"/>
          <w:sz w:val="32"/>
          <w:szCs w:val="32"/>
        </w:rPr>
        <w:t>hm</w:t>
      </w:r>
      <w:r>
        <w:rPr>
          <w:rFonts w:eastAsia="仿宋_GB2312"/>
          <w:sz w:val="32"/>
          <w:szCs w:val="32"/>
          <w:vertAlign w:val="superscript"/>
        </w:rPr>
        <w:t>2</w:t>
      </w:r>
      <w:r>
        <w:rPr>
          <w:rFonts w:eastAsia="仿宋_GB2312"/>
          <w:sz w:val="32"/>
          <w:szCs w:val="32"/>
        </w:rPr>
        <w:t>，占全国和全省总面积的21.51%和53.86%。三亚是海南省芒果成熟期最早、产量最高、种植规模最大的优势产区。</w:t>
      </w:r>
    </w:p>
    <w:p w14:paraId="5ADCFA96">
      <w:pPr>
        <w:spacing w:line="360" w:lineRule="auto"/>
        <w:ind w:firstLine="640" w:firstLineChars="200"/>
        <w:jc w:val="left"/>
        <w:rPr>
          <w:rFonts w:hint="eastAsia" w:eastAsia="仿宋_GB2312"/>
          <w:sz w:val="32"/>
          <w:szCs w:val="32"/>
        </w:rPr>
      </w:pPr>
      <w:r>
        <w:rPr>
          <w:rFonts w:eastAsia="仿宋_GB2312"/>
          <w:sz w:val="32"/>
          <w:szCs w:val="32"/>
        </w:rPr>
        <w:t>三亚年均温、最冷月均温与年日照时数均高于国内其他适宜区，春季干旱少雨，终年长夏无冬，有利于芒果开花结果。独特的光、热条件，生产反季节芒果，在水果淡季上市，市场空间大，利润高，是发展早熟芒果的优势区域。目前，台农一号、金煌和贵妃为主栽品种，其中金煌芒面积正逐年增加。崖州区芒果种植面积10743</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，天涯区5694</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，海棠区6256 hm</w:t>
      </w:r>
      <w:r>
        <w:rPr>
          <w:rFonts w:eastAsia="仿宋_GB2312"/>
          <w:sz w:val="32"/>
          <w:szCs w:val="32"/>
          <w:vertAlign w:val="superscript"/>
        </w:rPr>
        <w:t>2</w:t>
      </w:r>
      <w:r>
        <w:rPr>
          <w:rFonts w:eastAsia="仿宋_GB2312"/>
          <w:sz w:val="32"/>
          <w:szCs w:val="32"/>
        </w:rPr>
        <w:t>，育才生态区503</w:t>
      </w:r>
      <w:r>
        <w:rPr>
          <w:rFonts w:hint="eastAsia" w:eastAsia="仿宋_GB2312"/>
          <w:sz w:val="32"/>
          <w:szCs w:val="32"/>
        </w:rPr>
        <w:t>2</w:t>
      </w:r>
      <w:r>
        <w:rPr>
          <w:rFonts w:eastAsia="仿宋_GB2312"/>
          <w:sz w:val="32"/>
          <w:szCs w:val="32"/>
        </w:rPr>
        <w:t xml:space="preserve"> hm</w:t>
      </w:r>
      <w:r>
        <w:rPr>
          <w:rFonts w:eastAsia="仿宋_GB2312"/>
          <w:sz w:val="32"/>
          <w:szCs w:val="32"/>
          <w:vertAlign w:val="superscript"/>
        </w:rPr>
        <w:t>2</w:t>
      </w:r>
      <w:r>
        <w:rPr>
          <w:rFonts w:eastAsia="仿宋_GB2312"/>
          <w:sz w:val="32"/>
          <w:szCs w:val="32"/>
        </w:rPr>
        <w:t>，吉阳区2973</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w:t>
      </w:r>
    </w:p>
    <w:p w14:paraId="6A864580">
      <w:pPr>
        <w:ind w:firstLine="640" w:firstLineChars="200"/>
        <w:jc w:val="left"/>
        <w:rPr>
          <w:rFonts w:eastAsia="仿宋_GB2312"/>
          <w:sz w:val="32"/>
          <w:szCs w:val="32"/>
        </w:rPr>
      </w:pPr>
      <w:r>
        <w:rPr>
          <w:rFonts w:eastAsia="仿宋_GB2312"/>
          <w:sz w:val="32"/>
          <w:szCs w:val="32"/>
        </w:rPr>
        <w:t>三亚芒果是绿色名牌食品，2003 年海南省的“无公害牌”红芒获得全国绿色食品称号，“神泉牌”贵妃芒又获得“中国果后”称号，使海南省芒果在国内外市场上大受欢迎。全市与芒果相关的品牌包含“三亚芒果”、“福返芒果”、“斯顿芒果”、“神泉芒果”、“南山寿果”、“合丰”、“水果岛”和“绿岛南果”等8个著名品牌，分别制定了各品牌质量标准，引导果农们生产芒果精品，提升果品自然品质和文化价值，开拓销售市场，提高芒果生产经济效益。其中“三亚芒果”商标相继获批为国家地理标志商标（2012年）、海南省著名商标（2013年）和国家农产品地理标志产品（2015年）， 品牌建设将三亚芒果产业带入发展的快车道。</w:t>
      </w:r>
    </w:p>
    <w:p w14:paraId="3C2526C0">
      <w:pPr>
        <w:autoSpaceDE w:val="0"/>
        <w:autoSpaceDN w:val="0"/>
        <w:adjustRightInd w:val="0"/>
        <w:ind w:firstLine="640" w:firstLineChars="200"/>
        <w:jc w:val="left"/>
        <w:rPr>
          <w:rFonts w:eastAsia="仿宋_GB2312"/>
          <w:sz w:val="32"/>
          <w:szCs w:val="32"/>
        </w:rPr>
      </w:pPr>
      <w:r>
        <w:rPr>
          <w:rFonts w:eastAsia="仿宋_GB2312"/>
          <w:sz w:val="32"/>
          <w:szCs w:val="32"/>
        </w:rPr>
        <w:t>（2）槟榔</w:t>
      </w:r>
    </w:p>
    <w:p w14:paraId="784C7920">
      <w:pPr>
        <w:ind w:firstLine="640" w:firstLineChars="200"/>
        <w:jc w:val="left"/>
        <w:rPr>
          <w:rFonts w:eastAsia="仿宋_GB2312"/>
          <w:sz w:val="32"/>
          <w:szCs w:val="32"/>
        </w:rPr>
      </w:pPr>
      <w:r>
        <w:rPr>
          <w:rFonts w:eastAsia="仿宋_GB2312"/>
          <w:sz w:val="32"/>
          <w:szCs w:val="32"/>
        </w:rPr>
        <w:t>槟榔是</w:t>
      </w:r>
      <w:r>
        <w:rPr>
          <w:rFonts w:hint="eastAsia" w:eastAsia="仿宋_GB2312"/>
          <w:sz w:val="32"/>
          <w:szCs w:val="32"/>
        </w:rPr>
        <w:t>海南发展“三棵树”种植的</w:t>
      </w:r>
      <w:r>
        <w:rPr>
          <w:rFonts w:eastAsia="仿宋_GB2312"/>
          <w:sz w:val="32"/>
          <w:szCs w:val="32"/>
        </w:rPr>
        <w:t>主要热带</w:t>
      </w:r>
      <w:r>
        <w:rPr>
          <w:rFonts w:hint="eastAsia" w:eastAsia="仿宋_GB2312"/>
          <w:sz w:val="32"/>
          <w:szCs w:val="32"/>
        </w:rPr>
        <w:t>经济</w:t>
      </w:r>
      <w:r>
        <w:rPr>
          <w:rFonts w:eastAsia="仿宋_GB2312"/>
          <w:sz w:val="32"/>
          <w:szCs w:val="32"/>
        </w:rPr>
        <w:t>树种</w:t>
      </w:r>
      <w:r>
        <w:rPr>
          <w:rFonts w:hint="eastAsia" w:eastAsia="仿宋_GB2312"/>
          <w:sz w:val="32"/>
          <w:szCs w:val="32"/>
        </w:rPr>
        <w:t>之一</w:t>
      </w:r>
      <w:r>
        <w:rPr>
          <w:rFonts w:eastAsia="仿宋_GB2312"/>
          <w:sz w:val="32"/>
          <w:szCs w:val="32"/>
        </w:rPr>
        <w:t>，具有很高的药用价值、文化价值和经济价值，而三亚市具有独特的槟榔种植环境，槟榔开发前景较好。三亚市也是海南省槟榔主产区之一，槟榔产量排名第四，是农民重要的经济来源。</w:t>
      </w:r>
      <w:r>
        <w:rPr>
          <w:rFonts w:hint="eastAsia" w:eastAsia="仿宋_GB2312"/>
          <w:sz w:val="32"/>
          <w:szCs w:val="32"/>
        </w:rPr>
        <w:t>2020年</w:t>
      </w:r>
      <w:r>
        <w:rPr>
          <w:rFonts w:eastAsia="仿宋_GB2312"/>
          <w:sz w:val="32"/>
          <w:szCs w:val="32"/>
        </w:rPr>
        <w:t>全市槟榔栽植面积1161</w:t>
      </w:r>
      <w:r>
        <w:rPr>
          <w:rFonts w:hint="eastAsia" w:eastAsia="仿宋_GB2312"/>
          <w:sz w:val="32"/>
          <w:szCs w:val="32"/>
        </w:rPr>
        <w:t xml:space="preserve">7 </w:t>
      </w:r>
      <w:r>
        <w:rPr>
          <w:rFonts w:eastAsia="仿宋_GB2312"/>
          <w:sz w:val="32"/>
          <w:szCs w:val="32"/>
        </w:rPr>
        <w:t>hm</w:t>
      </w:r>
      <w:r>
        <w:rPr>
          <w:rFonts w:eastAsia="仿宋_GB2312"/>
          <w:sz w:val="32"/>
          <w:szCs w:val="32"/>
          <w:vertAlign w:val="superscript"/>
        </w:rPr>
        <w:t>2</w:t>
      </w:r>
      <w:r>
        <w:rPr>
          <w:rFonts w:eastAsia="仿宋_GB2312"/>
          <w:sz w:val="32"/>
          <w:szCs w:val="32"/>
        </w:rPr>
        <w:t>，其中育才生态区栽植面积3077 hm</w:t>
      </w:r>
      <w:r>
        <w:rPr>
          <w:rFonts w:eastAsia="仿宋_GB2312"/>
          <w:sz w:val="32"/>
          <w:szCs w:val="32"/>
          <w:vertAlign w:val="superscript"/>
        </w:rPr>
        <w:t>2</w:t>
      </w:r>
      <w:r>
        <w:rPr>
          <w:rFonts w:eastAsia="仿宋_GB2312"/>
          <w:sz w:val="32"/>
          <w:szCs w:val="32"/>
        </w:rPr>
        <w:t>，天涯区440</w:t>
      </w:r>
      <w:r>
        <w:rPr>
          <w:rFonts w:hint="eastAsia" w:eastAsia="仿宋_GB2312"/>
          <w:sz w:val="32"/>
          <w:szCs w:val="32"/>
        </w:rPr>
        <w:t>5</w:t>
      </w:r>
      <w:r>
        <w:rPr>
          <w:rFonts w:eastAsia="仿宋_GB2312"/>
          <w:sz w:val="32"/>
          <w:szCs w:val="32"/>
        </w:rPr>
        <w:t xml:space="preserve"> hm</w:t>
      </w:r>
      <w:r>
        <w:rPr>
          <w:rFonts w:eastAsia="仿宋_GB2312"/>
          <w:sz w:val="32"/>
          <w:szCs w:val="32"/>
          <w:vertAlign w:val="superscript"/>
        </w:rPr>
        <w:t>2</w:t>
      </w:r>
      <w:r>
        <w:rPr>
          <w:rFonts w:eastAsia="仿宋_GB2312"/>
          <w:sz w:val="32"/>
          <w:szCs w:val="32"/>
        </w:rPr>
        <w:t>，崖州区2034</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，吉阳区127</w:t>
      </w:r>
      <w:r>
        <w:rPr>
          <w:rFonts w:hint="eastAsia" w:eastAsia="仿宋_GB2312"/>
          <w:sz w:val="32"/>
          <w:szCs w:val="32"/>
        </w:rPr>
        <w:t>3</w:t>
      </w:r>
      <w:r>
        <w:rPr>
          <w:rFonts w:eastAsia="仿宋_GB2312"/>
          <w:sz w:val="32"/>
          <w:szCs w:val="32"/>
        </w:rPr>
        <w:t>hm</w:t>
      </w:r>
      <w:r>
        <w:rPr>
          <w:rFonts w:eastAsia="仿宋_GB2312"/>
          <w:sz w:val="32"/>
          <w:szCs w:val="32"/>
          <w:vertAlign w:val="superscript"/>
        </w:rPr>
        <w:t>2</w:t>
      </w:r>
      <w:r>
        <w:rPr>
          <w:rFonts w:eastAsia="仿宋_GB2312"/>
          <w:sz w:val="32"/>
          <w:szCs w:val="32"/>
        </w:rPr>
        <w:t>，海棠区82</w:t>
      </w:r>
      <w:r>
        <w:rPr>
          <w:rFonts w:hint="eastAsia" w:eastAsia="仿宋_GB2312"/>
          <w:sz w:val="32"/>
          <w:szCs w:val="32"/>
        </w:rPr>
        <w:t>8</w:t>
      </w:r>
      <w:r>
        <w:rPr>
          <w:rFonts w:eastAsia="仿宋_GB2312"/>
          <w:sz w:val="32"/>
          <w:szCs w:val="32"/>
        </w:rPr>
        <w:t xml:space="preserve"> hm</w:t>
      </w:r>
      <w:r>
        <w:rPr>
          <w:rFonts w:eastAsia="仿宋_GB2312"/>
          <w:sz w:val="32"/>
          <w:szCs w:val="32"/>
          <w:vertAlign w:val="superscript"/>
        </w:rPr>
        <w:t>2</w:t>
      </w:r>
      <w:r>
        <w:rPr>
          <w:rFonts w:eastAsia="仿宋_GB2312"/>
          <w:sz w:val="32"/>
          <w:szCs w:val="32"/>
        </w:rPr>
        <w:t>。调查发现，三亚市槟榔种植面积逐渐增加，对于一个以旅游为主的城市，反映三亚市农民对槟榔种植业具有较大的积极性。</w:t>
      </w:r>
    </w:p>
    <w:p w14:paraId="28CFB79D">
      <w:pPr>
        <w:ind w:firstLine="640" w:firstLineChars="200"/>
        <w:jc w:val="left"/>
        <w:rPr>
          <w:rFonts w:eastAsia="仿宋_GB2312"/>
          <w:sz w:val="32"/>
          <w:szCs w:val="32"/>
        </w:rPr>
      </w:pPr>
      <w:r>
        <w:rPr>
          <w:rFonts w:eastAsia="仿宋_GB2312"/>
          <w:sz w:val="32"/>
          <w:szCs w:val="32"/>
        </w:rPr>
        <w:t>三亚市槟榔销售有鲜果和干果两种。由于槟榔的生长特性，上市时间相对集中于8~12月份，在槟榔上市的季节，三亚市鲜果供应充足，一些槟榔运到万宁市或省外（湖南）加工，但是每年的2月到6月，槟榔鲜果供应不足，需要从国外进口。例如2020年槟榔出现供不应求，价格高。但在槟榔上市季节，三亚市槟榔主要是销售到外地加工，这部分槟榔的销售严重依赖加工企业的需求，如果加工企业需求减少，就会导致槟榔滞销，例如2019年，由于槟榔企业对槟榔需求降低，导致收购量减少，出现槟榔滞销、价格降低的现象。目前，三亚市槟榔黄化现象是槟榔最难控制的病害，也是对槟榔危害最大的病害，此病害一旦出现常常会大范围扩散，导致槟榔树减产甚至死亡。</w:t>
      </w:r>
    </w:p>
    <w:p w14:paraId="43C3C698">
      <w:pPr>
        <w:ind w:firstLine="640" w:firstLineChars="200"/>
        <w:rPr>
          <w:rFonts w:eastAsia="仿宋_GB2312"/>
          <w:sz w:val="32"/>
          <w:szCs w:val="32"/>
        </w:rPr>
      </w:pPr>
      <w:r>
        <w:rPr>
          <w:rFonts w:eastAsia="仿宋_GB2312"/>
          <w:sz w:val="32"/>
          <w:szCs w:val="32"/>
        </w:rPr>
        <w:t>（3）橡胶</w:t>
      </w:r>
    </w:p>
    <w:p w14:paraId="48A696C6">
      <w:pPr>
        <w:ind w:firstLine="640" w:firstLineChars="200"/>
        <w:rPr>
          <w:rFonts w:eastAsia="仿宋_GB2312"/>
          <w:sz w:val="32"/>
          <w:szCs w:val="32"/>
        </w:rPr>
      </w:pPr>
      <w:r>
        <w:rPr>
          <w:rFonts w:eastAsia="仿宋_GB2312"/>
          <w:sz w:val="32"/>
          <w:szCs w:val="32"/>
        </w:rPr>
        <w:t>橡胶是</w:t>
      </w:r>
      <w:r>
        <w:rPr>
          <w:rFonts w:hint="eastAsia" w:eastAsia="仿宋_GB2312"/>
          <w:sz w:val="32"/>
          <w:szCs w:val="32"/>
        </w:rPr>
        <w:t>海南发展“三棵树”的</w:t>
      </w:r>
      <w:r>
        <w:rPr>
          <w:rFonts w:eastAsia="仿宋_GB2312"/>
          <w:sz w:val="32"/>
          <w:szCs w:val="32"/>
        </w:rPr>
        <w:t>主要热带</w:t>
      </w:r>
      <w:r>
        <w:rPr>
          <w:rFonts w:hint="eastAsia" w:eastAsia="仿宋_GB2312"/>
          <w:sz w:val="32"/>
          <w:szCs w:val="32"/>
        </w:rPr>
        <w:t>经济</w:t>
      </w:r>
      <w:r>
        <w:rPr>
          <w:rFonts w:eastAsia="仿宋_GB2312"/>
          <w:sz w:val="32"/>
          <w:szCs w:val="32"/>
        </w:rPr>
        <w:t>树种</w:t>
      </w:r>
      <w:r>
        <w:rPr>
          <w:rFonts w:hint="eastAsia" w:eastAsia="仿宋_GB2312"/>
          <w:sz w:val="32"/>
          <w:szCs w:val="32"/>
        </w:rPr>
        <w:t>之一，</w:t>
      </w:r>
      <w:r>
        <w:rPr>
          <w:rFonts w:eastAsia="仿宋_GB2312"/>
          <w:sz w:val="32"/>
          <w:szCs w:val="32"/>
        </w:rPr>
        <w:t>是重要的战略物资，既有工业品的性质，也是一种农产品，关系国计民生。三亚市天然橡胶主要分布在北部山区的高峰、雅亮、育才和东部藤桥，种植林地多为丘陵和台地。橡胶种植有国营农场和民营胶园，全市橡胶种植面积1572</w:t>
      </w:r>
      <w:r>
        <w:rPr>
          <w:rFonts w:hint="eastAsia" w:eastAsia="仿宋_GB2312"/>
          <w:sz w:val="32"/>
          <w:szCs w:val="32"/>
        </w:rPr>
        <w:t xml:space="preserve">5 </w:t>
      </w:r>
      <w:r>
        <w:rPr>
          <w:rFonts w:eastAsia="仿宋_GB2312"/>
          <w:sz w:val="32"/>
          <w:szCs w:val="32"/>
        </w:rPr>
        <w:t>hm</w:t>
      </w:r>
      <w:r>
        <w:rPr>
          <w:rFonts w:eastAsia="仿宋_GB2312"/>
          <w:sz w:val="32"/>
          <w:szCs w:val="32"/>
          <w:vertAlign w:val="superscript"/>
        </w:rPr>
        <w:t>2</w:t>
      </w:r>
      <w:r>
        <w:rPr>
          <w:rFonts w:eastAsia="仿宋_GB2312"/>
          <w:sz w:val="32"/>
          <w:szCs w:val="32"/>
        </w:rPr>
        <w:t>，其中育才生态区704</w:t>
      </w:r>
      <w:r>
        <w:rPr>
          <w:rFonts w:hint="eastAsia" w:eastAsia="仿宋_GB2312"/>
          <w:sz w:val="32"/>
          <w:szCs w:val="32"/>
        </w:rPr>
        <w:t xml:space="preserve">9 </w:t>
      </w:r>
      <w:r>
        <w:rPr>
          <w:rFonts w:eastAsia="仿宋_GB2312"/>
          <w:sz w:val="32"/>
          <w:szCs w:val="32"/>
        </w:rPr>
        <w:t>hm</w:t>
      </w:r>
      <w:r>
        <w:rPr>
          <w:rFonts w:eastAsia="仿宋_GB2312"/>
          <w:sz w:val="32"/>
          <w:szCs w:val="32"/>
          <w:vertAlign w:val="superscript"/>
        </w:rPr>
        <w:t>2</w:t>
      </w:r>
      <w:r>
        <w:rPr>
          <w:rFonts w:eastAsia="仿宋_GB2312"/>
          <w:sz w:val="32"/>
          <w:szCs w:val="32"/>
        </w:rPr>
        <w:t>，天涯区</w:t>
      </w:r>
      <w:r>
        <w:rPr>
          <w:rFonts w:hint="eastAsia" w:eastAsia="仿宋_GB2312"/>
          <w:sz w:val="32"/>
          <w:szCs w:val="32"/>
        </w:rPr>
        <w:t xml:space="preserve">5682 </w:t>
      </w:r>
      <w:r>
        <w:rPr>
          <w:rFonts w:eastAsia="仿宋_GB2312"/>
          <w:sz w:val="32"/>
          <w:szCs w:val="32"/>
        </w:rPr>
        <w:t>hm</w:t>
      </w:r>
      <w:r>
        <w:rPr>
          <w:rFonts w:eastAsia="仿宋_GB2312"/>
          <w:sz w:val="32"/>
          <w:szCs w:val="32"/>
          <w:vertAlign w:val="superscript"/>
        </w:rPr>
        <w:t>2</w:t>
      </w:r>
      <w:r>
        <w:rPr>
          <w:rFonts w:eastAsia="仿宋_GB2312"/>
          <w:sz w:val="32"/>
          <w:szCs w:val="32"/>
        </w:rPr>
        <w:t>，崖州区</w:t>
      </w:r>
      <w:r>
        <w:rPr>
          <w:rFonts w:hint="eastAsia" w:eastAsia="仿宋_GB2312"/>
          <w:sz w:val="32"/>
          <w:szCs w:val="32"/>
        </w:rPr>
        <w:t>1313</w:t>
      </w:r>
      <w:r>
        <w:rPr>
          <w:rFonts w:eastAsia="仿宋_GB2312"/>
          <w:sz w:val="32"/>
          <w:szCs w:val="32"/>
        </w:rPr>
        <w:t xml:space="preserve"> hm</w:t>
      </w:r>
      <w:r>
        <w:rPr>
          <w:rFonts w:eastAsia="仿宋_GB2312"/>
          <w:sz w:val="32"/>
          <w:szCs w:val="32"/>
          <w:vertAlign w:val="superscript"/>
        </w:rPr>
        <w:t>2</w:t>
      </w:r>
      <w:r>
        <w:rPr>
          <w:rFonts w:eastAsia="仿宋_GB2312"/>
          <w:sz w:val="32"/>
          <w:szCs w:val="32"/>
        </w:rPr>
        <w:t>，吉阳区</w:t>
      </w:r>
      <w:r>
        <w:rPr>
          <w:rFonts w:hint="eastAsia" w:eastAsia="仿宋_GB2312"/>
          <w:sz w:val="32"/>
          <w:szCs w:val="32"/>
        </w:rPr>
        <w:t>514</w:t>
      </w:r>
      <w:r>
        <w:rPr>
          <w:rFonts w:eastAsia="仿宋_GB2312"/>
          <w:sz w:val="32"/>
          <w:szCs w:val="32"/>
        </w:rPr>
        <w:t xml:space="preserve"> hm</w:t>
      </w:r>
      <w:r>
        <w:rPr>
          <w:rFonts w:eastAsia="仿宋_GB2312"/>
          <w:sz w:val="32"/>
          <w:szCs w:val="32"/>
          <w:vertAlign w:val="superscript"/>
        </w:rPr>
        <w:t>2</w:t>
      </w:r>
      <w:r>
        <w:rPr>
          <w:rFonts w:eastAsia="仿宋_GB2312"/>
          <w:sz w:val="32"/>
          <w:szCs w:val="32"/>
        </w:rPr>
        <w:t>，海棠区116</w:t>
      </w:r>
      <w:r>
        <w:rPr>
          <w:rFonts w:hint="eastAsia" w:eastAsia="仿宋_GB2312"/>
          <w:sz w:val="32"/>
          <w:szCs w:val="32"/>
        </w:rPr>
        <w:t>7</w:t>
      </w:r>
      <w:r>
        <w:rPr>
          <w:rFonts w:eastAsia="仿宋_GB2312"/>
          <w:sz w:val="32"/>
          <w:szCs w:val="32"/>
        </w:rPr>
        <w:t xml:space="preserve"> hm</w:t>
      </w:r>
      <w:r>
        <w:rPr>
          <w:rFonts w:eastAsia="仿宋_GB2312"/>
          <w:sz w:val="32"/>
          <w:szCs w:val="32"/>
          <w:vertAlign w:val="superscript"/>
        </w:rPr>
        <w:t>2</w:t>
      </w:r>
      <w:r>
        <w:rPr>
          <w:rFonts w:eastAsia="仿宋_GB2312"/>
          <w:sz w:val="32"/>
          <w:szCs w:val="32"/>
        </w:rPr>
        <w:t>，国营橡胶种植主要分布在育才生态区和天涯区，民营及个人橡胶种植主要分布在海棠区和吉阳区。三亚市各胶园的橡胶树多为老龄橡胶树，病虫害防治多以白粉病为主，开割频率较低，民营厂开割率约为50</w:t>
      </w:r>
      <w:r>
        <w:rPr>
          <w:rFonts w:hint="eastAsia" w:eastAsia="仿宋_GB2312"/>
          <w:sz w:val="32"/>
          <w:szCs w:val="32"/>
        </w:rPr>
        <w:t>~</w:t>
      </w:r>
      <w:r>
        <w:rPr>
          <w:rFonts w:eastAsia="仿宋_GB2312"/>
          <w:sz w:val="32"/>
          <w:szCs w:val="32"/>
        </w:rPr>
        <w:t>60%，割胶热情普遍不高。在产品销售方面，有协商定价销售、长约销售、期货套保交割销售等销售模式。三亚市天然橡胶各加工企业形成了现代电子商务销售和传统销售、线上和线下相结合的模式，形成了以企业为主体，以市场为导向的市场营销体系。</w:t>
      </w:r>
    </w:p>
    <w:p w14:paraId="39F316CD">
      <w:pPr>
        <w:autoSpaceDE w:val="0"/>
        <w:autoSpaceDN w:val="0"/>
        <w:adjustRightInd w:val="0"/>
        <w:ind w:firstLine="640" w:firstLineChars="200"/>
        <w:jc w:val="left"/>
        <w:rPr>
          <w:rFonts w:eastAsia="仿宋_GB2312"/>
          <w:sz w:val="32"/>
          <w:szCs w:val="32"/>
        </w:rPr>
      </w:pPr>
      <w:r>
        <w:rPr>
          <w:rFonts w:eastAsia="仿宋_GB2312"/>
          <w:sz w:val="32"/>
          <w:szCs w:val="32"/>
        </w:rPr>
        <w:t>（4）椰子</w:t>
      </w:r>
    </w:p>
    <w:p w14:paraId="3DBE8D64">
      <w:pPr>
        <w:spacing w:line="360" w:lineRule="auto"/>
        <w:ind w:firstLine="640" w:firstLineChars="200"/>
        <w:rPr>
          <w:rFonts w:eastAsia="仿宋_GB2312"/>
          <w:sz w:val="32"/>
          <w:szCs w:val="32"/>
        </w:rPr>
      </w:pPr>
      <w:r>
        <w:rPr>
          <w:rFonts w:eastAsia="仿宋_GB2312"/>
          <w:sz w:val="32"/>
          <w:szCs w:val="32"/>
        </w:rPr>
        <w:t>椰子是</w:t>
      </w:r>
      <w:r>
        <w:rPr>
          <w:rFonts w:hint="eastAsia" w:eastAsia="仿宋_GB2312"/>
          <w:sz w:val="32"/>
          <w:szCs w:val="32"/>
        </w:rPr>
        <w:t>海南发展“三棵树”种植的</w:t>
      </w:r>
      <w:r>
        <w:rPr>
          <w:rFonts w:eastAsia="仿宋_GB2312"/>
          <w:sz w:val="32"/>
          <w:szCs w:val="32"/>
        </w:rPr>
        <w:t>主要热带</w:t>
      </w:r>
      <w:r>
        <w:rPr>
          <w:rFonts w:hint="eastAsia" w:eastAsia="仿宋_GB2312"/>
          <w:sz w:val="32"/>
          <w:szCs w:val="32"/>
        </w:rPr>
        <w:t>经济</w:t>
      </w:r>
      <w:r>
        <w:rPr>
          <w:rFonts w:eastAsia="仿宋_GB2312"/>
          <w:sz w:val="32"/>
          <w:szCs w:val="32"/>
        </w:rPr>
        <w:t>树种</w:t>
      </w:r>
      <w:r>
        <w:rPr>
          <w:rFonts w:hint="eastAsia" w:eastAsia="仿宋_GB2312"/>
          <w:sz w:val="32"/>
          <w:szCs w:val="32"/>
        </w:rPr>
        <w:t>之一</w:t>
      </w:r>
      <w:r>
        <w:rPr>
          <w:rFonts w:eastAsia="仿宋_GB2312"/>
          <w:sz w:val="32"/>
          <w:szCs w:val="32"/>
        </w:rPr>
        <w:t>，椰子产量较高，产量位居全省第六，椰子种植面积约占三亚主要热带经济作物的10%左右，是三亚市农业不可或缺的一部分。</w:t>
      </w:r>
      <w:r>
        <w:rPr>
          <w:rFonts w:hint="eastAsia" w:eastAsia="仿宋_GB2312"/>
          <w:sz w:val="32"/>
          <w:szCs w:val="32"/>
        </w:rPr>
        <w:t>2020年三亚市</w:t>
      </w:r>
      <w:r>
        <w:rPr>
          <w:rFonts w:eastAsia="仿宋_GB2312"/>
          <w:sz w:val="32"/>
          <w:szCs w:val="32"/>
        </w:rPr>
        <w:t>椰子栽植面积</w:t>
      </w:r>
      <w:r>
        <w:rPr>
          <w:rFonts w:hint="eastAsia" w:eastAsia="仿宋_GB2312"/>
          <w:sz w:val="32"/>
          <w:szCs w:val="32"/>
        </w:rPr>
        <w:t xml:space="preserve">644 </w:t>
      </w:r>
      <w:r>
        <w:rPr>
          <w:rFonts w:eastAsia="仿宋_GB2312"/>
          <w:sz w:val="32"/>
          <w:szCs w:val="32"/>
        </w:rPr>
        <w:t>hm</w:t>
      </w:r>
      <w:r>
        <w:rPr>
          <w:rFonts w:eastAsia="仿宋_GB2312"/>
          <w:sz w:val="32"/>
          <w:szCs w:val="32"/>
          <w:vertAlign w:val="superscript"/>
        </w:rPr>
        <w:t>2</w:t>
      </w:r>
      <w:r>
        <w:rPr>
          <w:rFonts w:eastAsia="仿宋_GB2312"/>
          <w:sz w:val="32"/>
          <w:szCs w:val="32"/>
        </w:rPr>
        <w:t>，种植面积大小依次为吉阳区</w:t>
      </w:r>
      <w:r>
        <w:rPr>
          <w:rFonts w:hint="eastAsia" w:eastAsia="仿宋_GB2312"/>
          <w:sz w:val="32"/>
          <w:szCs w:val="32"/>
        </w:rPr>
        <w:t xml:space="preserve">175 </w:t>
      </w:r>
      <w:r>
        <w:rPr>
          <w:rFonts w:eastAsia="仿宋_GB2312"/>
          <w:sz w:val="32"/>
          <w:szCs w:val="32"/>
        </w:rPr>
        <w:t>hm</w:t>
      </w:r>
      <w:r>
        <w:rPr>
          <w:rFonts w:eastAsia="仿宋_GB2312"/>
          <w:sz w:val="32"/>
          <w:szCs w:val="32"/>
          <w:vertAlign w:val="superscript"/>
        </w:rPr>
        <w:t>2</w:t>
      </w:r>
      <w:r>
        <w:rPr>
          <w:rFonts w:eastAsia="仿宋_GB2312"/>
          <w:sz w:val="32"/>
          <w:szCs w:val="32"/>
        </w:rPr>
        <w:t>、海棠区</w:t>
      </w:r>
      <w:r>
        <w:rPr>
          <w:rFonts w:hint="eastAsia" w:eastAsia="仿宋_GB2312"/>
          <w:sz w:val="32"/>
          <w:szCs w:val="32"/>
        </w:rPr>
        <w:t xml:space="preserve">221 </w:t>
      </w:r>
      <w:r>
        <w:rPr>
          <w:rFonts w:eastAsia="仿宋_GB2312"/>
          <w:sz w:val="32"/>
          <w:szCs w:val="32"/>
        </w:rPr>
        <w:t>hm</w:t>
      </w:r>
      <w:r>
        <w:rPr>
          <w:rFonts w:eastAsia="仿宋_GB2312"/>
          <w:sz w:val="32"/>
          <w:szCs w:val="32"/>
          <w:vertAlign w:val="superscript"/>
        </w:rPr>
        <w:t>2</w:t>
      </w:r>
      <w:r>
        <w:rPr>
          <w:rFonts w:eastAsia="仿宋_GB2312"/>
          <w:sz w:val="32"/>
          <w:szCs w:val="32"/>
        </w:rPr>
        <w:t>、天涯区</w:t>
      </w:r>
      <w:r>
        <w:rPr>
          <w:rFonts w:hint="eastAsia" w:eastAsia="仿宋_GB2312"/>
          <w:sz w:val="32"/>
          <w:szCs w:val="32"/>
        </w:rPr>
        <w:t xml:space="preserve">149 </w:t>
      </w:r>
      <w:r>
        <w:rPr>
          <w:rFonts w:eastAsia="仿宋_GB2312"/>
          <w:sz w:val="32"/>
          <w:szCs w:val="32"/>
        </w:rPr>
        <w:t>hm</w:t>
      </w:r>
      <w:r>
        <w:rPr>
          <w:rFonts w:eastAsia="仿宋_GB2312"/>
          <w:sz w:val="32"/>
          <w:szCs w:val="32"/>
          <w:vertAlign w:val="superscript"/>
        </w:rPr>
        <w:t>2</w:t>
      </w:r>
      <w:r>
        <w:rPr>
          <w:rFonts w:eastAsia="仿宋_GB2312"/>
          <w:sz w:val="32"/>
          <w:szCs w:val="32"/>
        </w:rPr>
        <w:t>、育才生态区</w:t>
      </w:r>
      <w:r>
        <w:rPr>
          <w:rFonts w:hint="eastAsia" w:eastAsia="仿宋_GB2312"/>
          <w:sz w:val="32"/>
          <w:szCs w:val="32"/>
        </w:rPr>
        <w:t xml:space="preserve">43 </w:t>
      </w:r>
      <w:r>
        <w:rPr>
          <w:rFonts w:eastAsia="仿宋_GB2312"/>
          <w:sz w:val="32"/>
          <w:szCs w:val="32"/>
        </w:rPr>
        <w:t>hm</w:t>
      </w:r>
      <w:r>
        <w:rPr>
          <w:rFonts w:eastAsia="仿宋_GB2312"/>
          <w:sz w:val="32"/>
          <w:szCs w:val="32"/>
          <w:vertAlign w:val="superscript"/>
        </w:rPr>
        <w:t>2</w:t>
      </w:r>
      <w:r>
        <w:rPr>
          <w:rFonts w:eastAsia="仿宋_GB2312"/>
          <w:sz w:val="32"/>
          <w:szCs w:val="32"/>
        </w:rPr>
        <w:t>、崖州区</w:t>
      </w:r>
      <w:r>
        <w:rPr>
          <w:rFonts w:hint="eastAsia" w:eastAsia="仿宋_GB2312"/>
          <w:sz w:val="32"/>
          <w:szCs w:val="32"/>
        </w:rPr>
        <w:t xml:space="preserve">56 </w:t>
      </w:r>
      <w:r>
        <w:rPr>
          <w:rFonts w:eastAsia="仿宋_GB2312"/>
          <w:sz w:val="32"/>
          <w:szCs w:val="32"/>
        </w:rPr>
        <w:t>hm</w:t>
      </w:r>
      <w:r>
        <w:rPr>
          <w:rFonts w:eastAsia="仿宋_GB2312"/>
          <w:sz w:val="32"/>
          <w:szCs w:val="32"/>
          <w:vertAlign w:val="superscript"/>
        </w:rPr>
        <w:t>2</w:t>
      </w:r>
      <w:r>
        <w:rPr>
          <w:rFonts w:eastAsia="仿宋_GB2312"/>
          <w:sz w:val="32"/>
          <w:szCs w:val="32"/>
        </w:rPr>
        <w:t>。近年来中国热带农业科学院椰子研究所引进了新的椰子品种</w:t>
      </w:r>
      <w:r>
        <w:rPr>
          <w:rFonts w:hint="eastAsia" w:eastAsia="仿宋_GB2312"/>
          <w:sz w:val="32"/>
          <w:szCs w:val="32"/>
        </w:rPr>
        <w:t>———</w:t>
      </w:r>
      <w:r>
        <w:rPr>
          <w:rFonts w:eastAsia="仿宋_GB2312"/>
          <w:sz w:val="32"/>
          <w:szCs w:val="32"/>
        </w:rPr>
        <w:t>矮种椰子（红矮、黄矮和绿矮），丰富了海南椰子栽培品种，并逐步成为海南特色的鲜食嫩果。三亚市椰子加工主要是加工工厂和私人作坊，但大多数加工企业的规模比较小、尚未达到规模化生产。</w:t>
      </w:r>
    </w:p>
    <w:p w14:paraId="524303C7">
      <w:pPr>
        <w:autoSpaceDE w:val="0"/>
        <w:autoSpaceDN w:val="0"/>
        <w:adjustRightInd w:val="0"/>
        <w:ind w:firstLine="640" w:firstLineChars="200"/>
        <w:jc w:val="left"/>
        <w:rPr>
          <w:rFonts w:eastAsia="仿宋_GB2312"/>
          <w:sz w:val="32"/>
          <w:szCs w:val="32"/>
        </w:rPr>
      </w:pPr>
      <w:r>
        <w:rPr>
          <w:rFonts w:eastAsia="仿宋_GB2312"/>
          <w:sz w:val="32"/>
          <w:szCs w:val="32"/>
        </w:rPr>
        <w:t>2021年是“十四五”开局之年，是加快建设海南自贸港关键之年，也是</w:t>
      </w:r>
      <w:r>
        <w:rPr>
          <w:rFonts w:eastAsia="仿宋_GB2312"/>
          <w:kern w:val="0"/>
          <w:sz w:val="32"/>
          <w:szCs w:val="32"/>
        </w:rPr>
        <w:t>强化乡村振兴实施的深度广度。</w:t>
      </w:r>
      <w:r>
        <w:rPr>
          <w:rFonts w:hint="eastAsia" w:eastAsia="仿宋_GB2312"/>
          <w:kern w:val="0"/>
          <w:sz w:val="32"/>
          <w:szCs w:val="32"/>
        </w:rPr>
        <w:t>三亚市</w:t>
      </w:r>
      <w:r>
        <w:rPr>
          <w:rFonts w:eastAsia="仿宋_GB2312"/>
          <w:kern w:val="0"/>
          <w:sz w:val="32"/>
          <w:szCs w:val="32"/>
        </w:rPr>
        <w:t>需加快推进农业农村现代化，促进农业提质增效、农民持续增收。除现有芒果、槟榔、椰子、橡胶、莲雾、龙眼、荔枝等热带水果外，缺乏新奇特的产品。</w:t>
      </w:r>
    </w:p>
    <w:p w14:paraId="6FF4C9F3">
      <w:pPr>
        <w:pStyle w:val="3"/>
        <w:spacing w:before="0" w:after="0" w:line="240" w:lineRule="auto"/>
        <w:rPr>
          <w:rFonts w:ascii="Times New Roman" w:hAnsi="Times New Roman" w:eastAsia="黑体"/>
        </w:rPr>
      </w:pPr>
      <w:bookmarkStart w:id="107" w:name="_Toc82546095"/>
      <w:bookmarkStart w:id="108" w:name="_Toc28983"/>
      <w:r>
        <w:rPr>
          <w:rFonts w:hint="eastAsia" w:ascii="Times New Roman" w:hAnsi="Times New Roman" w:eastAsia="黑体"/>
        </w:rPr>
        <w:t>9</w:t>
      </w:r>
      <w:r>
        <w:rPr>
          <w:rFonts w:ascii="Times New Roman" w:hAnsi="Times New Roman" w:eastAsia="黑体"/>
        </w:rPr>
        <w:t>.2 存在的主要问题</w:t>
      </w:r>
      <w:bookmarkEnd w:id="107"/>
      <w:bookmarkEnd w:id="108"/>
    </w:p>
    <w:p w14:paraId="1CF45542">
      <w:pPr>
        <w:ind w:firstLine="640" w:firstLineChars="200"/>
        <w:rPr>
          <w:rFonts w:eastAsia="仿宋_GB2312"/>
          <w:sz w:val="32"/>
          <w:szCs w:val="32"/>
        </w:rPr>
      </w:pPr>
      <w:r>
        <w:rPr>
          <w:rFonts w:eastAsia="仿宋_GB2312"/>
          <w:sz w:val="32"/>
          <w:szCs w:val="32"/>
        </w:rPr>
        <w:t>（1）槟榔、椰子、橡胶“三棵树”存在总体管理水平不高，产量、质量和品牌有待提高。先进的生产栽培技术难以推广，整个三棵树的生产表现出技术集成率低，产量底，标准化生产覆盖率低。</w:t>
      </w:r>
    </w:p>
    <w:p w14:paraId="647780B1">
      <w:pPr>
        <w:spacing w:line="360" w:lineRule="auto"/>
        <w:ind w:firstLine="640" w:firstLineChars="200"/>
        <w:rPr>
          <w:rFonts w:eastAsia="仿宋_GB2312"/>
          <w:sz w:val="32"/>
          <w:szCs w:val="32"/>
        </w:rPr>
      </w:pPr>
      <w:r>
        <w:rPr>
          <w:rFonts w:eastAsia="仿宋_GB2312"/>
          <w:sz w:val="32"/>
          <w:szCs w:val="32"/>
        </w:rPr>
        <w:t>（2）槟榔和椰子病虫害</w:t>
      </w:r>
      <w:r>
        <w:rPr>
          <w:rFonts w:hint="eastAsia" w:eastAsia="仿宋_GB2312"/>
          <w:sz w:val="32"/>
          <w:szCs w:val="32"/>
        </w:rPr>
        <w:t>较为</w:t>
      </w:r>
      <w:r>
        <w:rPr>
          <w:rFonts w:eastAsia="仿宋_GB2312"/>
          <w:sz w:val="32"/>
          <w:szCs w:val="32"/>
        </w:rPr>
        <w:t>严重，生产技术创新意识不强。槟榔和椰子种苗缺乏监管，存在着“重种植、轻管理”的现象，导致产量不高。椰子、槟榔、海枣等棕榈科树种易被椰心叶甲、红棕象甲、椰子织蛾等害虫</w:t>
      </w:r>
      <w:r>
        <w:rPr>
          <w:rFonts w:hint="eastAsia" w:eastAsia="仿宋_GB2312"/>
          <w:sz w:val="32"/>
          <w:szCs w:val="32"/>
        </w:rPr>
        <w:t>，</w:t>
      </w:r>
      <w:r>
        <w:rPr>
          <w:rFonts w:eastAsia="仿宋_GB2312"/>
          <w:sz w:val="32"/>
          <w:szCs w:val="32"/>
        </w:rPr>
        <w:t>危害面积</w:t>
      </w:r>
      <w:r>
        <w:rPr>
          <w:rFonts w:hint="eastAsia" w:eastAsia="仿宋_GB2312"/>
          <w:sz w:val="32"/>
          <w:szCs w:val="32"/>
        </w:rPr>
        <w:t>大</w:t>
      </w:r>
      <w:r>
        <w:rPr>
          <w:rFonts w:eastAsia="仿宋_GB2312"/>
          <w:sz w:val="32"/>
          <w:szCs w:val="32"/>
        </w:rPr>
        <w:t>。缺乏科学的理论支撑，对农业生产技术的创新性不强。</w:t>
      </w:r>
    </w:p>
    <w:p w14:paraId="5790FD96">
      <w:pPr>
        <w:spacing w:line="360" w:lineRule="auto"/>
        <w:ind w:firstLine="640" w:firstLineChars="200"/>
        <w:rPr>
          <w:rFonts w:eastAsia="仿宋_GB2312"/>
          <w:sz w:val="32"/>
          <w:szCs w:val="32"/>
        </w:rPr>
      </w:pPr>
      <w:r>
        <w:rPr>
          <w:rFonts w:eastAsia="仿宋_GB2312"/>
          <w:sz w:val="32"/>
          <w:szCs w:val="32"/>
        </w:rPr>
        <w:t>（3）经济林深加工业和种植业发展不协调。芒果、槟榔、椰子种植面积在增大，但产品产值不高。如椰子年产量不到10000万个，市场需求量是产量的10 倍以上；槟榔年产量2.5万吨，市场需求量是产量的6倍以上。企业总体精深加工水平不高，大部分停留在初加工水平，加上经济林的废弃物处理成本较高，对附加值高的深加工产品研发和投入力度远不足。精深加工水平落后是制约三亚市经济林产业发展的主要因素之一。</w:t>
      </w:r>
    </w:p>
    <w:p w14:paraId="705D43EC">
      <w:pPr>
        <w:spacing w:line="360" w:lineRule="auto"/>
        <w:ind w:firstLine="640" w:firstLineChars="200"/>
        <w:rPr>
          <w:rFonts w:eastAsia="仿宋_GB2312"/>
          <w:sz w:val="32"/>
          <w:szCs w:val="32"/>
        </w:rPr>
      </w:pPr>
      <w:r>
        <w:rPr>
          <w:rFonts w:eastAsia="仿宋_GB2312"/>
          <w:sz w:val="32"/>
          <w:szCs w:val="32"/>
        </w:rPr>
        <w:t>（4）部分经济林出现低产，产值低，部分芒果地已扩展到25度以上坡地，导致天然植被减少，土壤质量下降、水土流失严重；部分果农在病虫害防控上采用化学防治经营水源区附近的经济林，更是导致环境污染、水质变差和严重的水源涵养功能退化。</w:t>
      </w:r>
    </w:p>
    <w:p w14:paraId="4503AC2C">
      <w:pPr>
        <w:spacing w:line="360" w:lineRule="auto"/>
        <w:ind w:firstLine="640" w:firstLineChars="200"/>
        <w:rPr>
          <w:rFonts w:eastAsia="仿宋_GB2312"/>
          <w:sz w:val="32"/>
          <w:szCs w:val="32"/>
        </w:rPr>
      </w:pPr>
      <w:r>
        <w:rPr>
          <w:rFonts w:eastAsia="仿宋_GB2312"/>
          <w:sz w:val="32"/>
          <w:szCs w:val="32"/>
        </w:rPr>
        <w:t>（5）产销一条龙体系尚未形成</w:t>
      </w:r>
      <w:r>
        <w:rPr>
          <w:rFonts w:hint="eastAsia" w:eastAsia="仿宋_GB2312"/>
          <w:sz w:val="32"/>
          <w:szCs w:val="32"/>
        </w:rPr>
        <w:t>，</w:t>
      </w:r>
      <w:r>
        <w:rPr>
          <w:rFonts w:eastAsia="仿宋_GB2312"/>
          <w:sz w:val="32"/>
          <w:szCs w:val="32"/>
        </w:rPr>
        <w:t>品牌效应不高</w:t>
      </w:r>
      <w:r>
        <w:rPr>
          <w:rFonts w:hint="eastAsia" w:eastAsia="仿宋_GB2312"/>
          <w:sz w:val="32"/>
          <w:szCs w:val="32"/>
        </w:rPr>
        <w:t>。</w:t>
      </w:r>
      <w:r>
        <w:rPr>
          <w:rFonts w:eastAsia="仿宋_GB2312"/>
          <w:sz w:val="32"/>
          <w:szCs w:val="32"/>
        </w:rPr>
        <w:t>随着乡村振兴的实施，</w:t>
      </w:r>
      <w:r>
        <w:rPr>
          <w:rFonts w:hint="eastAsia" w:eastAsia="仿宋_GB2312"/>
          <w:sz w:val="32"/>
          <w:szCs w:val="32"/>
        </w:rPr>
        <w:t>三亚市</w:t>
      </w:r>
      <w:r>
        <w:rPr>
          <w:rFonts w:eastAsia="仿宋_GB2312"/>
          <w:sz w:val="32"/>
          <w:szCs w:val="32"/>
        </w:rPr>
        <w:t>芒果、槟榔等热带果树远远满足不了市场需求，</w:t>
      </w:r>
      <w:r>
        <w:rPr>
          <w:rFonts w:hint="eastAsia" w:eastAsia="仿宋_GB2312"/>
          <w:sz w:val="32"/>
          <w:szCs w:val="32"/>
        </w:rPr>
        <w:t>尚未形成产销一条龙服务体系。</w:t>
      </w:r>
      <w:r>
        <w:rPr>
          <w:rFonts w:eastAsia="仿宋_GB2312"/>
          <w:sz w:val="32"/>
          <w:szCs w:val="32"/>
        </w:rPr>
        <w:t>缺少建立热带水果标准化示范园</w:t>
      </w:r>
      <w:r>
        <w:rPr>
          <w:rFonts w:hint="eastAsia" w:eastAsia="仿宋_GB2312"/>
          <w:sz w:val="32"/>
          <w:szCs w:val="32"/>
        </w:rPr>
        <w:t>，</w:t>
      </w:r>
      <w:r>
        <w:rPr>
          <w:rFonts w:eastAsia="仿宋_GB2312"/>
          <w:sz w:val="32"/>
          <w:szCs w:val="32"/>
        </w:rPr>
        <w:t>同时缺乏一些新奇特的</w:t>
      </w:r>
      <w:r>
        <w:rPr>
          <w:rFonts w:hint="eastAsia" w:eastAsia="仿宋_GB2312"/>
          <w:sz w:val="32"/>
          <w:szCs w:val="32"/>
        </w:rPr>
        <w:t>品种，</w:t>
      </w:r>
      <w:r>
        <w:rPr>
          <w:rFonts w:eastAsia="仿宋_GB2312"/>
          <w:sz w:val="32"/>
          <w:szCs w:val="32"/>
        </w:rPr>
        <w:t>产品包装技术落后</w:t>
      </w:r>
      <w:r>
        <w:rPr>
          <w:rFonts w:hint="eastAsia" w:eastAsia="仿宋_GB2312"/>
          <w:sz w:val="32"/>
          <w:szCs w:val="32"/>
        </w:rPr>
        <w:t>，需要加大高端品牌打造力度</w:t>
      </w:r>
      <w:r>
        <w:rPr>
          <w:rFonts w:eastAsia="仿宋_GB2312"/>
          <w:sz w:val="32"/>
          <w:szCs w:val="32"/>
        </w:rPr>
        <w:t>。</w:t>
      </w:r>
    </w:p>
    <w:p w14:paraId="38F0DC24">
      <w:pPr>
        <w:pStyle w:val="3"/>
        <w:spacing w:before="0" w:after="0" w:line="240" w:lineRule="auto"/>
        <w:rPr>
          <w:rFonts w:ascii="Times New Roman" w:hAnsi="Times New Roman" w:eastAsia="黑体"/>
        </w:rPr>
      </w:pPr>
      <w:bookmarkStart w:id="109" w:name="_Toc82546096"/>
      <w:bookmarkStart w:id="110" w:name="_Toc29324"/>
      <w:r>
        <w:rPr>
          <w:rFonts w:hint="eastAsia" w:ascii="Times New Roman" w:hAnsi="Times New Roman" w:eastAsia="黑体"/>
        </w:rPr>
        <w:t>9</w:t>
      </w:r>
      <w:r>
        <w:rPr>
          <w:rFonts w:ascii="Times New Roman" w:hAnsi="Times New Roman" w:eastAsia="黑体"/>
        </w:rPr>
        <w:t>.3 总体布局与规划目标</w:t>
      </w:r>
      <w:bookmarkEnd w:id="109"/>
      <w:bookmarkEnd w:id="110"/>
    </w:p>
    <w:p w14:paraId="0B3A27D9">
      <w:pPr>
        <w:spacing w:line="360" w:lineRule="auto"/>
        <w:ind w:firstLine="643" w:firstLineChars="200"/>
        <w:rPr>
          <w:rFonts w:eastAsia="仿宋_GB2312"/>
          <w:b/>
          <w:sz w:val="32"/>
          <w:szCs w:val="32"/>
        </w:rPr>
      </w:pPr>
      <w:r>
        <w:rPr>
          <w:rFonts w:eastAsia="仿宋_GB2312"/>
          <w:b/>
          <w:sz w:val="32"/>
          <w:szCs w:val="32"/>
        </w:rPr>
        <w:t>（1）总体布局</w:t>
      </w:r>
    </w:p>
    <w:p w14:paraId="51177058">
      <w:pPr>
        <w:spacing w:line="360" w:lineRule="auto"/>
        <w:ind w:firstLine="640" w:firstLineChars="200"/>
        <w:rPr>
          <w:rFonts w:eastAsia="仿宋_GB2312"/>
          <w:sz w:val="32"/>
          <w:szCs w:val="32"/>
        </w:rPr>
      </w:pPr>
      <w:r>
        <w:rPr>
          <w:rFonts w:hint="eastAsia" w:eastAsia="仿宋_GB2312"/>
          <w:sz w:val="32"/>
          <w:szCs w:val="32"/>
        </w:rPr>
        <w:t>按照“突出特色、统筹规划、科学引导、分步实施、重点扶持”的布局，做强三亚芒果、三亚莲雾等地理标志品牌，鼓励引进新兴水果种植的优势特色经济林树种，进行科学布局，重点引导发展，兼顾生态效益和优势特色突出，培育特色产品和优势产区，形成国际市场具有显著竞争优势或国内市场需求量较大。</w:t>
      </w:r>
    </w:p>
    <w:p w14:paraId="0B3DC8DF">
      <w:pPr>
        <w:numPr>
          <w:ilvl w:val="0"/>
          <w:numId w:val="1"/>
        </w:numPr>
        <w:spacing w:line="360" w:lineRule="auto"/>
        <w:ind w:firstLine="643" w:firstLineChars="200"/>
        <w:rPr>
          <w:rFonts w:eastAsia="仿宋_GB2312"/>
          <w:b/>
          <w:sz w:val="32"/>
          <w:szCs w:val="32"/>
        </w:rPr>
      </w:pPr>
      <w:r>
        <w:rPr>
          <w:rFonts w:eastAsia="仿宋_GB2312"/>
          <w:b/>
          <w:sz w:val="32"/>
          <w:szCs w:val="32"/>
        </w:rPr>
        <w:t>规划目标</w:t>
      </w:r>
    </w:p>
    <w:p w14:paraId="5C4FD1E0">
      <w:pPr>
        <w:spacing w:line="360" w:lineRule="auto"/>
        <w:ind w:firstLine="643" w:firstLineChars="200"/>
        <w:rPr>
          <w:rFonts w:eastAsia="仿宋_GB2312"/>
          <w:b/>
          <w:sz w:val="32"/>
          <w:szCs w:val="32"/>
        </w:rPr>
      </w:pPr>
      <w:r>
        <w:rPr>
          <w:rFonts w:eastAsia="仿宋_GB2312"/>
          <w:b/>
          <w:sz w:val="32"/>
          <w:szCs w:val="32"/>
        </w:rPr>
        <w:t>近期（2021~2025年）目标：</w:t>
      </w:r>
    </w:p>
    <w:p w14:paraId="7D33676C">
      <w:pPr>
        <w:spacing w:line="360" w:lineRule="auto"/>
        <w:ind w:firstLine="640" w:firstLineChars="200"/>
        <w:rPr>
          <w:rFonts w:eastAsia="仿宋_GB2312"/>
          <w:sz w:val="32"/>
          <w:szCs w:val="32"/>
        </w:rPr>
      </w:pPr>
      <w:r>
        <w:rPr>
          <w:rFonts w:hint="eastAsia" w:ascii="宋体" w:hAnsi="宋体" w:cs="宋体"/>
          <w:sz w:val="32"/>
          <w:szCs w:val="32"/>
        </w:rPr>
        <w:t>①</w:t>
      </w:r>
      <w:r>
        <w:rPr>
          <w:rFonts w:eastAsia="仿宋_GB2312"/>
          <w:sz w:val="32"/>
          <w:szCs w:val="32"/>
        </w:rPr>
        <w:t>产学研相结合，增加科技、资金投入，提高经济林产品质量和产量；</w:t>
      </w:r>
    </w:p>
    <w:p w14:paraId="38138D66">
      <w:pPr>
        <w:spacing w:line="360" w:lineRule="auto"/>
        <w:ind w:firstLine="640" w:firstLineChars="200"/>
        <w:rPr>
          <w:rFonts w:eastAsia="仿宋_GB2312"/>
          <w:sz w:val="32"/>
          <w:szCs w:val="32"/>
        </w:rPr>
      </w:pPr>
      <w:r>
        <w:rPr>
          <w:rFonts w:hint="eastAsia" w:ascii="宋体" w:hAnsi="宋体" w:cs="宋体"/>
          <w:sz w:val="32"/>
          <w:szCs w:val="32"/>
        </w:rPr>
        <w:t>②</w:t>
      </w:r>
      <w:r>
        <w:rPr>
          <w:rFonts w:eastAsia="仿宋_GB2312"/>
          <w:sz w:val="32"/>
          <w:szCs w:val="32"/>
        </w:rPr>
        <w:t>改造低产经济林，改造或新造总面积1200 hm</w:t>
      </w:r>
      <w:r>
        <w:rPr>
          <w:rFonts w:eastAsia="仿宋_GB2312"/>
          <w:sz w:val="32"/>
          <w:szCs w:val="32"/>
          <w:vertAlign w:val="superscript"/>
        </w:rPr>
        <w:t>2</w:t>
      </w:r>
      <w:r>
        <w:rPr>
          <w:rFonts w:eastAsia="仿宋_GB2312"/>
          <w:sz w:val="32"/>
          <w:szCs w:val="32"/>
        </w:rPr>
        <w:t>，其中改造芒果种植面积1000 hm</w:t>
      </w:r>
      <w:r>
        <w:rPr>
          <w:rFonts w:eastAsia="仿宋_GB2312"/>
          <w:sz w:val="32"/>
          <w:szCs w:val="32"/>
          <w:vertAlign w:val="superscript"/>
        </w:rPr>
        <w:t>2</w:t>
      </w:r>
      <w:r>
        <w:rPr>
          <w:rFonts w:eastAsia="仿宋_GB2312"/>
          <w:sz w:val="32"/>
          <w:szCs w:val="32"/>
        </w:rPr>
        <w:t>，在全市范围合适的区域新造槟榔面积200 hm</w:t>
      </w:r>
      <w:r>
        <w:rPr>
          <w:rFonts w:eastAsia="仿宋_GB2312"/>
          <w:sz w:val="32"/>
          <w:szCs w:val="32"/>
          <w:vertAlign w:val="superscript"/>
        </w:rPr>
        <w:t>2</w:t>
      </w:r>
      <w:r>
        <w:rPr>
          <w:rFonts w:eastAsia="仿宋_GB2312"/>
          <w:sz w:val="32"/>
          <w:szCs w:val="32"/>
        </w:rPr>
        <w:t>；建设现代标准化示范胶园2000 hm</w:t>
      </w:r>
      <w:r>
        <w:rPr>
          <w:rFonts w:eastAsia="仿宋_GB2312"/>
          <w:sz w:val="32"/>
          <w:szCs w:val="32"/>
          <w:vertAlign w:val="superscript"/>
        </w:rPr>
        <w:t>2</w:t>
      </w:r>
      <w:r>
        <w:rPr>
          <w:rFonts w:eastAsia="仿宋_GB2312"/>
          <w:sz w:val="32"/>
          <w:szCs w:val="32"/>
        </w:rPr>
        <w:t>；</w:t>
      </w:r>
    </w:p>
    <w:p w14:paraId="612462EF">
      <w:pPr>
        <w:spacing w:line="360" w:lineRule="auto"/>
        <w:ind w:firstLine="640" w:firstLineChars="200"/>
        <w:rPr>
          <w:rFonts w:eastAsia="仿宋_GB2312"/>
          <w:sz w:val="32"/>
          <w:szCs w:val="32"/>
        </w:rPr>
      </w:pPr>
      <w:r>
        <w:rPr>
          <w:rFonts w:hint="eastAsia" w:ascii="宋体" w:hAnsi="宋体" w:cs="宋体"/>
          <w:sz w:val="32"/>
          <w:szCs w:val="32"/>
        </w:rPr>
        <w:t>③</w:t>
      </w:r>
      <w:r>
        <w:rPr>
          <w:rFonts w:eastAsia="仿宋_GB2312"/>
          <w:sz w:val="32"/>
          <w:szCs w:val="32"/>
        </w:rPr>
        <w:t>优化经济林栽植面积，实施经济林改生态林总面积</w:t>
      </w:r>
      <w:r>
        <w:rPr>
          <w:rFonts w:hint="eastAsia" w:eastAsia="仿宋_GB2312"/>
          <w:sz w:val="32"/>
          <w:szCs w:val="32"/>
        </w:rPr>
        <w:t>3</w:t>
      </w:r>
      <w:r>
        <w:rPr>
          <w:rFonts w:eastAsia="仿宋_GB2312"/>
          <w:sz w:val="32"/>
          <w:szCs w:val="32"/>
        </w:rPr>
        <w:t>00 hm</w:t>
      </w:r>
      <w:r>
        <w:rPr>
          <w:rFonts w:eastAsia="仿宋_GB2312"/>
          <w:sz w:val="32"/>
          <w:szCs w:val="32"/>
          <w:vertAlign w:val="superscript"/>
        </w:rPr>
        <w:t>2</w:t>
      </w:r>
      <w:r>
        <w:rPr>
          <w:rFonts w:eastAsia="仿宋_GB2312"/>
          <w:sz w:val="32"/>
          <w:szCs w:val="32"/>
        </w:rPr>
        <w:t>；</w:t>
      </w:r>
    </w:p>
    <w:p w14:paraId="4BF465B5">
      <w:pPr>
        <w:spacing w:line="360" w:lineRule="auto"/>
        <w:ind w:firstLine="640" w:firstLineChars="200"/>
        <w:rPr>
          <w:rFonts w:eastAsia="仿宋_GB2312"/>
          <w:sz w:val="32"/>
          <w:szCs w:val="32"/>
        </w:rPr>
      </w:pPr>
      <w:r>
        <w:rPr>
          <w:rFonts w:hint="eastAsia" w:ascii="宋体" w:hAnsi="宋体" w:cs="宋体"/>
          <w:sz w:val="32"/>
          <w:szCs w:val="32"/>
        </w:rPr>
        <w:t>④</w:t>
      </w:r>
      <w:r>
        <w:rPr>
          <w:rFonts w:eastAsia="仿宋_GB2312"/>
          <w:sz w:val="32"/>
          <w:szCs w:val="32"/>
        </w:rPr>
        <w:t>发展经济林产品深加工，建设芒果产品深加工基地1处，培育槟榔精深加工企业2家，培育椰子精深加工企业1家，发展橡胶相关企业2家；</w:t>
      </w:r>
    </w:p>
    <w:p w14:paraId="79EEA665">
      <w:pPr>
        <w:spacing w:line="360" w:lineRule="auto"/>
        <w:ind w:firstLine="640" w:firstLineChars="200"/>
        <w:rPr>
          <w:rFonts w:eastAsia="仿宋_GB2312"/>
          <w:sz w:val="32"/>
          <w:szCs w:val="32"/>
        </w:rPr>
      </w:pPr>
      <w:r>
        <w:rPr>
          <w:rFonts w:hint="eastAsia" w:ascii="宋体" w:hAnsi="宋体" w:cs="宋体"/>
          <w:sz w:val="32"/>
          <w:szCs w:val="32"/>
        </w:rPr>
        <w:t>⑤</w:t>
      </w:r>
      <w:r>
        <w:rPr>
          <w:rFonts w:eastAsia="仿宋_GB2312"/>
          <w:sz w:val="32"/>
          <w:szCs w:val="32"/>
        </w:rPr>
        <w:t>建设示范果园2处，带动水果基地提质增效100 hm</w:t>
      </w:r>
      <w:r>
        <w:rPr>
          <w:rFonts w:eastAsia="仿宋_GB2312"/>
          <w:sz w:val="32"/>
          <w:szCs w:val="32"/>
          <w:vertAlign w:val="superscript"/>
        </w:rPr>
        <w:t>2</w:t>
      </w:r>
      <w:r>
        <w:rPr>
          <w:rFonts w:eastAsia="仿宋_GB2312"/>
          <w:sz w:val="32"/>
          <w:szCs w:val="32"/>
        </w:rPr>
        <w:t>；</w:t>
      </w:r>
    </w:p>
    <w:p w14:paraId="53726222">
      <w:pPr>
        <w:spacing w:line="360" w:lineRule="auto"/>
        <w:ind w:firstLine="640" w:firstLineChars="200"/>
        <w:rPr>
          <w:rFonts w:eastAsia="仿宋_GB2312"/>
          <w:sz w:val="32"/>
          <w:szCs w:val="32"/>
        </w:rPr>
      </w:pPr>
      <w:r>
        <w:rPr>
          <w:rFonts w:hint="eastAsia" w:ascii="宋体" w:hAnsi="宋体" w:cs="宋体"/>
          <w:sz w:val="32"/>
          <w:szCs w:val="32"/>
        </w:rPr>
        <w:t>⑥</w:t>
      </w:r>
      <w:r>
        <w:rPr>
          <w:rFonts w:eastAsia="仿宋_GB2312"/>
          <w:sz w:val="32"/>
          <w:szCs w:val="32"/>
        </w:rPr>
        <w:t>深化一二三产业融合工程。</w:t>
      </w:r>
    </w:p>
    <w:p w14:paraId="662B8C7D">
      <w:pPr>
        <w:spacing w:line="360" w:lineRule="auto"/>
        <w:ind w:firstLine="643" w:firstLineChars="200"/>
        <w:rPr>
          <w:rFonts w:eastAsia="仿宋_GB2312"/>
          <w:b/>
          <w:sz w:val="32"/>
          <w:szCs w:val="32"/>
        </w:rPr>
      </w:pPr>
      <w:r>
        <w:rPr>
          <w:rFonts w:eastAsia="仿宋_GB2312"/>
          <w:b/>
          <w:sz w:val="32"/>
          <w:szCs w:val="32"/>
        </w:rPr>
        <w:t>中长期（2026~2035年）目标：</w:t>
      </w:r>
    </w:p>
    <w:p w14:paraId="2FB984F5">
      <w:pPr>
        <w:spacing w:line="360" w:lineRule="auto"/>
        <w:ind w:firstLine="640" w:firstLineChars="200"/>
        <w:rPr>
          <w:rFonts w:hint="eastAsia" w:eastAsia="仿宋_GB2312"/>
          <w:sz w:val="32"/>
          <w:szCs w:val="32"/>
        </w:rPr>
      </w:pPr>
      <w:r>
        <w:rPr>
          <w:rFonts w:hint="eastAsia" w:ascii="宋体" w:hAnsi="宋体" w:cs="宋体"/>
          <w:sz w:val="32"/>
          <w:szCs w:val="32"/>
        </w:rPr>
        <w:t>①</w:t>
      </w:r>
      <w:r>
        <w:rPr>
          <w:rFonts w:eastAsia="仿宋_GB2312"/>
          <w:sz w:val="32"/>
          <w:szCs w:val="32"/>
        </w:rPr>
        <w:t>改造低产经济林，改造或新造总面积3500 hm</w:t>
      </w:r>
      <w:r>
        <w:rPr>
          <w:rFonts w:eastAsia="仿宋_GB2312"/>
          <w:sz w:val="32"/>
          <w:szCs w:val="32"/>
          <w:vertAlign w:val="superscript"/>
        </w:rPr>
        <w:t>2</w:t>
      </w:r>
      <w:r>
        <w:rPr>
          <w:rFonts w:eastAsia="仿宋_GB2312"/>
          <w:sz w:val="32"/>
          <w:szCs w:val="32"/>
        </w:rPr>
        <w:t>，其中改造芒果种植面积2000 hm</w:t>
      </w:r>
      <w:r>
        <w:rPr>
          <w:rFonts w:eastAsia="仿宋_GB2312"/>
          <w:sz w:val="32"/>
          <w:szCs w:val="32"/>
          <w:vertAlign w:val="superscript"/>
        </w:rPr>
        <w:t>2</w:t>
      </w:r>
      <w:r>
        <w:rPr>
          <w:rFonts w:eastAsia="仿宋_GB2312"/>
          <w:sz w:val="32"/>
          <w:szCs w:val="32"/>
        </w:rPr>
        <w:t>，扩大椰子种植面积1500 hm</w:t>
      </w:r>
      <w:r>
        <w:rPr>
          <w:rFonts w:eastAsia="仿宋_GB2312"/>
          <w:sz w:val="32"/>
          <w:szCs w:val="32"/>
          <w:vertAlign w:val="superscript"/>
        </w:rPr>
        <w:t>2</w:t>
      </w:r>
      <w:r>
        <w:rPr>
          <w:rFonts w:hint="eastAsia" w:eastAsia="仿宋_GB2312"/>
          <w:sz w:val="32"/>
          <w:szCs w:val="32"/>
        </w:rPr>
        <w:t xml:space="preserve">; </w:t>
      </w:r>
    </w:p>
    <w:p w14:paraId="7B2E73E8">
      <w:pPr>
        <w:spacing w:line="360" w:lineRule="auto"/>
        <w:ind w:firstLine="640" w:firstLineChars="200"/>
        <w:rPr>
          <w:rFonts w:eastAsia="仿宋_GB2312"/>
          <w:sz w:val="32"/>
          <w:szCs w:val="32"/>
        </w:rPr>
      </w:pPr>
      <w:r>
        <w:rPr>
          <w:rFonts w:hint="eastAsia" w:eastAsia="仿宋_GB2312"/>
          <w:sz w:val="32"/>
          <w:szCs w:val="32"/>
        </w:rPr>
        <w:t>②</w:t>
      </w:r>
      <w:r>
        <w:rPr>
          <w:rFonts w:eastAsia="仿宋_GB2312"/>
          <w:sz w:val="32"/>
          <w:szCs w:val="32"/>
        </w:rPr>
        <w:t>建设现代标准化示范胶园2000 hm</w:t>
      </w:r>
      <w:r>
        <w:rPr>
          <w:rFonts w:eastAsia="仿宋_GB2312"/>
          <w:sz w:val="32"/>
          <w:szCs w:val="32"/>
          <w:vertAlign w:val="superscript"/>
        </w:rPr>
        <w:t>2</w:t>
      </w:r>
      <w:r>
        <w:rPr>
          <w:rFonts w:eastAsia="仿宋_GB2312"/>
          <w:sz w:val="32"/>
          <w:szCs w:val="32"/>
        </w:rPr>
        <w:t>；</w:t>
      </w:r>
    </w:p>
    <w:p w14:paraId="4021815E">
      <w:pPr>
        <w:spacing w:line="360" w:lineRule="auto"/>
        <w:ind w:firstLine="640" w:firstLineChars="200"/>
        <w:rPr>
          <w:rFonts w:eastAsia="仿宋_GB2312"/>
          <w:sz w:val="32"/>
          <w:szCs w:val="32"/>
        </w:rPr>
      </w:pPr>
      <w:r>
        <w:rPr>
          <w:rFonts w:hint="eastAsia" w:ascii="宋体" w:hAnsi="宋体" w:cs="宋体"/>
          <w:sz w:val="32"/>
          <w:szCs w:val="32"/>
        </w:rPr>
        <w:t>③</w:t>
      </w:r>
      <w:r>
        <w:rPr>
          <w:rFonts w:eastAsia="仿宋_GB2312"/>
          <w:sz w:val="32"/>
          <w:szCs w:val="32"/>
        </w:rPr>
        <w:t>优化经济林栽植面积，实施经济林改生态林面积</w:t>
      </w:r>
      <w:r>
        <w:rPr>
          <w:rFonts w:hint="eastAsia" w:eastAsia="仿宋_GB2312"/>
          <w:sz w:val="32"/>
          <w:szCs w:val="32"/>
        </w:rPr>
        <w:t>5</w:t>
      </w:r>
      <w:r>
        <w:rPr>
          <w:rFonts w:eastAsia="仿宋_GB2312"/>
          <w:sz w:val="32"/>
          <w:szCs w:val="32"/>
        </w:rPr>
        <w:t>00 hm</w:t>
      </w:r>
      <w:r>
        <w:rPr>
          <w:rFonts w:eastAsia="仿宋_GB2312"/>
          <w:sz w:val="32"/>
          <w:szCs w:val="32"/>
          <w:vertAlign w:val="superscript"/>
        </w:rPr>
        <w:t>2</w:t>
      </w:r>
      <w:r>
        <w:rPr>
          <w:rFonts w:eastAsia="仿宋_GB2312"/>
          <w:sz w:val="32"/>
          <w:szCs w:val="32"/>
        </w:rPr>
        <w:t>；</w:t>
      </w:r>
    </w:p>
    <w:p w14:paraId="606CD72D">
      <w:pPr>
        <w:spacing w:line="360" w:lineRule="auto"/>
        <w:ind w:firstLine="640" w:firstLineChars="200"/>
        <w:rPr>
          <w:rFonts w:eastAsia="仿宋_GB2312"/>
          <w:sz w:val="32"/>
          <w:szCs w:val="32"/>
        </w:rPr>
      </w:pPr>
      <w:r>
        <w:rPr>
          <w:rFonts w:hint="eastAsia" w:ascii="宋体" w:hAnsi="宋体" w:cs="宋体"/>
          <w:sz w:val="32"/>
          <w:szCs w:val="32"/>
        </w:rPr>
        <w:t>④</w:t>
      </w:r>
      <w:r>
        <w:rPr>
          <w:rFonts w:eastAsia="仿宋_GB2312"/>
          <w:sz w:val="32"/>
          <w:szCs w:val="32"/>
        </w:rPr>
        <w:t>发展经济林产品深加工，培育椰子精深加工企业2家。</w:t>
      </w:r>
    </w:p>
    <w:p w14:paraId="4A87C5FE">
      <w:pPr>
        <w:pStyle w:val="3"/>
        <w:spacing w:before="0" w:after="0" w:line="240" w:lineRule="auto"/>
        <w:rPr>
          <w:rFonts w:hint="eastAsia" w:ascii="Times New Roman" w:hAnsi="Times New Roman" w:eastAsia="黑体"/>
        </w:rPr>
      </w:pPr>
      <w:bookmarkStart w:id="111" w:name="_Toc16812"/>
      <w:bookmarkStart w:id="112" w:name="_Toc82546097"/>
      <w:r>
        <w:rPr>
          <w:rFonts w:hint="eastAsia" w:ascii="Times New Roman" w:hAnsi="Times New Roman" w:eastAsia="黑体"/>
        </w:rPr>
        <w:t>9</w:t>
      </w:r>
      <w:r>
        <w:rPr>
          <w:rFonts w:ascii="Times New Roman" w:hAnsi="Times New Roman" w:eastAsia="黑体"/>
        </w:rPr>
        <w:t>.4 重点建设工程</w:t>
      </w:r>
      <w:bookmarkEnd w:id="111"/>
      <w:r>
        <w:rPr>
          <w:rFonts w:ascii="Times New Roman" w:hAnsi="Times New Roman" w:eastAsia="黑体"/>
        </w:rPr>
        <w:t>或</w:t>
      </w:r>
      <w:bookmarkEnd w:id="112"/>
      <w:r>
        <w:rPr>
          <w:rFonts w:hint="eastAsia" w:ascii="Times New Roman" w:hAnsi="Times New Roman" w:eastAsia="黑体"/>
        </w:rPr>
        <w:t>规划储备项目</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5"/>
      </w:tblGrid>
      <w:tr w14:paraId="49848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55C389A6">
            <w:pPr>
              <w:spacing w:line="360" w:lineRule="auto"/>
              <w:jc w:val="center"/>
              <w:rPr>
                <w:rFonts w:eastAsia="仿宋_GB2312"/>
                <w:b/>
                <w:sz w:val="32"/>
                <w:szCs w:val="32"/>
              </w:rPr>
            </w:pPr>
            <w:r>
              <w:rPr>
                <w:rFonts w:hint="eastAsia" w:eastAsia="仿宋_GB2312"/>
                <w:b/>
                <w:sz w:val="32"/>
                <w:szCs w:val="32"/>
              </w:rPr>
              <w:t>经济林产业重点工程或规划储备项目</w:t>
            </w:r>
          </w:p>
        </w:tc>
      </w:tr>
      <w:tr w14:paraId="789FC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7B33DE6E">
            <w:pPr>
              <w:rPr>
                <w:rFonts w:hint="eastAsia" w:eastAsia="仿宋_GB2312"/>
                <w:b/>
                <w:sz w:val="28"/>
                <w:szCs w:val="32"/>
              </w:rPr>
            </w:pPr>
            <w:r>
              <w:rPr>
                <w:rFonts w:hint="eastAsia" w:eastAsia="仿宋_GB2312"/>
                <w:b/>
                <w:sz w:val="28"/>
                <w:szCs w:val="32"/>
              </w:rPr>
              <w:t>一、</w:t>
            </w:r>
            <w:r>
              <w:rPr>
                <w:rFonts w:eastAsia="仿宋_GB2312"/>
                <w:b/>
                <w:sz w:val="32"/>
                <w:szCs w:val="32"/>
              </w:rPr>
              <w:t>产学研相结合</w:t>
            </w:r>
          </w:p>
          <w:p w14:paraId="0FE91282">
            <w:pPr>
              <w:rPr>
                <w:rFonts w:hint="eastAsia" w:eastAsia="仿宋_GB2312"/>
                <w:b/>
                <w:sz w:val="32"/>
                <w:szCs w:val="32"/>
              </w:rPr>
            </w:pPr>
            <w:r>
              <w:rPr>
                <w:rFonts w:hint="eastAsia" w:eastAsia="仿宋_GB2312"/>
                <w:b/>
                <w:sz w:val="32"/>
                <w:szCs w:val="32"/>
              </w:rPr>
              <w:t>（一）</w:t>
            </w:r>
            <w:r>
              <w:rPr>
                <w:rFonts w:eastAsia="仿宋_GB2312"/>
                <w:b/>
                <w:sz w:val="32"/>
                <w:szCs w:val="32"/>
              </w:rPr>
              <w:t>全面提高芒果的品质和产量</w:t>
            </w:r>
          </w:p>
          <w:p w14:paraId="7B77B21B">
            <w:pPr>
              <w:ind w:firstLine="640" w:firstLineChars="200"/>
              <w:rPr>
                <w:rFonts w:hint="eastAsia" w:eastAsia="仿宋_GB2312"/>
                <w:sz w:val="32"/>
                <w:szCs w:val="32"/>
              </w:rPr>
            </w:pPr>
            <w:r>
              <w:rPr>
                <w:rFonts w:eastAsia="仿宋_GB2312"/>
                <w:sz w:val="32"/>
                <w:szCs w:val="32"/>
              </w:rPr>
              <w:t>发展特色芒果果业</w:t>
            </w:r>
            <w:r>
              <w:rPr>
                <w:rFonts w:hint="eastAsia" w:eastAsia="仿宋_GB2312"/>
                <w:sz w:val="32"/>
                <w:szCs w:val="32"/>
              </w:rPr>
              <w:t>，</w:t>
            </w:r>
            <w:r>
              <w:rPr>
                <w:rFonts w:eastAsia="仿宋_GB2312"/>
                <w:sz w:val="32"/>
                <w:szCs w:val="32"/>
              </w:rPr>
              <w:t>选择生产条件优越、产品有优势的主导产品</w:t>
            </w:r>
            <w:r>
              <w:rPr>
                <w:rFonts w:hint="eastAsia" w:eastAsia="仿宋_GB2312"/>
                <w:sz w:val="32"/>
                <w:szCs w:val="32"/>
              </w:rPr>
              <w:t>，</w:t>
            </w:r>
            <w:r>
              <w:rPr>
                <w:rFonts w:eastAsia="仿宋_GB2312"/>
                <w:sz w:val="32"/>
                <w:szCs w:val="32"/>
              </w:rPr>
              <w:t>在科技、资金、设备等方面进行重点扶持，围绕良种推广、基地建设、标准化生产等产前、产中、产后全过程，既要做到适地适“品种”，突出地区特色，创造地区名牌，又要做到早、中、晚熟品种合理搭配，鲜食品种与加工品种比例协调，以平衡上市，延长供应时间，提高芒果市场竞争力。至</w:t>
            </w:r>
            <w:r>
              <w:rPr>
                <w:rFonts w:hint="eastAsia" w:eastAsia="仿宋_GB2312"/>
                <w:sz w:val="32"/>
                <w:szCs w:val="32"/>
              </w:rPr>
              <w:t>2025年，</w:t>
            </w:r>
            <w:r>
              <w:rPr>
                <w:rFonts w:eastAsia="仿宋_GB2312"/>
                <w:sz w:val="32"/>
                <w:szCs w:val="32"/>
              </w:rPr>
              <w:t>计划投资</w:t>
            </w:r>
            <w:r>
              <w:rPr>
                <w:rFonts w:hint="eastAsia" w:eastAsia="仿宋_GB2312"/>
                <w:sz w:val="32"/>
                <w:szCs w:val="32"/>
              </w:rPr>
              <w:t>10</w:t>
            </w:r>
            <w:r>
              <w:rPr>
                <w:rFonts w:eastAsia="仿宋_GB2312"/>
                <w:sz w:val="32"/>
                <w:szCs w:val="32"/>
              </w:rPr>
              <w:t>00万元。</w:t>
            </w:r>
          </w:p>
          <w:p w14:paraId="39F8AE72">
            <w:pPr>
              <w:rPr>
                <w:rFonts w:hint="eastAsia" w:eastAsia="仿宋_GB2312"/>
                <w:b/>
                <w:sz w:val="32"/>
                <w:szCs w:val="32"/>
              </w:rPr>
            </w:pPr>
            <w:r>
              <w:rPr>
                <w:rFonts w:hint="eastAsia" w:eastAsia="仿宋_GB2312"/>
                <w:b/>
                <w:sz w:val="32"/>
                <w:szCs w:val="32"/>
              </w:rPr>
              <w:t>（二）</w:t>
            </w:r>
            <w:r>
              <w:rPr>
                <w:rFonts w:eastAsia="仿宋_GB2312"/>
                <w:b/>
                <w:sz w:val="32"/>
                <w:szCs w:val="32"/>
              </w:rPr>
              <w:t>加大槟榔病虫害防治体系的科研投入</w:t>
            </w:r>
          </w:p>
          <w:p w14:paraId="14490FFA">
            <w:pPr>
              <w:ind w:firstLine="640" w:firstLineChars="200"/>
              <w:rPr>
                <w:rFonts w:hint="eastAsia" w:eastAsia="仿宋_GB2312"/>
                <w:sz w:val="32"/>
                <w:szCs w:val="32"/>
              </w:rPr>
            </w:pPr>
            <w:r>
              <w:rPr>
                <w:rFonts w:eastAsia="仿宋_GB2312"/>
                <w:sz w:val="32"/>
                <w:szCs w:val="32"/>
              </w:rPr>
              <w:t>在槟榔种植面积较大的天涯区和育才生态区分别建立槟榔黄化病综合治理及高产标准示范园，</w:t>
            </w:r>
            <w:r>
              <w:rPr>
                <w:rFonts w:hint="eastAsia" w:eastAsia="仿宋_GB2312"/>
                <w:sz w:val="32"/>
                <w:szCs w:val="32"/>
              </w:rPr>
              <w:t>提高科技力量，</w:t>
            </w:r>
            <w:r>
              <w:rPr>
                <w:rFonts w:eastAsia="仿宋_GB2312"/>
                <w:sz w:val="32"/>
                <w:szCs w:val="32"/>
              </w:rPr>
              <w:t>针对槟榔主要病虫害开展化学防治、农业防治、生物防治和物理防治相结合的综合防治方法，深化病原体、传播途径和致病机理研究，将防治技术进行集成，形成一套切实可行的主要槟榔黄化病防治体系，以期以点带面，发挥生产示范作用，从而促进三亚市槟榔产业持续发展。至</w:t>
            </w:r>
            <w:r>
              <w:rPr>
                <w:rFonts w:hint="eastAsia" w:eastAsia="仿宋_GB2312"/>
                <w:sz w:val="32"/>
                <w:szCs w:val="32"/>
              </w:rPr>
              <w:t>2025年，将槟榔病虫害控制在3‰以下，</w:t>
            </w:r>
            <w:r>
              <w:rPr>
                <w:rFonts w:eastAsia="仿宋_GB2312"/>
                <w:sz w:val="32"/>
                <w:szCs w:val="32"/>
              </w:rPr>
              <w:t>计划投资</w:t>
            </w:r>
            <w:r>
              <w:rPr>
                <w:rFonts w:hint="eastAsia" w:eastAsia="仿宋_GB2312"/>
                <w:sz w:val="32"/>
                <w:szCs w:val="32"/>
              </w:rPr>
              <w:t>30</w:t>
            </w:r>
            <w:r>
              <w:rPr>
                <w:rFonts w:eastAsia="仿宋_GB2312"/>
                <w:sz w:val="32"/>
                <w:szCs w:val="32"/>
              </w:rPr>
              <w:t>00万元。</w:t>
            </w:r>
          </w:p>
          <w:p w14:paraId="51F6A503">
            <w:pPr>
              <w:rPr>
                <w:rFonts w:hint="eastAsia" w:eastAsia="仿宋_GB2312"/>
                <w:b/>
                <w:sz w:val="32"/>
                <w:szCs w:val="32"/>
              </w:rPr>
            </w:pPr>
            <w:r>
              <w:rPr>
                <w:rFonts w:hint="eastAsia" w:eastAsia="仿宋_GB2312"/>
                <w:b/>
                <w:sz w:val="32"/>
                <w:szCs w:val="32"/>
              </w:rPr>
              <w:t>（三）</w:t>
            </w:r>
            <w:r>
              <w:rPr>
                <w:rFonts w:eastAsia="仿宋_GB2312"/>
                <w:b/>
                <w:sz w:val="32"/>
                <w:szCs w:val="32"/>
              </w:rPr>
              <w:t>增加对椰子产业的科研投入</w:t>
            </w:r>
          </w:p>
          <w:p w14:paraId="7E2550F5">
            <w:pPr>
              <w:spacing w:line="360" w:lineRule="auto"/>
              <w:ind w:firstLine="640" w:firstLineChars="200"/>
              <w:jc w:val="left"/>
              <w:rPr>
                <w:rFonts w:hint="eastAsia" w:eastAsia="仿宋_GB2312"/>
                <w:b/>
                <w:sz w:val="32"/>
                <w:szCs w:val="32"/>
              </w:rPr>
            </w:pPr>
            <w:r>
              <w:rPr>
                <w:rFonts w:hint="eastAsia" w:eastAsia="仿宋_GB2312"/>
                <w:sz w:val="32"/>
                <w:szCs w:val="32"/>
              </w:rPr>
              <w:t>对</w:t>
            </w:r>
            <w:r>
              <w:rPr>
                <w:rFonts w:eastAsia="仿宋_GB2312"/>
                <w:sz w:val="32"/>
                <w:szCs w:val="32"/>
              </w:rPr>
              <w:t>椰子的优质高效栽培、优良品种选育、品种资源保护、椰心叶甲</w:t>
            </w:r>
            <w:r>
              <w:rPr>
                <w:rFonts w:hint="eastAsia" w:eastAsia="仿宋_GB2312"/>
                <w:sz w:val="32"/>
                <w:szCs w:val="32"/>
              </w:rPr>
              <w:t>（</w:t>
            </w:r>
            <w:r>
              <w:rPr>
                <w:rFonts w:eastAsia="仿宋_GB2312"/>
                <w:i/>
                <w:sz w:val="32"/>
                <w:szCs w:val="32"/>
              </w:rPr>
              <w:t>Brontispa longissima</w:t>
            </w:r>
            <w:r>
              <w:rPr>
                <w:rFonts w:hint="eastAsia" w:eastAsia="仿宋_GB2312"/>
                <w:sz w:val="32"/>
                <w:szCs w:val="32"/>
              </w:rPr>
              <w:t>）</w:t>
            </w:r>
            <w:r>
              <w:rPr>
                <w:rFonts w:eastAsia="仿宋_GB2312"/>
                <w:sz w:val="32"/>
                <w:szCs w:val="32"/>
              </w:rPr>
              <w:t>、椰子织蛾</w:t>
            </w:r>
            <w:r>
              <w:rPr>
                <w:rFonts w:hint="eastAsia" w:eastAsia="仿宋_GB2312"/>
                <w:sz w:val="32"/>
                <w:szCs w:val="32"/>
              </w:rPr>
              <w:t>（</w:t>
            </w:r>
            <w:r>
              <w:rPr>
                <w:rFonts w:eastAsia="仿宋_GB2312"/>
                <w:i/>
                <w:sz w:val="32"/>
                <w:szCs w:val="32"/>
              </w:rPr>
              <w:t>Opisina arenosella</w:t>
            </w:r>
            <w:r>
              <w:rPr>
                <w:rFonts w:hint="eastAsia" w:eastAsia="仿宋_GB2312"/>
                <w:sz w:val="32"/>
                <w:szCs w:val="32"/>
              </w:rPr>
              <w:t>）</w:t>
            </w:r>
            <w:r>
              <w:rPr>
                <w:rFonts w:eastAsia="仿宋_GB2312"/>
                <w:sz w:val="32"/>
                <w:szCs w:val="32"/>
              </w:rPr>
              <w:t>、椰子芽腐病等有害生物的应急防控和可持续控制等技术的研发与集成，单位面积产业提高1倍以上，进一步提高椰子产能。至</w:t>
            </w:r>
            <w:r>
              <w:rPr>
                <w:rFonts w:hint="eastAsia" w:eastAsia="仿宋_GB2312"/>
                <w:sz w:val="32"/>
                <w:szCs w:val="32"/>
              </w:rPr>
              <w:t>2025年，</w:t>
            </w:r>
            <w:r>
              <w:rPr>
                <w:rFonts w:eastAsia="仿宋_GB2312"/>
                <w:sz w:val="32"/>
                <w:szCs w:val="32"/>
              </w:rPr>
              <w:t>计划投资</w:t>
            </w:r>
            <w:r>
              <w:rPr>
                <w:rFonts w:hint="eastAsia" w:eastAsia="仿宋_GB2312"/>
                <w:sz w:val="32"/>
                <w:szCs w:val="32"/>
              </w:rPr>
              <w:t>10</w:t>
            </w:r>
            <w:r>
              <w:rPr>
                <w:rFonts w:eastAsia="仿宋_GB2312"/>
                <w:sz w:val="32"/>
                <w:szCs w:val="32"/>
              </w:rPr>
              <w:t>00万元。</w:t>
            </w:r>
          </w:p>
        </w:tc>
      </w:tr>
      <w:tr w14:paraId="4A488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2439F2F9">
            <w:pPr>
              <w:spacing w:line="360" w:lineRule="auto"/>
              <w:rPr>
                <w:rFonts w:hint="eastAsia" w:eastAsia="仿宋_GB2312"/>
                <w:b/>
                <w:sz w:val="32"/>
                <w:szCs w:val="32"/>
              </w:rPr>
            </w:pPr>
            <w:r>
              <w:rPr>
                <w:rFonts w:hint="eastAsia" w:eastAsia="仿宋_GB2312"/>
                <w:b/>
                <w:sz w:val="32"/>
                <w:szCs w:val="32"/>
              </w:rPr>
              <w:t>二、</w:t>
            </w:r>
            <w:r>
              <w:rPr>
                <w:rFonts w:eastAsia="仿宋_GB2312"/>
                <w:b/>
                <w:sz w:val="32"/>
                <w:szCs w:val="32"/>
              </w:rPr>
              <w:t>改造低产经济林</w:t>
            </w:r>
            <w:r>
              <w:rPr>
                <w:rFonts w:hint="eastAsia" w:eastAsia="仿宋_GB2312"/>
                <w:b/>
                <w:sz w:val="32"/>
                <w:szCs w:val="32"/>
              </w:rPr>
              <w:t>工程</w:t>
            </w:r>
          </w:p>
          <w:p w14:paraId="5E2AF4D3">
            <w:pPr>
              <w:spacing w:line="360" w:lineRule="auto"/>
              <w:rPr>
                <w:rFonts w:hint="eastAsia" w:eastAsia="仿宋_GB2312"/>
                <w:b/>
                <w:sz w:val="32"/>
                <w:szCs w:val="32"/>
              </w:rPr>
            </w:pPr>
            <w:r>
              <w:rPr>
                <w:rFonts w:hint="eastAsia" w:eastAsia="仿宋_GB2312"/>
                <w:b/>
                <w:sz w:val="32"/>
                <w:szCs w:val="32"/>
              </w:rPr>
              <w:t>（一）改造部分低产芒果园，推广低产芒果园改造新技术</w:t>
            </w:r>
          </w:p>
          <w:p w14:paraId="30FF2F99">
            <w:pPr>
              <w:ind w:firstLine="640" w:firstLineChars="200"/>
              <w:rPr>
                <w:rFonts w:hint="eastAsia" w:eastAsia="仿宋_GB2312"/>
                <w:sz w:val="32"/>
                <w:szCs w:val="32"/>
              </w:rPr>
            </w:pPr>
            <w:r>
              <w:rPr>
                <w:rFonts w:hint="eastAsia" w:eastAsia="仿宋_GB2312"/>
                <w:sz w:val="32"/>
                <w:szCs w:val="32"/>
              </w:rPr>
              <w:t>科学管理</w:t>
            </w:r>
            <w:r>
              <w:rPr>
                <w:rFonts w:eastAsia="仿宋_GB2312"/>
                <w:sz w:val="32"/>
                <w:szCs w:val="32"/>
              </w:rPr>
              <w:t>芒果园</w:t>
            </w:r>
            <w:r>
              <w:rPr>
                <w:rFonts w:hint="eastAsia" w:eastAsia="仿宋_GB2312"/>
                <w:sz w:val="32"/>
                <w:szCs w:val="32"/>
              </w:rPr>
              <w:t>，规范经营管理，需要</w:t>
            </w:r>
            <w:r>
              <w:rPr>
                <w:rFonts w:eastAsia="仿宋_GB2312"/>
                <w:sz w:val="32"/>
                <w:szCs w:val="32"/>
              </w:rPr>
              <w:t>常除草、施肥，防病、防虫</w:t>
            </w:r>
            <w:r>
              <w:rPr>
                <w:rFonts w:hint="eastAsia" w:eastAsia="仿宋_GB2312"/>
                <w:sz w:val="32"/>
                <w:szCs w:val="32"/>
              </w:rPr>
              <w:t>等技术环节，从而</w:t>
            </w:r>
            <w:r>
              <w:rPr>
                <w:rFonts w:eastAsia="仿宋_GB2312"/>
                <w:sz w:val="32"/>
                <w:szCs w:val="32"/>
              </w:rPr>
              <w:t>提高芒果产量和产值。到2025年，全市范围改造芒果种植面积1000 hm</w:t>
            </w:r>
            <w:r>
              <w:rPr>
                <w:rFonts w:eastAsia="仿宋_GB2312"/>
                <w:sz w:val="32"/>
                <w:szCs w:val="32"/>
                <w:vertAlign w:val="superscript"/>
              </w:rPr>
              <w:t>2</w:t>
            </w:r>
            <w:r>
              <w:rPr>
                <w:rFonts w:eastAsia="仿宋_GB2312"/>
                <w:sz w:val="32"/>
                <w:szCs w:val="32"/>
              </w:rPr>
              <w:t>，</w:t>
            </w:r>
            <w:r>
              <w:rPr>
                <w:rFonts w:hint="eastAsia" w:eastAsia="仿宋_GB2312"/>
                <w:sz w:val="32"/>
                <w:szCs w:val="32"/>
              </w:rPr>
              <w:t>计划</w:t>
            </w:r>
            <w:r>
              <w:rPr>
                <w:rFonts w:eastAsia="仿宋_GB2312"/>
                <w:sz w:val="32"/>
                <w:szCs w:val="32"/>
              </w:rPr>
              <w:t>投资</w:t>
            </w:r>
            <w:r>
              <w:rPr>
                <w:rFonts w:hint="eastAsia" w:eastAsia="仿宋_GB2312"/>
                <w:sz w:val="32"/>
                <w:szCs w:val="32"/>
              </w:rPr>
              <w:t>50</w:t>
            </w:r>
            <w:r>
              <w:rPr>
                <w:rFonts w:eastAsia="仿宋_GB2312"/>
                <w:sz w:val="32"/>
                <w:szCs w:val="32"/>
              </w:rPr>
              <w:t>00万元；到2035年，全市范围改造芒果种植面积2000 hm</w:t>
            </w:r>
            <w:r>
              <w:rPr>
                <w:rFonts w:eastAsia="仿宋_GB2312"/>
                <w:sz w:val="32"/>
                <w:szCs w:val="32"/>
                <w:vertAlign w:val="superscript"/>
              </w:rPr>
              <w:t>2</w:t>
            </w:r>
            <w:r>
              <w:rPr>
                <w:rFonts w:eastAsia="仿宋_GB2312"/>
                <w:sz w:val="32"/>
                <w:szCs w:val="32"/>
              </w:rPr>
              <w:t>，</w:t>
            </w:r>
            <w:r>
              <w:rPr>
                <w:rFonts w:hint="eastAsia" w:eastAsia="仿宋_GB2312"/>
                <w:sz w:val="32"/>
                <w:szCs w:val="32"/>
              </w:rPr>
              <w:t>计划</w:t>
            </w:r>
            <w:r>
              <w:rPr>
                <w:rFonts w:eastAsia="仿宋_GB2312"/>
                <w:sz w:val="32"/>
                <w:szCs w:val="32"/>
              </w:rPr>
              <w:t>投资</w:t>
            </w:r>
            <w:r>
              <w:rPr>
                <w:rFonts w:hint="eastAsia" w:eastAsia="仿宋_GB2312"/>
                <w:sz w:val="32"/>
                <w:szCs w:val="32"/>
              </w:rPr>
              <w:t>10</w:t>
            </w:r>
            <w:r>
              <w:rPr>
                <w:rFonts w:eastAsia="仿宋_GB2312"/>
                <w:sz w:val="32"/>
                <w:szCs w:val="32"/>
              </w:rPr>
              <w:t>000万元</w:t>
            </w:r>
            <w:r>
              <w:rPr>
                <w:rFonts w:hint="eastAsia" w:eastAsia="仿宋_GB2312"/>
                <w:sz w:val="32"/>
                <w:szCs w:val="32"/>
              </w:rPr>
              <w:t>，</w:t>
            </w:r>
            <w:r>
              <w:rPr>
                <w:rFonts w:eastAsia="仿宋_GB2312"/>
                <w:sz w:val="32"/>
                <w:szCs w:val="32"/>
              </w:rPr>
              <w:t>总投资</w:t>
            </w:r>
            <w:r>
              <w:rPr>
                <w:rFonts w:hint="eastAsia" w:eastAsia="仿宋_GB2312"/>
                <w:sz w:val="32"/>
                <w:szCs w:val="32"/>
              </w:rPr>
              <w:t>15000万元</w:t>
            </w:r>
            <w:r>
              <w:rPr>
                <w:rFonts w:eastAsia="仿宋_GB2312"/>
                <w:sz w:val="32"/>
                <w:szCs w:val="32"/>
              </w:rPr>
              <w:t>。</w:t>
            </w:r>
          </w:p>
          <w:p w14:paraId="48D1DE78">
            <w:pPr>
              <w:rPr>
                <w:rFonts w:hint="eastAsia" w:eastAsia="仿宋_GB2312"/>
                <w:b/>
                <w:sz w:val="32"/>
                <w:szCs w:val="32"/>
              </w:rPr>
            </w:pPr>
            <w:r>
              <w:rPr>
                <w:rFonts w:hint="eastAsia" w:eastAsia="仿宋_GB2312"/>
                <w:b/>
                <w:sz w:val="32"/>
                <w:szCs w:val="32"/>
              </w:rPr>
              <w:t>（二）</w:t>
            </w:r>
            <w:r>
              <w:rPr>
                <w:rFonts w:eastAsia="仿宋_GB2312"/>
                <w:b/>
                <w:sz w:val="32"/>
                <w:szCs w:val="32"/>
              </w:rPr>
              <w:t>改造低产槟榔</w:t>
            </w:r>
          </w:p>
          <w:p w14:paraId="36506BEC">
            <w:pPr>
              <w:spacing w:line="360" w:lineRule="auto"/>
              <w:ind w:firstLine="640" w:firstLineChars="200"/>
              <w:rPr>
                <w:rFonts w:hint="eastAsia" w:eastAsia="仿宋_GB2312"/>
                <w:sz w:val="32"/>
                <w:szCs w:val="32"/>
              </w:rPr>
            </w:pPr>
            <w:r>
              <w:rPr>
                <w:rFonts w:eastAsia="仿宋_GB2312"/>
                <w:sz w:val="32"/>
                <w:szCs w:val="32"/>
              </w:rPr>
              <w:t>全市范围改造低产槟榔</w:t>
            </w:r>
            <w:r>
              <w:rPr>
                <w:rFonts w:hint="eastAsia" w:eastAsia="仿宋_GB2312"/>
                <w:sz w:val="32"/>
                <w:szCs w:val="32"/>
              </w:rPr>
              <w:t>，</w:t>
            </w:r>
            <w:r>
              <w:rPr>
                <w:rFonts w:eastAsia="仿宋_GB2312"/>
                <w:sz w:val="32"/>
                <w:szCs w:val="32"/>
              </w:rPr>
              <w:t>整合资源，因地制宜，在合适的区域新造槟榔面积200 hm</w:t>
            </w:r>
            <w:r>
              <w:rPr>
                <w:rFonts w:eastAsia="仿宋_GB2312"/>
                <w:sz w:val="32"/>
                <w:szCs w:val="32"/>
                <w:vertAlign w:val="superscript"/>
              </w:rPr>
              <w:t>2</w:t>
            </w:r>
            <w:r>
              <w:rPr>
                <w:rFonts w:hint="eastAsia" w:eastAsia="仿宋_GB2312"/>
                <w:sz w:val="32"/>
                <w:szCs w:val="32"/>
              </w:rPr>
              <w:t>。</w:t>
            </w:r>
            <w:r>
              <w:rPr>
                <w:rFonts w:eastAsia="仿宋_GB2312"/>
                <w:sz w:val="32"/>
                <w:szCs w:val="32"/>
              </w:rPr>
              <w:t>至</w:t>
            </w:r>
            <w:r>
              <w:rPr>
                <w:rFonts w:hint="eastAsia" w:eastAsia="仿宋_GB2312"/>
                <w:sz w:val="32"/>
                <w:szCs w:val="32"/>
              </w:rPr>
              <w:t>2025年，计划</w:t>
            </w:r>
            <w:r>
              <w:rPr>
                <w:rFonts w:eastAsia="仿宋_GB2312"/>
                <w:sz w:val="32"/>
                <w:szCs w:val="32"/>
              </w:rPr>
              <w:t>投资</w:t>
            </w:r>
            <w:r>
              <w:rPr>
                <w:rFonts w:hint="eastAsia" w:eastAsia="仿宋_GB2312"/>
                <w:sz w:val="32"/>
                <w:szCs w:val="32"/>
              </w:rPr>
              <w:t>9</w:t>
            </w:r>
            <w:r>
              <w:rPr>
                <w:rFonts w:eastAsia="仿宋_GB2312"/>
                <w:sz w:val="32"/>
                <w:szCs w:val="32"/>
              </w:rPr>
              <w:t>00</w:t>
            </w:r>
            <w:r>
              <w:rPr>
                <w:rFonts w:hint="eastAsia" w:eastAsia="仿宋_GB2312"/>
                <w:sz w:val="32"/>
                <w:szCs w:val="32"/>
              </w:rPr>
              <w:t>0</w:t>
            </w:r>
            <w:r>
              <w:rPr>
                <w:rFonts w:eastAsia="仿宋_GB2312"/>
                <w:sz w:val="32"/>
                <w:szCs w:val="32"/>
              </w:rPr>
              <w:t>万元。</w:t>
            </w:r>
          </w:p>
          <w:p w14:paraId="46491DC4">
            <w:pPr>
              <w:rPr>
                <w:rFonts w:hint="eastAsia" w:eastAsia="仿宋_GB2312"/>
                <w:b/>
                <w:sz w:val="32"/>
                <w:szCs w:val="32"/>
              </w:rPr>
            </w:pPr>
            <w:r>
              <w:rPr>
                <w:rFonts w:hint="eastAsia" w:eastAsia="仿宋_GB2312"/>
                <w:b/>
                <w:sz w:val="32"/>
                <w:szCs w:val="32"/>
              </w:rPr>
              <w:t>（三）</w:t>
            </w:r>
            <w:r>
              <w:rPr>
                <w:rFonts w:eastAsia="仿宋_GB2312"/>
                <w:b/>
                <w:sz w:val="32"/>
                <w:szCs w:val="32"/>
              </w:rPr>
              <w:t>扩大椰子种植面积</w:t>
            </w:r>
          </w:p>
          <w:p w14:paraId="7E07CAA8">
            <w:pPr>
              <w:ind w:firstLine="640" w:firstLineChars="200"/>
              <w:rPr>
                <w:rFonts w:hint="eastAsia" w:eastAsia="仿宋_GB2312"/>
                <w:sz w:val="32"/>
                <w:szCs w:val="32"/>
              </w:rPr>
            </w:pPr>
            <w:r>
              <w:rPr>
                <w:rFonts w:eastAsia="仿宋_GB2312"/>
                <w:sz w:val="32"/>
                <w:szCs w:val="32"/>
              </w:rPr>
              <w:t>统筹规划种植区域，到2035年有序扩大椰子种植面积</w:t>
            </w:r>
            <w:r>
              <w:rPr>
                <w:rFonts w:hint="eastAsia" w:eastAsia="仿宋_GB2312"/>
                <w:sz w:val="32"/>
                <w:szCs w:val="32"/>
              </w:rPr>
              <w:t>2500</w:t>
            </w:r>
            <w:r>
              <w:rPr>
                <w:rFonts w:eastAsia="仿宋_GB2312"/>
                <w:sz w:val="32"/>
                <w:szCs w:val="32"/>
              </w:rPr>
              <w:t xml:space="preserve"> hm</w:t>
            </w:r>
            <w:r>
              <w:rPr>
                <w:rFonts w:eastAsia="仿宋_GB2312"/>
                <w:sz w:val="32"/>
                <w:szCs w:val="32"/>
                <w:vertAlign w:val="superscript"/>
              </w:rPr>
              <w:t>2</w:t>
            </w:r>
            <w:r>
              <w:rPr>
                <w:rFonts w:eastAsia="仿宋_GB2312"/>
                <w:sz w:val="32"/>
                <w:szCs w:val="32"/>
              </w:rPr>
              <w:t>，至</w:t>
            </w:r>
            <w:r>
              <w:rPr>
                <w:rFonts w:hint="eastAsia" w:eastAsia="仿宋_GB2312"/>
                <w:sz w:val="32"/>
                <w:szCs w:val="32"/>
              </w:rPr>
              <w:t>2035年，</w:t>
            </w:r>
            <w:r>
              <w:rPr>
                <w:rFonts w:eastAsia="仿宋_GB2312"/>
                <w:sz w:val="32"/>
                <w:szCs w:val="32"/>
              </w:rPr>
              <w:t>计划投资</w:t>
            </w:r>
            <w:r>
              <w:rPr>
                <w:rFonts w:hint="eastAsia" w:eastAsia="仿宋_GB2312"/>
                <w:sz w:val="32"/>
                <w:szCs w:val="32"/>
              </w:rPr>
              <w:t>17500</w:t>
            </w:r>
            <w:r>
              <w:rPr>
                <w:rFonts w:eastAsia="仿宋_GB2312"/>
                <w:sz w:val="32"/>
                <w:szCs w:val="32"/>
              </w:rPr>
              <w:t>万元。努力推广“文椰”系列</w:t>
            </w:r>
            <w:r>
              <w:rPr>
                <w:rFonts w:hint="eastAsia" w:eastAsia="仿宋_GB2312"/>
                <w:sz w:val="32"/>
                <w:szCs w:val="32"/>
              </w:rPr>
              <w:t>等</w:t>
            </w:r>
            <w:r>
              <w:rPr>
                <w:rFonts w:eastAsia="仿宋_GB2312"/>
                <w:sz w:val="32"/>
                <w:szCs w:val="32"/>
              </w:rPr>
              <w:t>新品种，确保推动椰子产业</w:t>
            </w:r>
            <w:r>
              <w:rPr>
                <w:rFonts w:hint="eastAsia" w:eastAsia="仿宋_GB2312"/>
                <w:sz w:val="32"/>
                <w:szCs w:val="32"/>
              </w:rPr>
              <w:t>高质量发展</w:t>
            </w:r>
            <w:r>
              <w:rPr>
                <w:rFonts w:eastAsia="仿宋_GB2312"/>
                <w:sz w:val="32"/>
                <w:szCs w:val="32"/>
              </w:rPr>
              <w:t>。</w:t>
            </w:r>
          </w:p>
          <w:p w14:paraId="0BF682CD">
            <w:pPr>
              <w:rPr>
                <w:rFonts w:hint="eastAsia" w:eastAsia="仿宋_GB2312"/>
                <w:b/>
                <w:sz w:val="32"/>
                <w:szCs w:val="28"/>
              </w:rPr>
            </w:pPr>
            <w:r>
              <w:rPr>
                <w:rFonts w:hint="eastAsia" w:eastAsia="仿宋_GB2312"/>
                <w:b/>
                <w:sz w:val="32"/>
                <w:szCs w:val="28"/>
              </w:rPr>
              <w:t>（四）建设现代标准化示范胶园</w:t>
            </w:r>
          </w:p>
          <w:p w14:paraId="0B049804">
            <w:pPr>
              <w:ind w:firstLine="640" w:firstLineChars="200"/>
              <w:rPr>
                <w:rFonts w:hint="eastAsia" w:eastAsia="仿宋_GB2312"/>
                <w:b/>
                <w:sz w:val="28"/>
                <w:szCs w:val="32"/>
              </w:rPr>
            </w:pPr>
            <w:r>
              <w:rPr>
                <w:rFonts w:eastAsia="仿宋_GB2312"/>
                <w:sz w:val="32"/>
                <w:szCs w:val="28"/>
              </w:rPr>
              <w:t>对育才生态区、海棠区、崖州区等老旧和低产的橡胶园进行改造更新；选择交通便利、林相整齐、有一定规模的胶园，推广科学系统的幼苗抚管、深沟定位施肥技术、病虫害管理等现代胶园管理技术；对胶园道路进行硬化、建设农田水利工程、绿肥工程等农业配套工程，提高胶园的科技水平和机械化水平，努力打造一批具有品种优、规模大、交通方便、绿色生态等特点的现代标准化示范胶园，建设现代标准化示范胶园4000 hm</w:t>
            </w:r>
            <w:r>
              <w:rPr>
                <w:rFonts w:eastAsia="仿宋_GB2312"/>
                <w:sz w:val="32"/>
                <w:szCs w:val="28"/>
                <w:vertAlign w:val="superscript"/>
              </w:rPr>
              <w:t>2</w:t>
            </w:r>
            <w:r>
              <w:rPr>
                <w:rFonts w:eastAsia="仿宋_GB2312"/>
                <w:sz w:val="32"/>
                <w:szCs w:val="28"/>
              </w:rPr>
              <w:t>。由政府引导、发挥示范胶园的带头作用，在全市逐步推广胶园集成配套管理技术，加快胶园标准化建设</w:t>
            </w:r>
            <w:r>
              <w:rPr>
                <w:rFonts w:hint="eastAsia" w:eastAsia="仿宋_GB2312"/>
                <w:sz w:val="32"/>
                <w:szCs w:val="28"/>
              </w:rPr>
              <w:t>。</w:t>
            </w:r>
            <w:r>
              <w:rPr>
                <w:rFonts w:eastAsia="仿宋_GB2312"/>
                <w:sz w:val="32"/>
                <w:szCs w:val="32"/>
              </w:rPr>
              <w:t>至</w:t>
            </w:r>
            <w:r>
              <w:rPr>
                <w:rFonts w:hint="eastAsia" w:eastAsia="仿宋_GB2312"/>
                <w:sz w:val="32"/>
                <w:szCs w:val="32"/>
              </w:rPr>
              <w:t>2025年，</w:t>
            </w:r>
            <w:r>
              <w:rPr>
                <w:rFonts w:eastAsia="仿宋_GB2312"/>
                <w:sz w:val="32"/>
                <w:szCs w:val="28"/>
              </w:rPr>
              <w:t>计划投资</w:t>
            </w:r>
            <w:r>
              <w:rPr>
                <w:rFonts w:hint="eastAsia" w:eastAsia="仿宋_GB2312"/>
                <w:sz w:val="32"/>
                <w:szCs w:val="28"/>
              </w:rPr>
              <w:t>2000万元；至2035年，计划投资2000万元，总投资</w:t>
            </w:r>
            <w:r>
              <w:rPr>
                <w:rFonts w:eastAsia="仿宋_GB2312"/>
                <w:sz w:val="32"/>
                <w:szCs w:val="28"/>
              </w:rPr>
              <w:t>4000万元。</w:t>
            </w:r>
          </w:p>
        </w:tc>
      </w:tr>
      <w:tr w14:paraId="2CE81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5B235001">
            <w:pPr>
              <w:rPr>
                <w:rFonts w:hint="eastAsia" w:eastAsia="仿宋_GB2312"/>
                <w:b/>
                <w:sz w:val="32"/>
                <w:szCs w:val="32"/>
              </w:rPr>
            </w:pPr>
            <w:r>
              <w:rPr>
                <w:rFonts w:hint="eastAsia" w:eastAsia="仿宋_GB2312"/>
                <w:b/>
                <w:sz w:val="32"/>
                <w:szCs w:val="32"/>
              </w:rPr>
              <w:t>三、经济林改生态林</w:t>
            </w:r>
          </w:p>
          <w:p w14:paraId="74C10BA1">
            <w:pPr>
              <w:spacing w:line="360" w:lineRule="auto"/>
              <w:ind w:firstLine="640" w:firstLineChars="200"/>
              <w:rPr>
                <w:rFonts w:hint="eastAsia" w:eastAsia="仿宋_GB2312"/>
                <w:b/>
                <w:sz w:val="32"/>
                <w:szCs w:val="32"/>
              </w:rPr>
            </w:pPr>
            <w:r>
              <w:rPr>
                <w:rFonts w:eastAsia="仿宋_GB2312"/>
                <w:sz w:val="32"/>
                <w:szCs w:val="32"/>
              </w:rPr>
              <w:t>以“低投入、易维护、兼顾农民切身利益”为原则，注重与周边自然景观、生态环境的协调关系，将水源池、沿高速公路两侧的山、水、田、林、路等元素融为一体科学合理规划，坚持保护和恢复三亚美丽的自然景观和兼顾农民利益的原则，营造一个结构合理、生态健全的植物群落，形成具有多功能价值的生态防护林体系。</w:t>
            </w:r>
            <w:r>
              <w:rPr>
                <w:rFonts w:hint="eastAsia" w:eastAsia="仿宋_GB2312"/>
                <w:sz w:val="32"/>
                <w:szCs w:val="32"/>
              </w:rPr>
              <w:t>在大隆水库、岭曲-汤池水库、赤田水库、福万水库、水源池水库、半岭水库和抱古水库等重要饮用水源地，实施经济林退还生态林工程。</w:t>
            </w:r>
            <w:r>
              <w:rPr>
                <w:rFonts w:eastAsia="仿宋_GB2312"/>
                <w:sz w:val="32"/>
                <w:szCs w:val="32"/>
              </w:rPr>
              <w:t>至2025年，实施</w:t>
            </w:r>
            <w:r>
              <w:rPr>
                <w:rFonts w:hint="eastAsia" w:eastAsia="仿宋_GB2312"/>
                <w:sz w:val="32"/>
                <w:szCs w:val="32"/>
              </w:rPr>
              <w:t>经济林</w:t>
            </w:r>
            <w:r>
              <w:rPr>
                <w:rFonts w:eastAsia="仿宋_GB2312"/>
                <w:sz w:val="32"/>
                <w:szCs w:val="32"/>
              </w:rPr>
              <w:t>改生态林面积</w:t>
            </w:r>
            <w:r>
              <w:rPr>
                <w:rFonts w:hint="eastAsia" w:eastAsia="仿宋_GB2312"/>
                <w:sz w:val="32"/>
                <w:szCs w:val="32"/>
              </w:rPr>
              <w:t>3</w:t>
            </w:r>
            <w:r>
              <w:rPr>
                <w:rFonts w:eastAsia="仿宋_GB2312"/>
                <w:sz w:val="32"/>
                <w:szCs w:val="32"/>
              </w:rPr>
              <w:t>00 hm</w:t>
            </w:r>
            <w:r>
              <w:rPr>
                <w:rFonts w:eastAsia="仿宋_GB2312"/>
                <w:sz w:val="32"/>
                <w:szCs w:val="32"/>
                <w:vertAlign w:val="superscript"/>
              </w:rPr>
              <w:t>2</w:t>
            </w:r>
            <w:r>
              <w:rPr>
                <w:rFonts w:eastAsia="仿宋_GB2312"/>
                <w:sz w:val="32"/>
                <w:szCs w:val="32"/>
              </w:rPr>
              <w:t>，计划投资</w:t>
            </w:r>
            <w:r>
              <w:rPr>
                <w:rFonts w:hint="eastAsia" w:eastAsia="仿宋_GB2312"/>
                <w:sz w:val="32"/>
                <w:szCs w:val="32"/>
              </w:rPr>
              <w:t>15750</w:t>
            </w:r>
            <w:r>
              <w:rPr>
                <w:rFonts w:eastAsia="仿宋_GB2312"/>
                <w:sz w:val="32"/>
                <w:szCs w:val="32"/>
              </w:rPr>
              <w:t>万元；</w:t>
            </w:r>
            <w:r>
              <w:rPr>
                <w:rFonts w:hint="eastAsia" w:eastAsia="仿宋_GB2312"/>
                <w:sz w:val="32"/>
                <w:szCs w:val="32"/>
              </w:rPr>
              <w:t>至2035年，实施经济林改生态林面积500 hm</w:t>
            </w:r>
            <w:r>
              <w:rPr>
                <w:rFonts w:hint="eastAsia" w:eastAsia="仿宋_GB2312"/>
                <w:sz w:val="32"/>
                <w:szCs w:val="32"/>
                <w:vertAlign w:val="superscript"/>
              </w:rPr>
              <w:t>2</w:t>
            </w:r>
            <w:r>
              <w:rPr>
                <w:rFonts w:hint="eastAsia" w:eastAsia="仿宋_GB2312"/>
                <w:sz w:val="32"/>
                <w:szCs w:val="32"/>
              </w:rPr>
              <w:t>，</w:t>
            </w:r>
            <w:r>
              <w:rPr>
                <w:rFonts w:eastAsia="仿宋_GB2312"/>
                <w:sz w:val="32"/>
                <w:szCs w:val="32"/>
              </w:rPr>
              <w:t>计划投资</w:t>
            </w:r>
            <w:r>
              <w:rPr>
                <w:rFonts w:hint="eastAsia" w:eastAsia="仿宋_GB2312"/>
                <w:sz w:val="32"/>
                <w:szCs w:val="32"/>
              </w:rPr>
              <w:t>26250</w:t>
            </w:r>
            <w:r>
              <w:rPr>
                <w:rFonts w:eastAsia="仿宋_GB2312"/>
                <w:sz w:val="32"/>
                <w:szCs w:val="32"/>
              </w:rPr>
              <w:t>万元；总投资</w:t>
            </w:r>
            <w:r>
              <w:rPr>
                <w:rFonts w:hint="eastAsia" w:eastAsia="仿宋_GB2312"/>
                <w:sz w:val="32"/>
                <w:szCs w:val="32"/>
              </w:rPr>
              <w:t>42000万元</w:t>
            </w:r>
            <w:r>
              <w:rPr>
                <w:rFonts w:eastAsia="仿宋_GB2312"/>
                <w:sz w:val="32"/>
                <w:szCs w:val="32"/>
              </w:rPr>
              <w:t>。</w:t>
            </w:r>
          </w:p>
        </w:tc>
      </w:tr>
      <w:tr w14:paraId="6BDE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4" w:hRule="atLeast"/>
        </w:trPr>
        <w:tc>
          <w:tcPr>
            <w:tcW w:w="8515" w:type="dxa"/>
          </w:tcPr>
          <w:p w14:paraId="5E656E72">
            <w:pPr>
              <w:rPr>
                <w:rFonts w:hint="eastAsia" w:eastAsia="仿宋_GB2312"/>
                <w:b/>
                <w:sz w:val="32"/>
                <w:szCs w:val="32"/>
              </w:rPr>
            </w:pPr>
            <w:r>
              <w:rPr>
                <w:rFonts w:hint="eastAsia" w:eastAsia="仿宋_GB2312"/>
                <w:b/>
                <w:sz w:val="32"/>
                <w:szCs w:val="32"/>
              </w:rPr>
              <w:t>四、经济林产品深加工</w:t>
            </w:r>
          </w:p>
          <w:p w14:paraId="744AF01D">
            <w:pPr>
              <w:rPr>
                <w:rFonts w:hint="eastAsia" w:eastAsia="仿宋_GB2312"/>
                <w:b/>
                <w:sz w:val="32"/>
                <w:szCs w:val="32"/>
              </w:rPr>
            </w:pPr>
            <w:r>
              <w:rPr>
                <w:rFonts w:hint="eastAsia" w:eastAsia="仿宋_GB2312"/>
                <w:b/>
                <w:sz w:val="32"/>
                <w:szCs w:val="32"/>
              </w:rPr>
              <w:t>（一）芒果产品深加工基地</w:t>
            </w:r>
          </w:p>
          <w:p w14:paraId="79EA8D88">
            <w:pPr>
              <w:ind w:firstLine="640" w:firstLineChars="200"/>
              <w:rPr>
                <w:rFonts w:hint="eastAsia" w:eastAsia="仿宋_GB2312"/>
                <w:sz w:val="32"/>
                <w:szCs w:val="32"/>
              </w:rPr>
            </w:pPr>
            <w:r>
              <w:rPr>
                <w:rFonts w:eastAsia="仿宋_GB2312"/>
                <w:sz w:val="32"/>
                <w:szCs w:val="32"/>
              </w:rPr>
              <w:t>引进先进的生产设备和企业，如超临界冻干技术</w:t>
            </w:r>
            <w:r>
              <w:rPr>
                <w:rFonts w:hint="eastAsia" w:eastAsia="仿宋_GB2312"/>
                <w:sz w:val="32"/>
                <w:szCs w:val="32"/>
              </w:rPr>
              <w:t>，</w:t>
            </w:r>
            <w:r>
              <w:rPr>
                <w:rFonts w:eastAsia="仿宋_GB2312"/>
                <w:sz w:val="32"/>
                <w:szCs w:val="32"/>
              </w:rPr>
              <w:t>加强芒果产品保鲜技术和产品深加工，加工成大量芒果产品投放市场。至2025年，在崖州区建设芒果产品深加工基地1处，计划投资</w:t>
            </w:r>
            <w:r>
              <w:rPr>
                <w:rFonts w:hint="eastAsia" w:eastAsia="仿宋_GB2312"/>
                <w:sz w:val="32"/>
                <w:szCs w:val="32"/>
              </w:rPr>
              <w:t>20</w:t>
            </w:r>
            <w:r>
              <w:rPr>
                <w:rFonts w:eastAsia="仿宋_GB2312"/>
                <w:sz w:val="32"/>
                <w:szCs w:val="32"/>
              </w:rPr>
              <w:t>00万元。</w:t>
            </w:r>
          </w:p>
          <w:p w14:paraId="36448422">
            <w:pPr>
              <w:rPr>
                <w:rFonts w:hint="eastAsia" w:eastAsia="仿宋_GB2312"/>
                <w:b/>
                <w:sz w:val="32"/>
                <w:szCs w:val="32"/>
              </w:rPr>
            </w:pPr>
            <w:r>
              <w:rPr>
                <w:rFonts w:hint="eastAsia" w:eastAsia="仿宋_GB2312"/>
                <w:b/>
                <w:sz w:val="32"/>
                <w:szCs w:val="32"/>
              </w:rPr>
              <w:t>（二）培育槟榔精深加工企业</w:t>
            </w:r>
          </w:p>
          <w:p w14:paraId="7D8DCB37">
            <w:pPr>
              <w:ind w:firstLine="640" w:firstLineChars="200"/>
              <w:rPr>
                <w:rFonts w:hint="eastAsia" w:eastAsia="仿宋_GB2312"/>
                <w:sz w:val="32"/>
                <w:szCs w:val="32"/>
              </w:rPr>
            </w:pPr>
            <w:r>
              <w:rPr>
                <w:rFonts w:eastAsia="仿宋_GB2312"/>
                <w:sz w:val="32"/>
                <w:szCs w:val="32"/>
              </w:rPr>
              <w:t>引进和培育大型槟榔加工企业，引导加工企业向优势产区集中，在槟榔优势产地打造加工产业集群，鼓励槟榔企业设立研发机构，增强企业的创新能力。至2025年，培育槟榔精深加工企业2家，延长产业链，促进三亚市槟榔产业持续发展。计划投资</w:t>
            </w:r>
            <w:r>
              <w:rPr>
                <w:rFonts w:hint="eastAsia" w:eastAsia="仿宋_GB2312"/>
                <w:sz w:val="32"/>
                <w:szCs w:val="32"/>
              </w:rPr>
              <w:t>7</w:t>
            </w:r>
            <w:r>
              <w:rPr>
                <w:rFonts w:eastAsia="仿宋_GB2312"/>
                <w:sz w:val="32"/>
                <w:szCs w:val="32"/>
              </w:rPr>
              <w:t>000万元。</w:t>
            </w:r>
          </w:p>
          <w:p w14:paraId="43B9E608">
            <w:pPr>
              <w:rPr>
                <w:rFonts w:hint="eastAsia" w:eastAsia="仿宋_GB2312"/>
                <w:b/>
                <w:sz w:val="32"/>
                <w:szCs w:val="32"/>
              </w:rPr>
            </w:pPr>
            <w:r>
              <w:rPr>
                <w:rFonts w:hint="eastAsia" w:eastAsia="仿宋_GB2312"/>
                <w:b/>
                <w:sz w:val="32"/>
                <w:szCs w:val="32"/>
              </w:rPr>
              <w:t>（三）</w:t>
            </w:r>
            <w:r>
              <w:rPr>
                <w:rFonts w:eastAsia="仿宋_GB2312"/>
                <w:b/>
                <w:sz w:val="32"/>
                <w:szCs w:val="32"/>
              </w:rPr>
              <w:t>培育椰子精深加工企业</w:t>
            </w:r>
          </w:p>
          <w:p w14:paraId="4DBA8DDB">
            <w:pPr>
              <w:ind w:firstLine="640" w:firstLineChars="200"/>
              <w:rPr>
                <w:rFonts w:hint="eastAsia" w:eastAsia="仿宋_GB2312"/>
                <w:sz w:val="32"/>
                <w:szCs w:val="32"/>
              </w:rPr>
            </w:pPr>
            <w:r>
              <w:rPr>
                <w:rFonts w:eastAsia="仿宋_GB2312"/>
                <w:sz w:val="32"/>
                <w:szCs w:val="32"/>
              </w:rPr>
              <w:t>发展椰子产品精深加工和提高资源综合利用率，联合椰树和春光等知名企业共同开展精深产品加工研究工作，大力发展椰子深加工产品，提高产品科技含金量和附加值。加大以椰子为原料的保健食品、特医食品、日化用品等新兴产品、军用材料和油脂化工等高端产品的研发力度。加强废弃物综合利用开发力度，研发高级活性炭、栽培介质、椰纤维板材等产品，推动椰子鲜果废弃物的综合利用进程。发展低排放、高效益的椰子产品加工方式，建立安全、优质、营养、低耗、绿色、生态的椰子加工产业体系。至2025年，培育椰子精深加工企业1家，计划投资</w:t>
            </w:r>
            <w:r>
              <w:rPr>
                <w:rFonts w:hint="eastAsia" w:eastAsia="仿宋_GB2312"/>
                <w:sz w:val="32"/>
                <w:szCs w:val="32"/>
              </w:rPr>
              <w:t>2</w:t>
            </w:r>
            <w:r>
              <w:rPr>
                <w:rFonts w:eastAsia="仿宋_GB2312"/>
                <w:sz w:val="32"/>
                <w:szCs w:val="32"/>
              </w:rPr>
              <w:t>000万元；至2035年，培育椰子精深加工企业2家，计划投资</w:t>
            </w:r>
            <w:r>
              <w:rPr>
                <w:rFonts w:hint="eastAsia" w:eastAsia="仿宋_GB2312"/>
                <w:sz w:val="32"/>
                <w:szCs w:val="32"/>
              </w:rPr>
              <w:t>4</w:t>
            </w:r>
            <w:r>
              <w:rPr>
                <w:rFonts w:eastAsia="仿宋_GB2312"/>
                <w:sz w:val="32"/>
                <w:szCs w:val="32"/>
              </w:rPr>
              <w:t>000万元</w:t>
            </w:r>
            <w:r>
              <w:rPr>
                <w:rFonts w:hint="eastAsia" w:eastAsia="仿宋_GB2312"/>
                <w:sz w:val="32"/>
                <w:szCs w:val="32"/>
              </w:rPr>
              <w:t>，</w:t>
            </w:r>
            <w:r>
              <w:rPr>
                <w:rFonts w:eastAsia="仿宋_GB2312"/>
                <w:sz w:val="32"/>
                <w:szCs w:val="32"/>
              </w:rPr>
              <w:t>总投资</w:t>
            </w:r>
            <w:r>
              <w:rPr>
                <w:rFonts w:hint="eastAsia" w:eastAsia="仿宋_GB2312"/>
                <w:sz w:val="32"/>
                <w:szCs w:val="32"/>
              </w:rPr>
              <w:t>6000万元</w:t>
            </w:r>
            <w:r>
              <w:rPr>
                <w:rFonts w:eastAsia="仿宋_GB2312"/>
                <w:sz w:val="32"/>
                <w:szCs w:val="32"/>
              </w:rPr>
              <w:t>。</w:t>
            </w:r>
          </w:p>
          <w:p w14:paraId="08E0F94E">
            <w:pPr>
              <w:rPr>
                <w:rFonts w:hint="eastAsia" w:eastAsia="仿宋_GB2312"/>
                <w:b/>
                <w:sz w:val="32"/>
                <w:szCs w:val="32"/>
              </w:rPr>
            </w:pPr>
            <w:r>
              <w:rPr>
                <w:rFonts w:hint="eastAsia" w:eastAsia="仿宋_GB2312"/>
                <w:b/>
                <w:sz w:val="32"/>
                <w:szCs w:val="32"/>
              </w:rPr>
              <w:t>（四）培育以天然橡胶生产或初加工为主的龙头企业或合作社</w:t>
            </w:r>
          </w:p>
          <w:p w14:paraId="39C8EAA5">
            <w:pPr>
              <w:ind w:firstLine="640" w:firstLineChars="200"/>
              <w:rPr>
                <w:rFonts w:hint="eastAsia" w:eastAsia="仿宋_GB2312"/>
                <w:sz w:val="32"/>
                <w:szCs w:val="32"/>
              </w:rPr>
            </w:pPr>
            <w:r>
              <w:rPr>
                <w:rFonts w:eastAsia="仿宋_GB2312"/>
                <w:sz w:val="32"/>
                <w:szCs w:val="32"/>
              </w:rPr>
              <w:t>将生态胶园和林下种、养殖业推广，促进天然橡胶产业三产融合发展，开发天然橡胶旅游等附加价值，推进橡胶木材、橡胶籽等橡胶综合利用，至</w:t>
            </w:r>
            <w:r>
              <w:rPr>
                <w:rFonts w:hint="eastAsia" w:eastAsia="仿宋_GB2312"/>
                <w:sz w:val="32"/>
                <w:szCs w:val="32"/>
              </w:rPr>
              <w:t>2025年，</w:t>
            </w:r>
            <w:r>
              <w:rPr>
                <w:rFonts w:eastAsia="仿宋_GB2312"/>
                <w:sz w:val="32"/>
                <w:szCs w:val="32"/>
              </w:rPr>
              <w:t>发展相关企业2家，计划投资</w:t>
            </w:r>
            <w:r>
              <w:rPr>
                <w:rFonts w:hint="eastAsia" w:eastAsia="仿宋_GB2312"/>
                <w:sz w:val="32"/>
                <w:szCs w:val="32"/>
              </w:rPr>
              <w:t>4</w:t>
            </w:r>
            <w:r>
              <w:rPr>
                <w:rFonts w:eastAsia="仿宋_GB2312"/>
                <w:sz w:val="32"/>
                <w:szCs w:val="32"/>
              </w:rPr>
              <w:t>000万元。</w:t>
            </w:r>
          </w:p>
        </w:tc>
      </w:tr>
      <w:tr w14:paraId="48141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553ECA2A">
            <w:pPr>
              <w:rPr>
                <w:rFonts w:hint="eastAsia" w:eastAsia="仿宋_GB2312"/>
                <w:b/>
                <w:sz w:val="32"/>
                <w:szCs w:val="32"/>
              </w:rPr>
            </w:pPr>
            <w:r>
              <w:rPr>
                <w:rFonts w:hint="eastAsia" w:eastAsia="仿宋_GB2312"/>
                <w:b/>
                <w:sz w:val="32"/>
                <w:szCs w:val="32"/>
              </w:rPr>
              <w:t>五、</w:t>
            </w:r>
            <w:r>
              <w:rPr>
                <w:rFonts w:eastAsia="仿宋_GB2312"/>
                <w:b/>
                <w:sz w:val="32"/>
                <w:szCs w:val="32"/>
              </w:rPr>
              <w:t>特色热带水果示范园</w:t>
            </w:r>
          </w:p>
          <w:p w14:paraId="64DE87FE">
            <w:pPr>
              <w:spacing w:line="360" w:lineRule="auto"/>
              <w:ind w:firstLine="640" w:firstLineChars="200"/>
              <w:rPr>
                <w:rFonts w:hint="eastAsia" w:eastAsia="仿宋_GB2312"/>
                <w:sz w:val="32"/>
                <w:szCs w:val="32"/>
              </w:rPr>
            </w:pPr>
            <w:r>
              <w:rPr>
                <w:rFonts w:eastAsia="仿宋_GB2312"/>
                <w:sz w:val="32"/>
                <w:szCs w:val="32"/>
              </w:rPr>
              <w:t>优化现有的热带水果产业结构，建设绿色防控、水肥一体化、套袋、果园标志标识等的示范果园，提高其综合生产水平，确保生产安全优质的热带水果。推广采用“公司+合作社+农户十品牌+科技”的“五+模式”标准化生产管理模式，发挥示范引领作用，实现三亚市林果产业的绿色可持续发展。建设示范果园2处，带动水果基地提质增效100 hm</w:t>
            </w:r>
            <w:r>
              <w:rPr>
                <w:rFonts w:eastAsia="仿宋_GB2312"/>
                <w:sz w:val="32"/>
                <w:szCs w:val="32"/>
                <w:vertAlign w:val="superscript"/>
              </w:rPr>
              <w:t>2</w:t>
            </w:r>
            <w:r>
              <w:rPr>
                <w:rFonts w:eastAsia="仿宋_GB2312"/>
                <w:sz w:val="32"/>
                <w:szCs w:val="32"/>
              </w:rPr>
              <w:t>，引导经济林产业逐步向医学、新型生物、保健品、生物经济以及旅游观光等产业稳步并分阶段发展，环环相扣实现经济林产业综合开发。至</w:t>
            </w:r>
            <w:r>
              <w:rPr>
                <w:rFonts w:hint="eastAsia" w:eastAsia="仿宋_GB2312"/>
                <w:sz w:val="32"/>
                <w:szCs w:val="32"/>
              </w:rPr>
              <w:t>2025年，</w:t>
            </w:r>
            <w:r>
              <w:rPr>
                <w:rFonts w:eastAsia="仿宋_GB2312"/>
                <w:sz w:val="32"/>
                <w:szCs w:val="32"/>
              </w:rPr>
              <w:t>计划投资</w:t>
            </w:r>
            <w:r>
              <w:rPr>
                <w:rFonts w:hint="eastAsia" w:eastAsia="仿宋_GB2312"/>
                <w:sz w:val="32"/>
                <w:szCs w:val="32"/>
              </w:rPr>
              <w:t>5</w:t>
            </w:r>
            <w:r>
              <w:rPr>
                <w:rFonts w:eastAsia="仿宋_GB2312"/>
                <w:sz w:val="32"/>
                <w:szCs w:val="32"/>
              </w:rPr>
              <w:t>000万元。</w:t>
            </w:r>
          </w:p>
        </w:tc>
      </w:tr>
      <w:tr w14:paraId="5E1E1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463E0B31">
            <w:pPr>
              <w:spacing w:line="360" w:lineRule="auto"/>
              <w:rPr>
                <w:rFonts w:hint="eastAsia" w:eastAsia="仿宋_GB2312"/>
                <w:b/>
                <w:sz w:val="32"/>
                <w:szCs w:val="32"/>
              </w:rPr>
            </w:pPr>
            <w:r>
              <w:rPr>
                <w:rFonts w:hint="eastAsia" w:eastAsia="仿宋_GB2312"/>
                <w:b/>
                <w:sz w:val="32"/>
                <w:szCs w:val="32"/>
              </w:rPr>
              <w:t>六、深化一二三产业融合工程</w:t>
            </w:r>
          </w:p>
          <w:p w14:paraId="55402985">
            <w:pPr>
              <w:spacing w:line="360" w:lineRule="auto"/>
              <w:rPr>
                <w:rFonts w:hint="eastAsia" w:eastAsia="仿宋_GB2312"/>
                <w:b/>
                <w:sz w:val="32"/>
                <w:szCs w:val="32"/>
              </w:rPr>
            </w:pPr>
            <w:r>
              <w:rPr>
                <w:rFonts w:hint="eastAsia" w:eastAsia="仿宋_GB2312"/>
                <w:b/>
                <w:sz w:val="32"/>
                <w:szCs w:val="32"/>
              </w:rPr>
              <w:t>（一）</w:t>
            </w:r>
            <w:r>
              <w:rPr>
                <w:rFonts w:eastAsia="仿宋_GB2312"/>
                <w:b/>
                <w:sz w:val="32"/>
                <w:szCs w:val="32"/>
              </w:rPr>
              <w:t>以热带水果为主题</w:t>
            </w:r>
            <w:r>
              <w:rPr>
                <w:rFonts w:hint="eastAsia" w:eastAsia="仿宋_GB2312"/>
                <w:b/>
                <w:sz w:val="32"/>
                <w:szCs w:val="32"/>
              </w:rPr>
              <w:t>，多元化发展特色水果</w:t>
            </w:r>
          </w:p>
          <w:p w14:paraId="1985C18A">
            <w:pPr>
              <w:spacing w:line="360" w:lineRule="auto"/>
              <w:ind w:firstLine="640" w:firstLineChars="200"/>
              <w:rPr>
                <w:rFonts w:hint="eastAsia" w:eastAsia="仿宋_GB2312"/>
                <w:sz w:val="32"/>
                <w:szCs w:val="32"/>
              </w:rPr>
            </w:pPr>
            <w:r>
              <w:rPr>
                <w:rFonts w:eastAsia="仿宋_GB2312"/>
                <w:sz w:val="32"/>
                <w:szCs w:val="32"/>
              </w:rPr>
              <w:t>发展</w:t>
            </w:r>
            <w:r>
              <w:rPr>
                <w:rFonts w:hint="eastAsia" w:eastAsia="仿宋_GB2312"/>
                <w:sz w:val="32"/>
                <w:szCs w:val="32"/>
              </w:rPr>
              <w:t>榴莲</w:t>
            </w:r>
            <w:r>
              <w:rPr>
                <w:rFonts w:eastAsia="仿宋_GB2312"/>
                <w:sz w:val="32"/>
                <w:szCs w:val="32"/>
              </w:rPr>
              <w:t>、莲雾、火龙果等的新型特色水果</w:t>
            </w:r>
            <w:r>
              <w:rPr>
                <w:rFonts w:hint="eastAsia" w:eastAsia="仿宋_GB2312"/>
                <w:sz w:val="32"/>
                <w:szCs w:val="32"/>
              </w:rPr>
              <w:t>，</w:t>
            </w:r>
            <w:r>
              <w:rPr>
                <w:rFonts w:eastAsia="仿宋_GB2312"/>
                <w:kern w:val="0"/>
                <w:sz w:val="32"/>
                <w:szCs w:val="32"/>
              </w:rPr>
              <w:t>探索引进推广热带新</w:t>
            </w:r>
            <w:r>
              <w:rPr>
                <w:rFonts w:hint="eastAsia" w:eastAsia="仿宋_GB2312"/>
                <w:kern w:val="0"/>
                <w:sz w:val="32"/>
                <w:szCs w:val="32"/>
              </w:rPr>
              <w:t>、</w:t>
            </w:r>
            <w:r>
              <w:rPr>
                <w:rFonts w:eastAsia="仿宋_GB2312"/>
                <w:kern w:val="0"/>
                <w:sz w:val="32"/>
                <w:szCs w:val="32"/>
              </w:rPr>
              <w:t>奇</w:t>
            </w:r>
            <w:r>
              <w:rPr>
                <w:rFonts w:hint="eastAsia" w:eastAsia="仿宋_GB2312"/>
                <w:kern w:val="0"/>
                <w:sz w:val="32"/>
                <w:szCs w:val="32"/>
              </w:rPr>
              <w:t>、</w:t>
            </w:r>
            <w:r>
              <w:rPr>
                <w:rFonts w:eastAsia="仿宋_GB2312"/>
                <w:kern w:val="0"/>
                <w:sz w:val="32"/>
                <w:szCs w:val="32"/>
              </w:rPr>
              <w:t>特水果，</w:t>
            </w:r>
            <w:r>
              <w:rPr>
                <w:rFonts w:eastAsia="仿宋_GB2312"/>
                <w:sz w:val="32"/>
                <w:szCs w:val="32"/>
              </w:rPr>
              <w:t>促进三亚经济林向高产量、高品质、高效益转型升级。同时通过热带果树产业发展，结合休闲观光农业，加大三亚特色水果产业宣传和推广，形成以热带水果为主题的旅游产业链。至</w:t>
            </w:r>
            <w:r>
              <w:rPr>
                <w:rFonts w:hint="eastAsia" w:eastAsia="仿宋_GB2312"/>
                <w:sz w:val="32"/>
                <w:szCs w:val="32"/>
              </w:rPr>
              <w:t>2025年，</w:t>
            </w:r>
            <w:r>
              <w:rPr>
                <w:rFonts w:eastAsia="仿宋_GB2312"/>
                <w:sz w:val="32"/>
                <w:szCs w:val="32"/>
              </w:rPr>
              <w:t>计划投资</w:t>
            </w:r>
            <w:r>
              <w:rPr>
                <w:rFonts w:hint="eastAsia" w:eastAsia="仿宋_GB2312"/>
                <w:sz w:val="32"/>
                <w:szCs w:val="32"/>
              </w:rPr>
              <w:t>30</w:t>
            </w:r>
            <w:r>
              <w:rPr>
                <w:rFonts w:eastAsia="仿宋_GB2312"/>
                <w:sz w:val="32"/>
                <w:szCs w:val="32"/>
              </w:rPr>
              <w:t>00万元。</w:t>
            </w:r>
          </w:p>
          <w:p w14:paraId="3B5E8607">
            <w:pPr>
              <w:spacing w:line="360" w:lineRule="auto"/>
              <w:rPr>
                <w:b/>
                <w:sz w:val="32"/>
                <w:szCs w:val="32"/>
              </w:rPr>
            </w:pPr>
            <w:r>
              <w:rPr>
                <w:rFonts w:hint="eastAsia" w:eastAsia="仿宋_GB2312"/>
                <w:b/>
                <w:sz w:val="32"/>
                <w:szCs w:val="32"/>
              </w:rPr>
              <w:t>（二）</w:t>
            </w:r>
            <w:r>
              <w:rPr>
                <w:rFonts w:eastAsia="仿宋_GB2312"/>
                <w:b/>
                <w:sz w:val="32"/>
                <w:szCs w:val="32"/>
              </w:rPr>
              <w:t>建设以椰子为主题的旅游产业</w:t>
            </w:r>
          </w:p>
          <w:p w14:paraId="34488B8B">
            <w:pPr>
              <w:ind w:firstLine="643"/>
              <w:rPr>
                <w:rFonts w:hint="eastAsia" w:eastAsia="仿宋_GB2312"/>
                <w:b/>
                <w:sz w:val="28"/>
                <w:szCs w:val="32"/>
              </w:rPr>
            </w:pPr>
            <w:r>
              <w:rPr>
                <w:rFonts w:eastAsia="仿宋_GB2312"/>
                <w:sz w:val="32"/>
                <w:szCs w:val="32"/>
              </w:rPr>
              <w:t>深入挖掘利用好椰子文化，发展椰子文化产业，打造特色鲜明的椰子文化旅游套餐，将椰子塑造成为海南旅游名片。建设椰子休闲旅游主题景区1处、椰林生态休闲农庄1个，至</w:t>
            </w:r>
            <w:r>
              <w:rPr>
                <w:rFonts w:hint="eastAsia" w:eastAsia="仿宋_GB2312"/>
                <w:sz w:val="32"/>
                <w:szCs w:val="32"/>
              </w:rPr>
              <w:t>2025年，</w:t>
            </w:r>
            <w:r>
              <w:rPr>
                <w:rFonts w:eastAsia="仿宋_GB2312"/>
                <w:sz w:val="32"/>
                <w:szCs w:val="32"/>
              </w:rPr>
              <w:t>计划投资</w:t>
            </w:r>
            <w:r>
              <w:rPr>
                <w:rFonts w:hint="eastAsia" w:eastAsia="仿宋_GB2312"/>
                <w:sz w:val="32"/>
                <w:szCs w:val="32"/>
              </w:rPr>
              <w:t>4</w:t>
            </w:r>
            <w:r>
              <w:rPr>
                <w:rFonts w:eastAsia="仿宋_GB2312"/>
                <w:sz w:val="32"/>
                <w:szCs w:val="32"/>
              </w:rPr>
              <w:t>000万元。</w:t>
            </w:r>
          </w:p>
        </w:tc>
      </w:tr>
    </w:tbl>
    <w:p w14:paraId="430698B9">
      <w:pPr>
        <w:rPr>
          <w:rFonts w:hint="eastAsia"/>
        </w:rPr>
      </w:pPr>
      <w:bookmarkStart w:id="113" w:name="_Toc20994"/>
    </w:p>
    <w:p w14:paraId="6F1DB996">
      <w:pPr>
        <w:pStyle w:val="3"/>
        <w:spacing w:before="0" w:after="0" w:line="240" w:lineRule="auto"/>
        <w:rPr>
          <w:rFonts w:ascii="Times New Roman" w:hAnsi="Times New Roman" w:eastAsia="黑体"/>
        </w:rPr>
      </w:pPr>
      <w:bookmarkStart w:id="114" w:name="_Toc82546098"/>
      <w:r>
        <w:rPr>
          <w:rFonts w:hint="eastAsia" w:ascii="Times New Roman" w:hAnsi="Times New Roman" w:eastAsia="黑体"/>
        </w:rPr>
        <w:t>9</w:t>
      </w:r>
      <w:r>
        <w:rPr>
          <w:rFonts w:ascii="Times New Roman" w:hAnsi="Times New Roman" w:eastAsia="黑体"/>
        </w:rPr>
        <w:t>.</w:t>
      </w:r>
      <w:r>
        <w:rPr>
          <w:rFonts w:hint="eastAsia" w:ascii="Times New Roman" w:hAnsi="Times New Roman" w:eastAsia="黑体"/>
        </w:rPr>
        <w:t>5</w:t>
      </w:r>
      <w:r>
        <w:rPr>
          <w:rFonts w:ascii="Times New Roman" w:hAnsi="Times New Roman" w:eastAsia="黑体"/>
        </w:rPr>
        <w:t xml:space="preserve"> </w:t>
      </w:r>
      <w:r>
        <w:rPr>
          <w:rFonts w:hint="eastAsia" w:ascii="Times New Roman" w:hAnsi="Times New Roman" w:eastAsia="黑体"/>
        </w:rPr>
        <w:t>投资估算与资金来源</w:t>
      </w:r>
      <w:bookmarkEnd w:id="114"/>
    </w:p>
    <w:p w14:paraId="62659B2A">
      <w:pPr>
        <w:spacing w:line="360" w:lineRule="auto"/>
        <w:ind w:firstLine="640" w:firstLineChars="200"/>
        <w:jc w:val="left"/>
        <w:rPr>
          <w:rFonts w:eastAsia="仿宋_GB2312"/>
          <w:kern w:val="0"/>
          <w:sz w:val="32"/>
          <w:szCs w:val="32"/>
        </w:rPr>
        <w:sectPr>
          <w:pgSz w:w="11905" w:h="16838"/>
          <w:pgMar w:top="1440" w:right="1803" w:bottom="1440" w:left="1803" w:header="851" w:footer="992" w:gutter="0"/>
          <w:cols w:space="720" w:num="1"/>
          <w:docGrid w:type="lines" w:linePitch="319" w:charSpace="0"/>
        </w:sectPr>
      </w:pPr>
      <w:r>
        <w:rPr>
          <w:rFonts w:hint="eastAsia" w:eastAsia="仿宋_GB2312"/>
          <w:bCs/>
          <w:sz w:val="32"/>
          <w:szCs w:val="32"/>
        </w:rPr>
        <w:t>经济林</w:t>
      </w:r>
      <w:r>
        <w:rPr>
          <w:rStyle w:val="44"/>
          <w:rFonts w:hint="eastAsia" w:hAnsi="Times New Roman" w:eastAsia="仿宋_GB2312" w:cs="Times New Roman"/>
          <w:sz w:val="32"/>
          <w:szCs w:val="32"/>
        </w:rPr>
        <w:t>产业共有6个重点工程15个规划储备项目，计划总投资123500万元，</w:t>
      </w:r>
      <w:r>
        <w:rPr>
          <w:rFonts w:hint="eastAsia" w:eastAsia="仿宋_GB2312"/>
          <w:sz w:val="32"/>
          <w:szCs w:val="32"/>
        </w:rPr>
        <w:t>其中2021~</w:t>
      </w:r>
      <w:r>
        <w:rPr>
          <w:rFonts w:eastAsia="仿宋_GB2312"/>
          <w:sz w:val="32"/>
          <w:szCs w:val="32"/>
        </w:rPr>
        <w:t>2025年累计投入资金</w:t>
      </w:r>
      <w:r>
        <w:rPr>
          <w:rFonts w:hint="eastAsia" w:eastAsia="仿宋_GB2312"/>
          <w:sz w:val="32"/>
          <w:szCs w:val="32"/>
        </w:rPr>
        <w:t>63750</w:t>
      </w:r>
      <w:r>
        <w:rPr>
          <w:rFonts w:eastAsia="仿宋_GB2312"/>
          <w:sz w:val="32"/>
          <w:szCs w:val="32"/>
        </w:rPr>
        <w:t>万元，</w:t>
      </w:r>
      <w:r>
        <w:rPr>
          <w:rFonts w:hint="eastAsia" w:eastAsia="仿宋_GB2312"/>
          <w:sz w:val="32"/>
          <w:szCs w:val="32"/>
        </w:rPr>
        <w:t>2026~</w:t>
      </w:r>
      <w:r>
        <w:rPr>
          <w:rFonts w:eastAsia="仿宋_GB2312"/>
          <w:sz w:val="32"/>
          <w:szCs w:val="32"/>
        </w:rPr>
        <w:t>2035年累计投入资金</w:t>
      </w:r>
      <w:r>
        <w:rPr>
          <w:rFonts w:hint="eastAsia" w:eastAsia="仿宋_GB2312"/>
          <w:sz w:val="32"/>
          <w:szCs w:val="32"/>
        </w:rPr>
        <w:t>59750</w:t>
      </w:r>
      <w:r>
        <w:rPr>
          <w:rFonts w:eastAsia="仿宋_GB2312"/>
          <w:sz w:val="32"/>
          <w:szCs w:val="32"/>
        </w:rPr>
        <w:t>万元</w:t>
      </w:r>
      <w:r>
        <w:rPr>
          <w:rFonts w:hint="eastAsia" w:eastAsia="仿宋_GB2312"/>
          <w:sz w:val="32"/>
          <w:szCs w:val="32"/>
        </w:rPr>
        <w:t>，</w:t>
      </w:r>
      <w:r>
        <w:rPr>
          <w:rStyle w:val="44"/>
          <w:rFonts w:hint="eastAsia" w:hAnsi="Times New Roman" w:eastAsia="仿宋_GB2312" w:cs="Times New Roman"/>
          <w:sz w:val="32"/>
          <w:szCs w:val="32"/>
        </w:rPr>
        <w:t>详见表9-2。</w:t>
      </w:r>
    </w:p>
    <w:p w14:paraId="6EFE74D8">
      <w:pPr>
        <w:widowControl/>
        <w:spacing w:line="360" w:lineRule="auto"/>
        <w:jc w:val="center"/>
        <w:rPr>
          <w:rFonts w:hint="eastAsia" w:eastAsia="黑体"/>
          <w:bCs/>
          <w:sz w:val="36"/>
          <w:szCs w:val="36"/>
        </w:rPr>
      </w:pPr>
      <w:r>
        <w:rPr>
          <w:b/>
          <w:kern w:val="0"/>
          <w:sz w:val="28"/>
          <w:szCs w:val="32"/>
        </w:rPr>
        <w:t>表</w:t>
      </w:r>
      <w:r>
        <w:rPr>
          <w:rFonts w:hint="eastAsia"/>
          <w:b/>
          <w:kern w:val="0"/>
          <w:sz w:val="28"/>
          <w:szCs w:val="32"/>
        </w:rPr>
        <w:t>9</w:t>
      </w:r>
      <w:r>
        <w:rPr>
          <w:b/>
          <w:kern w:val="0"/>
          <w:sz w:val="28"/>
          <w:szCs w:val="32"/>
        </w:rPr>
        <w:t>-2  经济林产业规划</w:t>
      </w:r>
      <w:r>
        <w:rPr>
          <w:rFonts w:hint="eastAsia"/>
          <w:b/>
          <w:kern w:val="0"/>
          <w:sz w:val="28"/>
          <w:szCs w:val="32"/>
        </w:rPr>
        <w:t>储备</w:t>
      </w:r>
      <w:r>
        <w:rPr>
          <w:b/>
          <w:kern w:val="0"/>
          <w:sz w:val="28"/>
          <w:szCs w:val="32"/>
        </w:rPr>
        <w:t>项目一览表</w:t>
      </w:r>
      <w:bookmarkStart w:id="115" w:name="_Toc32014"/>
    </w:p>
    <w:tbl>
      <w:tblPr>
        <w:tblStyle w:val="18"/>
        <w:tblW w:w="0" w:type="auto"/>
        <w:tblInd w:w="-176" w:type="dxa"/>
        <w:tblLayout w:type="fixed"/>
        <w:tblCellMar>
          <w:top w:w="0" w:type="dxa"/>
          <w:left w:w="108" w:type="dxa"/>
          <w:bottom w:w="0" w:type="dxa"/>
          <w:right w:w="108" w:type="dxa"/>
        </w:tblCellMar>
      </w:tblPr>
      <w:tblGrid>
        <w:gridCol w:w="711"/>
        <w:gridCol w:w="1546"/>
        <w:gridCol w:w="2989"/>
        <w:gridCol w:w="1417"/>
        <w:gridCol w:w="1534"/>
        <w:gridCol w:w="1327"/>
        <w:gridCol w:w="1318"/>
        <w:gridCol w:w="3476"/>
      </w:tblGrid>
      <w:tr w14:paraId="4110FE06">
        <w:tblPrEx>
          <w:tblCellMar>
            <w:top w:w="0" w:type="dxa"/>
            <w:left w:w="108" w:type="dxa"/>
            <w:bottom w:w="0" w:type="dxa"/>
            <w:right w:w="108" w:type="dxa"/>
          </w:tblCellMar>
        </w:tblPrEx>
        <w:trPr>
          <w:trHeight w:val="680" w:hRule="atLeast"/>
          <w:tblHeader/>
        </w:trPr>
        <w:tc>
          <w:tcPr>
            <w:tcW w:w="711" w:type="dxa"/>
            <w:tcBorders>
              <w:top w:val="single" w:color="auto" w:sz="4" w:space="0"/>
              <w:left w:val="single" w:color="auto" w:sz="4" w:space="0"/>
              <w:bottom w:val="single" w:color="auto" w:sz="4" w:space="0"/>
              <w:right w:val="single" w:color="auto" w:sz="4" w:space="0"/>
            </w:tcBorders>
            <w:vAlign w:val="center"/>
          </w:tcPr>
          <w:p w14:paraId="32D57376">
            <w:pPr>
              <w:widowControl/>
              <w:jc w:val="center"/>
              <w:rPr>
                <w:rFonts w:ascii="宋体" w:hAnsi="宋体" w:cs="宋体"/>
                <w:b/>
                <w:bCs/>
                <w:kern w:val="0"/>
                <w:sz w:val="24"/>
              </w:rPr>
            </w:pPr>
            <w:r>
              <w:rPr>
                <w:rFonts w:hint="eastAsia" w:ascii="宋体" w:hAnsi="宋体" w:cs="宋体"/>
                <w:b/>
                <w:bCs/>
                <w:kern w:val="0"/>
                <w:sz w:val="24"/>
              </w:rPr>
              <w:t>序号</w:t>
            </w:r>
          </w:p>
        </w:tc>
        <w:tc>
          <w:tcPr>
            <w:tcW w:w="1546" w:type="dxa"/>
            <w:tcBorders>
              <w:top w:val="single" w:color="auto" w:sz="4" w:space="0"/>
              <w:left w:val="nil"/>
              <w:bottom w:val="single" w:color="auto" w:sz="4" w:space="0"/>
              <w:right w:val="single" w:color="auto" w:sz="4" w:space="0"/>
            </w:tcBorders>
            <w:vAlign w:val="center"/>
          </w:tcPr>
          <w:p w14:paraId="41BB4C69">
            <w:pPr>
              <w:widowControl/>
              <w:jc w:val="center"/>
              <w:rPr>
                <w:rFonts w:ascii="宋体" w:hAnsi="宋体" w:cs="宋体"/>
                <w:b/>
                <w:bCs/>
                <w:kern w:val="0"/>
                <w:sz w:val="24"/>
              </w:rPr>
            </w:pPr>
            <w:r>
              <w:rPr>
                <w:rFonts w:hint="eastAsia" w:ascii="宋体" w:hAnsi="宋体" w:cs="宋体"/>
                <w:b/>
                <w:bCs/>
                <w:kern w:val="0"/>
                <w:sz w:val="24"/>
              </w:rPr>
              <w:t>规划期</w:t>
            </w:r>
          </w:p>
        </w:tc>
        <w:tc>
          <w:tcPr>
            <w:tcW w:w="2989" w:type="dxa"/>
            <w:tcBorders>
              <w:top w:val="single" w:color="auto" w:sz="4" w:space="0"/>
              <w:left w:val="nil"/>
              <w:bottom w:val="single" w:color="auto" w:sz="4" w:space="0"/>
              <w:right w:val="single" w:color="auto" w:sz="4" w:space="0"/>
            </w:tcBorders>
            <w:vAlign w:val="center"/>
          </w:tcPr>
          <w:p w14:paraId="496F2A1E">
            <w:pPr>
              <w:widowControl/>
              <w:jc w:val="center"/>
              <w:rPr>
                <w:rFonts w:ascii="宋体" w:hAnsi="宋体" w:cs="宋体"/>
                <w:b/>
                <w:bCs/>
                <w:kern w:val="0"/>
                <w:sz w:val="24"/>
              </w:rPr>
            </w:pPr>
            <w:r>
              <w:rPr>
                <w:rFonts w:hint="eastAsia" w:ascii="宋体" w:hAnsi="宋体" w:cs="宋体"/>
                <w:b/>
                <w:bCs/>
                <w:kern w:val="0"/>
                <w:sz w:val="24"/>
              </w:rPr>
              <w:t>项目名称</w:t>
            </w:r>
          </w:p>
        </w:tc>
        <w:tc>
          <w:tcPr>
            <w:tcW w:w="1417" w:type="dxa"/>
            <w:tcBorders>
              <w:top w:val="single" w:color="auto" w:sz="4" w:space="0"/>
              <w:left w:val="nil"/>
              <w:bottom w:val="single" w:color="auto" w:sz="4" w:space="0"/>
              <w:right w:val="single" w:color="auto" w:sz="4" w:space="0"/>
            </w:tcBorders>
            <w:vAlign w:val="center"/>
          </w:tcPr>
          <w:p w14:paraId="48AF8FCC">
            <w:pPr>
              <w:widowControl/>
              <w:jc w:val="center"/>
              <w:rPr>
                <w:rFonts w:ascii="宋体" w:hAnsi="宋体" w:cs="宋体"/>
                <w:b/>
                <w:bCs/>
                <w:kern w:val="0"/>
                <w:sz w:val="24"/>
              </w:rPr>
            </w:pPr>
            <w:r>
              <w:rPr>
                <w:rFonts w:hint="eastAsia" w:ascii="宋体" w:hAnsi="宋体" w:cs="宋体"/>
                <w:b/>
                <w:bCs/>
                <w:kern w:val="0"/>
                <w:sz w:val="24"/>
              </w:rPr>
              <w:t>建设规模</w:t>
            </w:r>
          </w:p>
        </w:tc>
        <w:tc>
          <w:tcPr>
            <w:tcW w:w="1534" w:type="dxa"/>
            <w:tcBorders>
              <w:top w:val="single" w:color="auto" w:sz="4" w:space="0"/>
              <w:left w:val="nil"/>
              <w:bottom w:val="single" w:color="auto" w:sz="4" w:space="0"/>
              <w:right w:val="single" w:color="auto" w:sz="4" w:space="0"/>
            </w:tcBorders>
            <w:vAlign w:val="center"/>
          </w:tcPr>
          <w:p w14:paraId="122C6937">
            <w:pPr>
              <w:widowControl/>
              <w:jc w:val="center"/>
              <w:rPr>
                <w:rFonts w:ascii="宋体" w:hAnsi="宋体" w:cs="宋体"/>
                <w:b/>
                <w:bCs/>
                <w:kern w:val="0"/>
                <w:sz w:val="24"/>
              </w:rPr>
            </w:pPr>
            <w:r>
              <w:rPr>
                <w:rFonts w:hint="eastAsia" w:ascii="宋体" w:hAnsi="宋体" w:cs="宋体"/>
                <w:b/>
                <w:bCs/>
                <w:kern w:val="0"/>
                <w:sz w:val="24"/>
              </w:rPr>
              <w:t>建设性质</w:t>
            </w:r>
          </w:p>
        </w:tc>
        <w:tc>
          <w:tcPr>
            <w:tcW w:w="1327" w:type="dxa"/>
            <w:tcBorders>
              <w:top w:val="single" w:color="auto" w:sz="4" w:space="0"/>
              <w:left w:val="nil"/>
              <w:bottom w:val="single" w:color="auto" w:sz="4" w:space="0"/>
              <w:right w:val="single" w:color="auto" w:sz="4" w:space="0"/>
            </w:tcBorders>
            <w:vAlign w:val="center"/>
          </w:tcPr>
          <w:p w14:paraId="4CCD303B">
            <w:pPr>
              <w:widowControl/>
              <w:jc w:val="center"/>
              <w:rPr>
                <w:rFonts w:hint="eastAsia" w:ascii="宋体" w:hAnsi="宋体" w:cs="宋体"/>
                <w:b/>
                <w:bCs/>
                <w:kern w:val="0"/>
                <w:sz w:val="24"/>
              </w:rPr>
            </w:pPr>
            <w:r>
              <w:rPr>
                <w:rFonts w:hint="eastAsia" w:ascii="宋体" w:hAnsi="宋体" w:cs="宋体"/>
                <w:b/>
                <w:bCs/>
                <w:kern w:val="0"/>
                <w:sz w:val="24"/>
              </w:rPr>
              <w:t>投资估算</w:t>
            </w:r>
          </w:p>
          <w:p w14:paraId="76C02BAF">
            <w:pPr>
              <w:widowControl/>
              <w:jc w:val="center"/>
              <w:rPr>
                <w:rFonts w:ascii="宋体" w:hAnsi="宋体" w:cs="宋体"/>
                <w:b/>
                <w:bCs/>
                <w:kern w:val="0"/>
                <w:sz w:val="24"/>
              </w:rPr>
            </w:pPr>
            <w:r>
              <w:rPr>
                <w:rFonts w:hint="eastAsia" w:ascii="宋体" w:hAnsi="宋体" w:cs="宋体"/>
                <w:b/>
                <w:bCs/>
                <w:kern w:val="0"/>
                <w:sz w:val="24"/>
              </w:rPr>
              <w:t>（万元）</w:t>
            </w:r>
          </w:p>
        </w:tc>
        <w:tc>
          <w:tcPr>
            <w:tcW w:w="1318" w:type="dxa"/>
            <w:tcBorders>
              <w:top w:val="single" w:color="auto" w:sz="4" w:space="0"/>
              <w:left w:val="nil"/>
              <w:bottom w:val="single" w:color="auto" w:sz="4" w:space="0"/>
              <w:right w:val="single" w:color="auto" w:sz="4" w:space="0"/>
            </w:tcBorders>
            <w:vAlign w:val="center"/>
          </w:tcPr>
          <w:p w14:paraId="4558DA20">
            <w:pPr>
              <w:widowControl/>
              <w:jc w:val="center"/>
              <w:rPr>
                <w:rFonts w:ascii="宋体" w:hAnsi="宋体" w:cs="宋体"/>
                <w:b/>
                <w:bCs/>
                <w:kern w:val="0"/>
                <w:sz w:val="24"/>
              </w:rPr>
            </w:pPr>
            <w:r>
              <w:rPr>
                <w:rFonts w:hint="eastAsia" w:ascii="宋体" w:hAnsi="宋体" w:cs="宋体"/>
                <w:b/>
                <w:bCs/>
                <w:kern w:val="0"/>
                <w:sz w:val="24"/>
              </w:rPr>
              <w:t>资金来源</w:t>
            </w:r>
          </w:p>
        </w:tc>
        <w:tc>
          <w:tcPr>
            <w:tcW w:w="3476" w:type="dxa"/>
            <w:tcBorders>
              <w:top w:val="single" w:color="auto" w:sz="4" w:space="0"/>
              <w:left w:val="nil"/>
              <w:bottom w:val="single" w:color="auto" w:sz="4" w:space="0"/>
              <w:right w:val="single" w:color="auto" w:sz="4" w:space="0"/>
            </w:tcBorders>
            <w:vAlign w:val="center"/>
          </w:tcPr>
          <w:p w14:paraId="7CB4D9B5">
            <w:pPr>
              <w:widowControl/>
              <w:jc w:val="center"/>
              <w:rPr>
                <w:rFonts w:ascii="宋体" w:hAnsi="宋体" w:cs="宋体"/>
                <w:b/>
                <w:bCs/>
                <w:kern w:val="0"/>
                <w:sz w:val="24"/>
              </w:rPr>
            </w:pPr>
            <w:r>
              <w:rPr>
                <w:rFonts w:hint="eastAsia" w:ascii="宋体" w:hAnsi="宋体" w:cs="宋体"/>
                <w:b/>
                <w:bCs/>
                <w:kern w:val="0"/>
                <w:sz w:val="24"/>
              </w:rPr>
              <w:t>建设地点</w:t>
            </w:r>
          </w:p>
        </w:tc>
      </w:tr>
      <w:tr w14:paraId="1F91C17C">
        <w:tblPrEx>
          <w:tblCellMar>
            <w:top w:w="0" w:type="dxa"/>
            <w:left w:w="108" w:type="dxa"/>
            <w:bottom w:w="0" w:type="dxa"/>
            <w:right w:w="108" w:type="dxa"/>
          </w:tblCellMar>
        </w:tblPrEx>
        <w:trPr>
          <w:trHeight w:val="506" w:hRule="atLeast"/>
        </w:trPr>
        <w:tc>
          <w:tcPr>
            <w:tcW w:w="711" w:type="dxa"/>
            <w:tcBorders>
              <w:top w:val="nil"/>
              <w:left w:val="single" w:color="auto" w:sz="4" w:space="0"/>
              <w:bottom w:val="single" w:color="auto" w:sz="4" w:space="0"/>
              <w:right w:val="single" w:color="auto" w:sz="4" w:space="0"/>
            </w:tcBorders>
            <w:vAlign w:val="center"/>
          </w:tcPr>
          <w:p w14:paraId="43EDFD07">
            <w:pPr>
              <w:widowControl/>
              <w:jc w:val="center"/>
              <w:rPr>
                <w:rFonts w:ascii="宋体" w:hAnsi="宋体" w:cs="宋体"/>
                <w:b/>
                <w:bCs/>
                <w:kern w:val="0"/>
                <w:sz w:val="24"/>
              </w:rPr>
            </w:pPr>
            <w:r>
              <w:rPr>
                <w:rFonts w:hint="eastAsia" w:ascii="宋体" w:hAnsi="宋体" w:cs="宋体"/>
                <w:b/>
                <w:bCs/>
                <w:kern w:val="0"/>
                <w:sz w:val="24"/>
              </w:rPr>
              <w:t>　</w:t>
            </w:r>
          </w:p>
        </w:tc>
        <w:tc>
          <w:tcPr>
            <w:tcW w:w="1546" w:type="dxa"/>
            <w:tcBorders>
              <w:top w:val="nil"/>
              <w:left w:val="nil"/>
              <w:bottom w:val="single" w:color="auto" w:sz="4" w:space="0"/>
              <w:right w:val="single" w:color="auto" w:sz="4" w:space="0"/>
            </w:tcBorders>
            <w:vAlign w:val="center"/>
          </w:tcPr>
          <w:p w14:paraId="1C10CF03">
            <w:pPr>
              <w:widowControl/>
              <w:jc w:val="center"/>
              <w:rPr>
                <w:rFonts w:ascii="宋体" w:hAnsi="宋体" w:cs="宋体"/>
                <w:b/>
                <w:bCs/>
                <w:kern w:val="0"/>
                <w:sz w:val="24"/>
              </w:rPr>
            </w:pPr>
            <w:r>
              <w:rPr>
                <w:rFonts w:hint="eastAsia" w:ascii="宋体" w:hAnsi="宋体" w:cs="宋体"/>
                <w:b/>
                <w:bCs/>
                <w:kern w:val="0"/>
                <w:sz w:val="24"/>
              </w:rPr>
              <w:t>　</w:t>
            </w:r>
          </w:p>
        </w:tc>
        <w:tc>
          <w:tcPr>
            <w:tcW w:w="2989" w:type="dxa"/>
            <w:tcBorders>
              <w:top w:val="nil"/>
              <w:left w:val="nil"/>
              <w:bottom w:val="single" w:color="auto" w:sz="4" w:space="0"/>
              <w:right w:val="single" w:color="auto" w:sz="4" w:space="0"/>
            </w:tcBorders>
            <w:vAlign w:val="center"/>
          </w:tcPr>
          <w:p w14:paraId="4BE254EB">
            <w:pPr>
              <w:widowControl/>
              <w:jc w:val="center"/>
              <w:rPr>
                <w:rFonts w:ascii="宋体" w:hAnsi="宋体" w:cs="宋体"/>
                <w:b/>
                <w:bCs/>
                <w:kern w:val="0"/>
                <w:sz w:val="24"/>
              </w:rPr>
            </w:pPr>
            <w:r>
              <w:rPr>
                <w:rFonts w:hint="eastAsia" w:ascii="宋体" w:hAnsi="宋体" w:cs="宋体"/>
                <w:b/>
                <w:bCs/>
                <w:kern w:val="0"/>
                <w:sz w:val="24"/>
              </w:rPr>
              <w:t>总投资</w:t>
            </w:r>
          </w:p>
        </w:tc>
        <w:tc>
          <w:tcPr>
            <w:tcW w:w="1417" w:type="dxa"/>
            <w:tcBorders>
              <w:top w:val="nil"/>
              <w:left w:val="nil"/>
              <w:bottom w:val="single" w:color="auto" w:sz="4" w:space="0"/>
              <w:right w:val="single" w:color="auto" w:sz="4" w:space="0"/>
            </w:tcBorders>
            <w:vAlign w:val="center"/>
          </w:tcPr>
          <w:p w14:paraId="44E0A95E">
            <w:pPr>
              <w:widowControl/>
              <w:jc w:val="center"/>
              <w:rPr>
                <w:rFonts w:ascii="宋体" w:hAnsi="宋体" w:cs="宋体"/>
                <w:b/>
                <w:bCs/>
                <w:kern w:val="0"/>
                <w:sz w:val="24"/>
              </w:rPr>
            </w:pPr>
            <w:r>
              <w:rPr>
                <w:rFonts w:hint="eastAsia" w:ascii="宋体" w:hAnsi="宋体" w:cs="宋体"/>
                <w:b/>
                <w:bCs/>
                <w:kern w:val="0"/>
                <w:sz w:val="24"/>
              </w:rPr>
              <w:t>　</w:t>
            </w:r>
          </w:p>
        </w:tc>
        <w:tc>
          <w:tcPr>
            <w:tcW w:w="1534" w:type="dxa"/>
            <w:tcBorders>
              <w:top w:val="nil"/>
              <w:left w:val="nil"/>
              <w:bottom w:val="single" w:color="auto" w:sz="4" w:space="0"/>
              <w:right w:val="single" w:color="auto" w:sz="4" w:space="0"/>
            </w:tcBorders>
            <w:vAlign w:val="center"/>
          </w:tcPr>
          <w:p w14:paraId="79CE477F">
            <w:pPr>
              <w:widowControl/>
              <w:jc w:val="center"/>
              <w:rPr>
                <w:rFonts w:ascii="宋体" w:hAnsi="宋体" w:cs="宋体"/>
                <w:b/>
                <w:bCs/>
                <w:kern w:val="0"/>
                <w:sz w:val="24"/>
              </w:rPr>
            </w:pPr>
            <w:r>
              <w:rPr>
                <w:rFonts w:hint="eastAsia" w:ascii="宋体" w:hAnsi="宋体" w:cs="宋体"/>
                <w:b/>
                <w:bCs/>
                <w:kern w:val="0"/>
                <w:sz w:val="24"/>
              </w:rPr>
              <w:t>　</w:t>
            </w:r>
          </w:p>
        </w:tc>
        <w:tc>
          <w:tcPr>
            <w:tcW w:w="1327" w:type="dxa"/>
            <w:tcBorders>
              <w:top w:val="nil"/>
              <w:left w:val="nil"/>
              <w:bottom w:val="single" w:color="auto" w:sz="4" w:space="0"/>
              <w:right w:val="single" w:color="auto" w:sz="4" w:space="0"/>
            </w:tcBorders>
            <w:vAlign w:val="center"/>
          </w:tcPr>
          <w:p w14:paraId="7999D6DC">
            <w:pPr>
              <w:widowControl/>
              <w:jc w:val="center"/>
              <w:rPr>
                <w:b/>
                <w:bCs/>
                <w:kern w:val="0"/>
                <w:sz w:val="24"/>
              </w:rPr>
            </w:pPr>
            <w:r>
              <w:rPr>
                <w:rFonts w:hint="eastAsia"/>
                <w:b/>
                <w:bCs/>
                <w:kern w:val="0"/>
                <w:sz w:val="24"/>
              </w:rPr>
              <w:t>123500</w:t>
            </w:r>
          </w:p>
        </w:tc>
        <w:tc>
          <w:tcPr>
            <w:tcW w:w="1318" w:type="dxa"/>
            <w:tcBorders>
              <w:top w:val="nil"/>
              <w:left w:val="nil"/>
              <w:bottom w:val="single" w:color="auto" w:sz="4" w:space="0"/>
              <w:right w:val="single" w:color="auto" w:sz="4" w:space="0"/>
            </w:tcBorders>
            <w:vAlign w:val="center"/>
          </w:tcPr>
          <w:p w14:paraId="1DD49C5A">
            <w:pPr>
              <w:widowControl/>
              <w:jc w:val="center"/>
              <w:rPr>
                <w:rFonts w:ascii="宋体" w:hAnsi="宋体" w:cs="宋体"/>
                <w:b/>
                <w:bCs/>
                <w:kern w:val="0"/>
                <w:sz w:val="24"/>
              </w:rPr>
            </w:pPr>
            <w:r>
              <w:rPr>
                <w:rFonts w:hint="eastAsia" w:ascii="宋体" w:hAnsi="宋体" w:cs="宋体"/>
                <w:b/>
                <w:bCs/>
                <w:kern w:val="0"/>
                <w:sz w:val="24"/>
              </w:rPr>
              <w:t>　</w:t>
            </w:r>
          </w:p>
        </w:tc>
        <w:tc>
          <w:tcPr>
            <w:tcW w:w="3476" w:type="dxa"/>
            <w:tcBorders>
              <w:top w:val="nil"/>
              <w:left w:val="nil"/>
              <w:bottom w:val="single" w:color="auto" w:sz="4" w:space="0"/>
              <w:right w:val="single" w:color="auto" w:sz="4" w:space="0"/>
            </w:tcBorders>
            <w:vAlign w:val="center"/>
          </w:tcPr>
          <w:p w14:paraId="007EE7DD">
            <w:pPr>
              <w:widowControl/>
              <w:jc w:val="center"/>
              <w:rPr>
                <w:rFonts w:ascii="宋体" w:hAnsi="宋体" w:cs="宋体"/>
                <w:b/>
                <w:bCs/>
                <w:kern w:val="0"/>
                <w:sz w:val="24"/>
              </w:rPr>
            </w:pPr>
            <w:r>
              <w:rPr>
                <w:rFonts w:hint="eastAsia" w:ascii="宋体" w:hAnsi="宋体" w:cs="宋体"/>
                <w:b/>
                <w:bCs/>
                <w:kern w:val="0"/>
                <w:sz w:val="24"/>
              </w:rPr>
              <w:t>　</w:t>
            </w:r>
          </w:p>
        </w:tc>
      </w:tr>
      <w:tr w14:paraId="223BEF5A">
        <w:tblPrEx>
          <w:tblCellMar>
            <w:top w:w="0" w:type="dxa"/>
            <w:left w:w="108" w:type="dxa"/>
            <w:bottom w:w="0" w:type="dxa"/>
            <w:right w:w="108" w:type="dxa"/>
          </w:tblCellMar>
        </w:tblPrEx>
        <w:trPr>
          <w:trHeight w:val="315" w:hRule="atLeast"/>
        </w:trPr>
        <w:tc>
          <w:tcPr>
            <w:tcW w:w="711" w:type="dxa"/>
            <w:vMerge w:val="restart"/>
            <w:tcBorders>
              <w:top w:val="nil"/>
              <w:left w:val="single" w:color="auto" w:sz="4" w:space="0"/>
              <w:bottom w:val="single" w:color="auto" w:sz="4" w:space="0"/>
              <w:right w:val="single" w:color="auto" w:sz="4" w:space="0"/>
            </w:tcBorders>
            <w:vAlign w:val="center"/>
          </w:tcPr>
          <w:p w14:paraId="35B86E5E">
            <w:pPr>
              <w:widowControl/>
              <w:jc w:val="center"/>
              <w:rPr>
                <w:kern w:val="0"/>
                <w:sz w:val="24"/>
              </w:rPr>
            </w:pPr>
            <w:r>
              <w:rPr>
                <w:kern w:val="0"/>
                <w:sz w:val="24"/>
              </w:rPr>
              <w:t>1</w:t>
            </w:r>
          </w:p>
        </w:tc>
        <w:tc>
          <w:tcPr>
            <w:tcW w:w="1546" w:type="dxa"/>
            <w:vMerge w:val="restart"/>
            <w:tcBorders>
              <w:top w:val="nil"/>
              <w:left w:val="single" w:color="auto" w:sz="4" w:space="0"/>
              <w:bottom w:val="single" w:color="auto" w:sz="4" w:space="0"/>
              <w:right w:val="single" w:color="auto" w:sz="4" w:space="0"/>
            </w:tcBorders>
            <w:vAlign w:val="center"/>
          </w:tcPr>
          <w:p w14:paraId="7F6ED397">
            <w:pPr>
              <w:widowControl/>
              <w:jc w:val="center"/>
              <w:rPr>
                <w:rFonts w:ascii="宋体" w:hAnsi="宋体" w:cs="宋体"/>
                <w:kern w:val="0"/>
                <w:sz w:val="24"/>
              </w:rPr>
            </w:pPr>
            <w:r>
              <w:rPr>
                <w:rFonts w:hint="eastAsia" w:ascii="宋体" w:hAnsi="宋体" w:cs="宋体"/>
                <w:kern w:val="0"/>
                <w:sz w:val="24"/>
              </w:rPr>
              <w:t>近期（</w:t>
            </w:r>
            <w:r>
              <w:rPr>
                <w:kern w:val="0"/>
                <w:sz w:val="24"/>
              </w:rPr>
              <w:t>2021~2025</w:t>
            </w:r>
            <w:r>
              <w:rPr>
                <w:rFonts w:hint="eastAsia" w:ascii="宋体" w:hAnsi="宋体" w:cs="宋体"/>
                <w:kern w:val="0"/>
                <w:sz w:val="24"/>
              </w:rPr>
              <w:t>年）</w:t>
            </w:r>
          </w:p>
        </w:tc>
        <w:tc>
          <w:tcPr>
            <w:tcW w:w="2989" w:type="dxa"/>
            <w:tcBorders>
              <w:top w:val="nil"/>
              <w:left w:val="nil"/>
              <w:bottom w:val="single" w:color="auto" w:sz="4" w:space="0"/>
              <w:right w:val="single" w:color="auto" w:sz="4" w:space="0"/>
            </w:tcBorders>
            <w:vAlign w:val="center"/>
          </w:tcPr>
          <w:p w14:paraId="59B83C4B">
            <w:pPr>
              <w:widowControl/>
              <w:jc w:val="center"/>
              <w:rPr>
                <w:rFonts w:ascii="宋体" w:hAnsi="宋体" w:cs="宋体"/>
                <w:kern w:val="0"/>
                <w:sz w:val="24"/>
              </w:rPr>
            </w:pPr>
            <w:r>
              <w:rPr>
                <w:rFonts w:hint="eastAsia" w:ascii="宋体" w:hAnsi="宋体" w:cs="宋体"/>
                <w:kern w:val="0"/>
                <w:sz w:val="24"/>
              </w:rPr>
              <w:t>提高经济林产品质和产量</w:t>
            </w:r>
          </w:p>
        </w:tc>
        <w:tc>
          <w:tcPr>
            <w:tcW w:w="1417" w:type="dxa"/>
            <w:tcBorders>
              <w:top w:val="nil"/>
              <w:left w:val="nil"/>
              <w:bottom w:val="single" w:color="auto" w:sz="4" w:space="0"/>
              <w:right w:val="single" w:color="auto" w:sz="4" w:space="0"/>
            </w:tcBorders>
            <w:vAlign w:val="center"/>
          </w:tcPr>
          <w:p w14:paraId="0BEDED94">
            <w:pPr>
              <w:widowControl/>
              <w:jc w:val="center"/>
              <w:rPr>
                <w:kern w:val="0"/>
                <w:sz w:val="24"/>
              </w:rPr>
            </w:pPr>
            <w:r>
              <w:rPr>
                <w:kern w:val="0"/>
                <w:sz w:val="24"/>
              </w:rPr>
              <w:t>—</w:t>
            </w:r>
          </w:p>
        </w:tc>
        <w:tc>
          <w:tcPr>
            <w:tcW w:w="1534" w:type="dxa"/>
            <w:tcBorders>
              <w:top w:val="nil"/>
              <w:left w:val="nil"/>
              <w:bottom w:val="single" w:color="auto" w:sz="4" w:space="0"/>
              <w:right w:val="single" w:color="auto" w:sz="4" w:space="0"/>
            </w:tcBorders>
            <w:vAlign w:val="center"/>
          </w:tcPr>
          <w:p w14:paraId="41C0028F">
            <w:pPr>
              <w:widowControl/>
              <w:jc w:val="center"/>
              <w:rPr>
                <w:rFonts w:ascii="宋体" w:hAnsi="宋体" w:cs="宋体"/>
                <w:kern w:val="0"/>
                <w:sz w:val="24"/>
              </w:rPr>
            </w:pPr>
            <w:r>
              <w:rPr>
                <w:rFonts w:hint="eastAsia" w:ascii="宋体" w:hAnsi="宋体" w:cs="宋体"/>
                <w:kern w:val="0"/>
                <w:sz w:val="24"/>
              </w:rPr>
              <w:t>提质</w:t>
            </w:r>
          </w:p>
        </w:tc>
        <w:tc>
          <w:tcPr>
            <w:tcW w:w="1327" w:type="dxa"/>
            <w:tcBorders>
              <w:top w:val="nil"/>
              <w:left w:val="nil"/>
              <w:bottom w:val="single" w:color="auto" w:sz="4" w:space="0"/>
              <w:right w:val="single" w:color="auto" w:sz="4" w:space="0"/>
            </w:tcBorders>
            <w:vAlign w:val="center"/>
          </w:tcPr>
          <w:p w14:paraId="7E2EFFD6">
            <w:pPr>
              <w:widowControl/>
              <w:jc w:val="center"/>
              <w:rPr>
                <w:kern w:val="0"/>
                <w:sz w:val="24"/>
              </w:rPr>
            </w:pPr>
            <w:r>
              <w:rPr>
                <w:kern w:val="0"/>
                <w:sz w:val="24"/>
              </w:rPr>
              <w:t>500</w:t>
            </w:r>
            <w:r>
              <w:rPr>
                <w:rFonts w:hint="eastAsia"/>
                <w:kern w:val="0"/>
                <w:sz w:val="24"/>
              </w:rPr>
              <w:t>0</w:t>
            </w:r>
          </w:p>
        </w:tc>
        <w:tc>
          <w:tcPr>
            <w:tcW w:w="1318" w:type="dxa"/>
            <w:tcBorders>
              <w:top w:val="nil"/>
              <w:left w:val="nil"/>
              <w:bottom w:val="single" w:color="auto" w:sz="4" w:space="0"/>
              <w:right w:val="single" w:color="auto" w:sz="4" w:space="0"/>
            </w:tcBorders>
            <w:vAlign w:val="center"/>
          </w:tcPr>
          <w:p w14:paraId="6C19B76A">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319E5552">
            <w:pPr>
              <w:widowControl/>
              <w:jc w:val="center"/>
              <w:rPr>
                <w:rFonts w:ascii="宋体" w:hAnsi="宋体" w:cs="宋体"/>
                <w:kern w:val="0"/>
                <w:sz w:val="24"/>
              </w:rPr>
            </w:pPr>
            <w:r>
              <w:rPr>
                <w:rFonts w:hint="eastAsia" w:ascii="宋体" w:hAnsi="宋体" w:cs="宋体"/>
                <w:kern w:val="0"/>
                <w:sz w:val="24"/>
              </w:rPr>
              <w:t>全市范围芒果、椰子、槟榔</w:t>
            </w:r>
          </w:p>
        </w:tc>
      </w:tr>
      <w:tr w14:paraId="4017F84C">
        <w:tblPrEx>
          <w:tblCellMar>
            <w:top w:w="0" w:type="dxa"/>
            <w:left w:w="108" w:type="dxa"/>
            <w:bottom w:w="0" w:type="dxa"/>
            <w:right w:w="108" w:type="dxa"/>
          </w:tblCellMar>
        </w:tblPrEx>
        <w:trPr>
          <w:trHeight w:val="375" w:hRule="atLeast"/>
        </w:trPr>
        <w:tc>
          <w:tcPr>
            <w:tcW w:w="711" w:type="dxa"/>
            <w:vMerge w:val="continue"/>
            <w:tcBorders>
              <w:top w:val="nil"/>
              <w:left w:val="single" w:color="auto" w:sz="4" w:space="0"/>
              <w:bottom w:val="single" w:color="auto" w:sz="4" w:space="0"/>
              <w:right w:val="single" w:color="auto" w:sz="4" w:space="0"/>
            </w:tcBorders>
            <w:vAlign w:val="center"/>
          </w:tcPr>
          <w:p w14:paraId="705A0AE3">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49609356">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1901213D">
            <w:pPr>
              <w:widowControl/>
              <w:jc w:val="center"/>
              <w:rPr>
                <w:rFonts w:ascii="宋体" w:hAnsi="宋体" w:cs="宋体"/>
                <w:kern w:val="0"/>
                <w:sz w:val="24"/>
              </w:rPr>
            </w:pPr>
            <w:r>
              <w:rPr>
                <w:rFonts w:hint="eastAsia" w:ascii="宋体" w:hAnsi="宋体" w:cs="宋体"/>
                <w:kern w:val="0"/>
                <w:sz w:val="24"/>
              </w:rPr>
              <w:t>改造低产经济林（含新造）</w:t>
            </w:r>
          </w:p>
        </w:tc>
        <w:tc>
          <w:tcPr>
            <w:tcW w:w="1417" w:type="dxa"/>
            <w:tcBorders>
              <w:top w:val="nil"/>
              <w:left w:val="nil"/>
              <w:bottom w:val="single" w:color="auto" w:sz="4" w:space="0"/>
              <w:right w:val="single" w:color="auto" w:sz="4" w:space="0"/>
            </w:tcBorders>
            <w:vAlign w:val="center"/>
          </w:tcPr>
          <w:p w14:paraId="5B64D037">
            <w:pPr>
              <w:widowControl/>
              <w:jc w:val="center"/>
              <w:rPr>
                <w:kern w:val="0"/>
                <w:sz w:val="24"/>
              </w:rPr>
            </w:pPr>
            <w:r>
              <w:rPr>
                <w:kern w:val="0"/>
                <w:sz w:val="24"/>
              </w:rPr>
              <w:t>1200hm</w:t>
            </w:r>
            <w:r>
              <w:rPr>
                <w:kern w:val="0"/>
                <w:sz w:val="24"/>
                <w:vertAlign w:val="superscript"/>
              </w:rPr>
              <w:t>2</w:t>
            </w:r>
          </w:p>
        </w:tc>
        <w:tc>
          <w:tcPr>
            <w:tcW w:w="1534" w:type="dxa"/>
            <w:tcBorders>
              <w:top w:val="nil"/>
              <w:left w:val="nil"/>
              <w:bottom w:val="single" w:color="auto" w:sz="4" w:space="0"/>
              <w:right w:val="single" w:color="auto" w:sz="4" w:space="0"/>
            </w:tcBorders>
            <w:vAlign w:val="center"/>
          </w:tcPr>
          <w:p w14:paraId="4594AA84">
            <w:pPr>
              <w:widowControl/>
              <w:jc w:val="center"/>
              <w:rPr>
                <w:rFonts w:ascii="宋体" w:hAnsi="宋体" w:cs="宋体"/>
                <w:kern w:val="0"/>
                <w:sz w:val="24"/>
              </w:rPr>
            </w:pPr>
            <w:r>
              <w:rPr>
                <w:rFonts w:hint="eastAsia" w:ascii="宋体" w:hAnsi="宋体" w:cs="宋体"/>
                <w:kern w:val="0"/>
                <w:sz w:val="24"/>
              </w:rPr>
              <w:t>提质</w:t>
            </w:r>
          </w:p>
        </w:tc>
        <w:tc>
          <w:tcPr>
            <w:tcW w:w="1327" w:type="dxa"/>
            <w:tcBorders>
              <w:top w:val="nil"/>
              <w:left w:val="nil"/>
              <w:bottom w:val="single" w:color="auto" w:sz="4" w:space="0"/>
              <w:right w:val="single" w:color="auto" w:sz="4" w:space="0"/>
            </w:tcBorders>
            <w:vAlign w:val="center"/>
          </w:tcPr>
          <w:p w14:paraId="735E704D">
            <w:pPr>
              <w:widowControl/>
              <w:jc w:val="center"/>
              <w:rPr>
                <w:kern w:val="0"/>
                <w:sz w:val="24"/>
              </w:rPr>
            </w:pPr>
            <w:r>
              <w:rPr>
                <w:kern w:val="0"/>
                <w:sz w:val="24"/>
              </w:rPr>
              <w:t>14000</w:t>
            </w:r>
          </w:p>
        </w:tc>
        <w:tc>
          <w:tcPr>
            <w:tcW w:w="1318" w:type="dxa"/>
            <w:tcBorders>
              <w:top w:val="nil"/>
              <w:left w:val="nil"/>
              <w:bottom w:val="single" w:color="auto" w:sz="4" w:space="0"/>
              <w:right w:val="single" w:color="auto" w:sz="4" w:space="0"/>
            </w:tcBorders>
            <w:vAlign w:val="center"/>
          </w:tcPr>
          <w:p w14:paraId="09073ED3">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7601DA13">
            <w:pPr>
              <w:widowControl/>
              <w:jc w:val="center"/>
              <w:rPr>
                <w:rFonts w:ascii="宋体" w:hAnsi="宋体" w:cs="宋体"/>
                <w:kern w:val="0"/>
                <w:sz w:val="24"/>
              </w:rPr>
            </w:pPr>
            <w:r>
              <w:rPr>
                <w:rFonts w:hint="eastAsia" w:ascii="宋体" w:hAnsi="宋体" w:cs="宋体"/>
                <w:kern w:val="0"/>
                <w:sz w:val="24"/>
              </w:rPr>
              <w:t>全市范围</w:t>
            </w:r>
          </w:p>
        </w:tc>
      </w:tr>
      <w:tr w14:paraId="5F84CDD7">
        <w:tblPrEx>
          <w:tblCellMar>
            <w:top w:w="0" w:type="dxa"/>
            <w:left w:w="108" w:type="dxa"/>
            <w:bottom w:w="0" w:type="dxa"/>
            <w:right w:w="108" w:type="dxa"/>
          </w:tblCellMar>
        </w:tblPrEx>
        <w:trPr>
          <w:trHeight w:val="375" w:hRule="atLeast"/>
        </w:trPr>
        <w:tc>
          <w:tcPr>
            <w:tcW w:w="711" w:type="dxa"/>
            <w:vMerge w:val="continue"/>
            <w:tcBorders>
              <w:top w:val="nil"/>
              <w:left w:val="single" w:color="auto" w:sz="4" w:space="0"/>
              <w:bottom w:val="single" w:color="auto" w:sz="4" w:space="0"/>
              <w:right w:val="single" w:color="auto" w:sz="4" w:space="0"/>
            </w:tcBorders>
            <w:vAlign w:val="center"/>
          </w:tcPr>
          <w:p w14:paraId="729D5CF0">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A036185">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0EC0E863">
            <w:pPr>
              <w:widowControl/>
              <w:jc w:val="center"/>
              <w:rPr>
                <w:rFonts w:ascii="宋体" w:hAnsi="宋体" w:cs="宋体"/>
                <w:kern w:val="0"/>
                <w:sz w:val="24"/>
              </w:rPr>
            </w:pPr>
            <w:r>
              <w:rPr>
                <w:rFonts w:hint="eastAsia" w:ascii="宋体" w:hAnsi="宋体" w:cs="宋体"/>
                <w:kern w:val="0"/>
                <w:sz w:val="24"/>
              </w:rPr>
              <w:t>建设现代标准化示范胶园</w:t>
            </w:r>
          </w:p>
        </w:tc>
        <w:tc>
          <w:tcPr>
            <w:tcW w:w="1417" w:type="dxa"/>
            <w:tcBorders>
              <w:top w:val="nil"/>
              <w:left w:val="nil"/>
              <w:bottom w:val="single" w:color="auto" w:sz="4" w:space="0"/>
              <w:right w:val="single" w:color="auto" w:sz="4" w:space="0"/>
            </w:tcBorders>
            <w:vAlign w:val="center"/>
          </w:tcPr>
          <w:p w14:paraId="199FD2DE">
            <w:pPr>
              <w:widowControl/>
              <w:jc w:val="center"/>
              <w:rPr>
                <w:kern w:val="0"/>
                <w:sz w:val="24"/>
              </w:rPr>
            </w:pPr>
            <w:r>
              <w:rPr>
                <w:kern w:val="0"/>
                <w:sz w:val="24"/>
              </w:rPr>
              <w:t>2000 hm</w:t>
            </w:r>
            <w:r>
              <w:rPr>
                <w:kern w:val="0"/>
                <w:sz w:val="24"/>
                <w:vertAlign w:val="superscript"/>
              </w:rPr>
              <w:t>2</w:t>
            </w:r>
          </w:p>
        </w:tc>
        <w:tc>
          <w:tcPr>
            <w:tcW w:w="1534" w:type="dxa"/>
            <w:tcBorders>
              <w:top w:val="nil"/>
              <w:left w:val="nil"/>
              <w:bottom w:val="single" w:color="auto" w:sz="4" w:space="0"/>
              <w:right w:val="single" w:color="auto" w:sz="4" w:space="0"/>
            </w:tcBorders>
            <w:vAlign w:val="center"/>
          </w:tcPr>
          <w:p w14:paraId="23694B44">
            <w:pPr>
              <w:widowControl/>
              <w:jc w:val="center"/>
              <w:rPr>
                <w:rFonts w:ascii="宋体" w:hAnsi="宋体" w:cs="宋体"/>
                <w:kern w:val="0"/>
                <w:sz w:val="24"/>
              </w:rPr>
            </w:pPr>
            <w:r>
              <w:rPr>
                <w:rFonts w:hint="eastAsia" w:ascii="宋体" w:hAnsi="宋体" w:cs="宋体"/>
                <w:kern w:val="0"/>
                <w:sz w:val="24"/>
              </w:rPr>
              <w:t>新建</w:t>
            </w:r>
          </w:p>
        </w:tc>
        <w:tc>
          <w:tcPr>
            <w:tcW w:w="1327" w:type="dxa"/>
            <w:tcBorders>
              <w:top w:val="nil"/>
              <w:left w:val="nil"/>
              <w:bottom w:val="single" w:color="auto" w:sz="4" w:space="0"/>
              <w:right w:val="single" w:color="auto" w:sz="4" w:space="0"/>
            </w:tcBorders>
            <w:vAlign w:val="center"/>
          </w:tcPr>
          <w:p w14:paraId="19794786">
            <w:pPr>
              <w:widowControl/>
              <w:jc w:val="center"/>
              <w:rPr>
                <w:kern w:val="0"/>
                <w:sz w:val="24"/>
              </w:rPr>
            </w:pPr>
            <w:r>
              <w:rPr>
                <w:kern w:val="0"/>
                <w:sz w:val="24"/>
              </w:rPr>
              <w:t>2000</w:t>
            </w:r>
          </w:p>
        </w:tc>
        <w:tc>
          <w:tcPr>
            <w:tcW w:w="1318" w:type="dxa"/>
            <w:tcBorders>
              <w:top w:val="nil"/>
              <w:left w:val="nil"/>
              <w:bottom w:val="single" w:color="auto" w:sz="4" w:space="0"/>
              <w:right w:val="single" w:color="auto" w:sz="4" w:space="0"/>
            </w:tcBorders>
            <w:vAlign w:val="center"/>
          </w:tcPr>
          <w:p w14:paraId="5CB98EA9">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55A2BEF6">
            <w:pPr>
              <w:widowControl/>
              <w:jc w:val="center"/>
              <w:rPr>
                <w:rFonts w:ascii="宋体" w:hAnsi="宋体" w:cs="宋体"/>
                <w:kern w:val="0"/>
                <w:sz w:val="24"/>
              </w:rPr>
            </w:pPr>
            <w:r>
              <w:rPr>
                <w:rFonts w:hint="eastAsia" w:ascii="宋体" w:hAnsi="宋体" w:cs="宋体"/>
                <w:kern w:val="0"/>
                <w:sz w:val="24"/>
              </w:rPr>
              <w:t>海棠区</w:t>
            </w:r>
          </w:p>
        </w:tc>
      </w:tr>
      <w:tr w14:paraId="10E88119">
        <w:tblPrEx>
          <w:tblCellMar>
            <w:top w:w="0" w:type="dxa"/>
            <w:left w:w="108" w:type="dxa"/>
            <w:bottom w:w="0" w:type="dxa"/>
            <w:right w:w="108" w:type="dxa"/>
          </w:tblCellMar>
        </w:tblPrEx>
        <w:trPr>
          <w:trHeight w:val="597" w:hRule="atLeast"/>
        </w:trPr>
        <w:tc>
          <w:tcPr>
            <w:tcW w:w="711" w:type="dxa"/>
            <w:vMerge w:val="continue"/>
            <w:tcBorders>
              <w:top w:val="nil"/>
              <w:left w:val="single" w:color="auto" w:sz="4" w:space="0"/>
              <w:bottom w:val="single" w:color="auto" w:sz="4" w:space="0"/>
              <w:right w:val="single" w:color="auto" w:sz="4" w:space="0"/>
            </w:tcBorders>
            <w:vAlign w:val="center"/>
          </w:tcPr>
          <w:p w14:paraId="04D98F38">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29581037">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3272E2A7">
            <w:pPr>
              <w:widowControl/>
              <w:jc w:val="center"/>
              <w:rPr>
                <w:rFonts w:ascii="宋体" w:hAnsi="宋体" w:cs="宋体"/>
                <w:kern w:val="0"/>
                <w:sz w:val="24"/>
              </w:rPr>
            </w:pPr>
            <w:r>
              <w:rPr>
                <w:rFonts w:hint="eastAsia" w:ascii="宋体" w:hAnsi="宋体" w:cs="宋体"/>
                <w:kern w:val="0"/>
                <w:sz w:val="24"/>
              </w:rPr>
              <w:t>经济林改生态林</w:t>
            </w:r>
          </w:p>
        </w:tc>
        <w:tc>
          <w:tcPr>
            <w:tcW w:w="1417" w:type="dxa"/>
            <w:tcBorders>
              <w:top w:val="nil"/>
              <w:left w:val="nil"/>
              <w:bottom w:val="single" w:color="auto" w:sz="4" w:space="0"/>
              <w:right w:val="single" w:color="auto" w:sz="4" w:space="0"/>
            </w:tcBorders>
            <w:vAlign w:val="center"/>
          </w:tcPr>
          <w:p w14:paraId="7C6DDDE2">
            <w:pPr>
              <w:widowControl/>
              <w:jc w:val="center"/>
              <w:rPr>
                <w:kern w:val="0"/>
                <w:sz w:val="24"/>
              </w:rPr>
            </w:pPr>
            <w:r>
              <w:rPr>
                <w:rFonts w:hint="eastAsia"/>
                <w:kern w:val="0"/>
                <w:sz w:val="24"/>
              </w:rPr>
              <w:t>3</w:t>
            </w:r>
            <w:r>
              <w:rPr>
                <w:kern w:val="0"/>
                <w:sz w:val="24"/>
              </w:rPr>
              <w:t>00 hm</w:t>
            </w:r>
            <w:r>
              <w:rPr>
                <w:kern w:val="0"/>
                <w:sz w:val="24"/>
                <w:vertAlign w:val="superscript"/>
              </w:rPr>
              <w:t>2</w:t>
            </w:r>
          </w:p>
        </w:tc>
        <w:tc>
          <w:tcPr>
            <w:tcW w:w="1534" w:type="dxa"/>
            <w:tcBorders>
              <w:top w:val="nil"/>
              <w:left w:val="nil"/>
              <w:bottom w:val="single" w:color="auto" w:sz="4" w:space="0"/>
              <w:right w:val="single" w:color="auto" w:sz="4" w:space="0"/>
            </w:tcBorders>
            <w:vAlign w:val="center"/>
          </w:tcPr>
          <w:p w14:paraId="1DE6104E">
            <w:pPr>
              <w:widowControl/>
              <w:jc w:val="center"/>
              <w:rPr>
                <w:rFonts w:ascii="宋体" w:hAnsi="宋体" w:cs="宋体"/>
                <w:kern w:val="0"/>
                <w:sz w:val="24"/>
              </w:rPr>
            </w:pPr>
            <w:r>
              <w:rPr>
                <w:rFonts w:hint="eastAsia" w:ascii="宋体" w:hAnsi="宋体" w:cs="宋体"/>
                <w:kern w:val="0"/>
                <w:sz w:val="24"/>
              </w:rPr>
              <w:t>提质</w:t>
            </w:r>
          </w:p>
        </w:tc>
        <w:tc>
          <w:tcPr>
            <w:tcW w:w="1327" w:type="dxa"/>
            <w:tcBorders>
              <w:top w:val="nil"/>
              <w:left w:val="nil"/>
              <w:bottom w:val="single" w:color="auto" w:sz="4" w:space="0"/>
              <w:right w:val="single" w:color="auto" w:sz="4" w:space="0"/>
            </w:tcBorders>
            <w:vAlign w:val="center"/>
          </w:tcPr>
          <w:p w14:paraId="1E0C34B7">
            <w:pPr>
              <w:widowControl/>
              <w:jc w:val="center"/>
              <w:rPr>
                <w:kern w:val="0"/>
                <w:sz w:val="24"/>
              </w:rPr>
            </w:pPr>
            <w:r>
              <w:rPr>
                <w:rFonts w:hint="eastAsia"/>
                <w:kern w:val="0"/>
                <w:sz w:val="24"/>
              </w:rPr>
              <w:t>15750</w:t>
            </w:r>
          </w:p>
        </w:tc>
        <w:tc>
          <w:tcPr>
            <w:tcW w:w="1318" w:type="dxa"/>
            <w:tcBorders>
              <w:top w:val="nil"/>
              <w:left w:val="nil"/>
              <w:bottom w:val="single" w:color="auto" w:sz="4" w:space="0"/>
              <w:right w:val="single" w:color="auto" w:sz="4" w:space="0"/>
            </w:tcBorders>
            <w:vAlign w:val="center"/>
          </w:tcPr>
          <w:p w14:paraId="554F02AE">
            <w:pPr>
              <w:widowControl/>
              <w:jc w:val="center"/>
              <w:rPr>
                <w:rFonts w:ascii="宋体" w:hAnsi="宋体" w:cs="宋体"/>
                <w:kern w:val="0"/>
                <w:sz w:val="24"/>
              </w:rPr>
            </w:pPr>
            <w:r>
              <w:rPr>
                <w:rFonts w:hint="eastAsia" w:ascii="宋体" w:hAnsi="宋体" w:cs="宋体"/>
                <w:kern w:val="0"/>
                <w:sz w:val="24"/>
              </w:rPr>
              <w:t>政府投资</w:t>
            </w:r>
          </w:p>
        </w:tc>
        <w:tc>
          <w:tcPr>
            <w:tcW w:w="3476" w:type="dxa"/>
            <w:tcBorders>
              <w:top w:val="nil"/>
              <w:left w:val="nil"/>
              <w:bottom w:val="single" w:color="auto" w:sz="4" w:space="0"/>
              <w:right w:val="single" w:color="auto" w:sz="4" w:space="0"/>
            </w:tcBorders>
            <w:vAlign w:val="center"/>
          </w:tcPr>
          <w:p w14:paraId="5326C1E0">
            <w:pPr>
              <w:widowControl/>
              <w:jc w:val="center"/>
              <w:rPr>
                <w:rFonts w:ascii="宋体" w:hAnsi="宋体" w:cs="宋体"/>
                <w:kern w:val="0"/>
                <w:sz w:val="24"/>
              </w:rPr>
            </w:pPr>
            <w:r>
              <w:rPr>
                <w:rFonts w:hint="eastAsia" w:ascii="宋体" w:hAnsi="宋体" w:cs="宋体"/>
                <w:kern w:val="0"/>
                <w:sz w:val="24"/>
              </w:rPr>
              <w:t>全市范围</w:t>
            </w:r>
          </w:p>
        </w:tc>
      </w:tr>
      <w:tr w14:paraId="51227226">
        <w:tblPrEx>
          <w:tblCellMar>
            <w:top w:w="0" w:type="dxa"/>
            <w:left w:w="108" w:type="dxa"/>
            <w:bottom w:w="0" w:type="dxa"/>
            <w:right w:w="108" w:type="dxa"/>
          </w:tblCellMar>
        </w:tblPrEx>
        <w:trPr>
          <w:trHeight w:val="315" w:hRule="atLeast"/>
        </w:trPr>
        <w:tc>
          <w:tcPr>
            <w:tcW w:w="711" w:type="dxa"/>
            <w:vMerge w:val="continue"/>
            <w:tcBorders>
              <w:top w:val="nil"/>
              <w:left w:val="single" w:color="auto" w:sz="4" w:space="0"/>
              <w:bottom w:val="single" w:color="auto" w:sz="4" w:space="0"/>
              <w:right w:val="single" w:color="auto" w:sz="4" w:space="0"/>
            </w:tcBorders>
            <w:vAlign w:val="center"/>
          </w:tcPr>
          <w:p w14:paraId="42AD63F0">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0DFCF73">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75261969">
            <w:pPr>
              <w:widowControl/>
              <w:jc w:val="center"/>
              <w:rPr>
                <w:rFonts w:ascii="宋体" w:hAnsi="宋体" w:cs="宋体"/>
                <w:kern w:val="0"/>
                <w:sz w:val="24"/>
              </w:rPr>
            </w:pPr>
            <w:r>
              <w:rPr>
                <w:rFonts w:hint="eastAsia" w:ascii="宋体" w:hAnsi="宋体" w:cs="宋体"/>
                <w:kern w:val="0"/>
                <w:sz w:val="24"/>
              </w:rPr>
              <w:t>经济林产品深加工</w:t>
            </w:r>
          </w:p>
        </w:tc>
        <w:tc>
          <w:tcPr>
            <w:tcW w:w="1417" w:type="dxa"/>
            <w:tcBorders>
              <w:top w:val="nil"/>
              <w:left w:val="nil"/>
              <w:bottom w:val="single" w:color="auto" w:sz="4" w:space="0"/>
              <w:right w:val="single" w:color="auto" w:sz="4" w:space="0"/>
            </w:tcBorders>
            <w:vAlign w:val="center"/>
          </w:tcPr>
          <w:p w14:paraId="51A9B88B">
            <w:pPr>
              <w:widowControl/>
              <w:jc w:val="center"/>
              <w:rPr>
                <w:kern w:val="0"/>
                <w:sz w:val="24"/>
              </w:rPr>
            </w:pPr>
            <w:r>
              <w:rPr>
                <w:rFonts w:hint="eastAsia"/>
                <w:kern w:val="0"/>
                <w:sz w:val="24"/>
              </w:rPr>
              <w:t>6</w:t>
            </w:r>
            <w:r>
              <w:rPr>
                <w:rFonts w:hint="eastAsia" w:ascii="宋体" w:hAnsi="宋体"/>
                <w:kern w:val="0"/>
                <w:sz w:val="24"/>
              </w:rPr>
              <w:t>家</w:t>
            </w:r>
          </w:p>
        </w:tc>
        <w:tc>
          <w:tcPr>
            <w:tcW w:w="1534" w:type="dxa"/>
            <w:tcBorders>
              <w:top w:val="nil"/>
              <w:left w:val="nil"/>
              <w:bottom w:val="single" w:color="auto" w:sz="4" w:space="0"/>
              <w:right w:val="single" w:color="auto" w:sz="4" w:space="0"/>
            </w:tcBorders>
            <w:vAlign w:val="center"/>
          </w:tcPr>
          <w:p w14:paraId="77199FCF">
            <w:pPr>
              <w:widowControl/>
              <w:jc w:val="center"/>
              <w:rPr>
                <w:rFonts w:ascii="宋体" w:hAnsi="宋体" w:cs="宋体"/>
                <w:kern w:val="0"/>
                <w:sz w:val="24"/>
              </w:rPr>
            </w:pPr>
            <w:r>
              <w:rPr>
                <w:rFonts w:hint="eastAsia" w:ascii="宋体" w:hAnsi="宋体" w:cs="宋体"/>
                <w:kern w:val="0"/>
                <w:sz w:val="24"/>
              </w:rPr>
              <w:t>新建</w:t>
            </w:r>
          </w:p>
        </w:tc>
        <w:tc>
          <w:tcPr>
            <w:tcW w:w="1327" w:type="dxa"/>
            <w:tcBorders>
              <w:top w:val="nil"/>
              <w:left w:val="nil"/>
              <w:bottom w:val="single" w:color="auto" w:sz="4" w:space="0"/>
              <w:right w:val="single" w:color="auto" w:sz="4" w:space="0"/>
            </w:tcBorders>
            <w:vAlign w:val="center"/>
          </w:tcPr>
          <w:p w14:paraId="2D14B6F2">
            <w:pPr>
              <w:widowControl/>
              <w:jc w:val="center"/>
              <w:rPr>
                <w:kern w:val="0"/>
                <w:sz w:val="24"/>
              </w:rPr>
            </w:pPr>
            <w:r>
              <w:rPr>
                <w:kern w:val="0"/>
                <w:sz w:val="24"/>
              </w:rPr>
              <w:t>1</w:t>
            </w:r>
            <w:r>
              <w:rPr>
                <w:rFonts w:hint="eastAsia"/>
                <w:kern w:val="0"/>
                <w:sz w:val="24"/>
              </w:rPr>
              <w:t>5</w:t>
            </w:r>
            <w:r>
              <w:rPr>
                <w:kern w:val="0"/>
                <w:sz w:val="24"/>
              </w:rPr>
              <w:t>000</w:t>
            </w:r>
          </w:p>
        </w:tc>
        <w:tc>
          <w:tcPr>
            <w:tcW w:w="1318" w:type="dxa"/>
            <w:tcBorders>
              <w:top w:val="nil"/>
              <w:left w:val="nil"/>
              <w:bottom w:val="single" w:color="auto" w:sz="4" w:space="0"/>
              <w:right w:val="single" w:color="auto" w:sz="4" w:space="0"/>
            </w:tcBorders>
            <w:vAlign w:val="center"/>
          </w:tcPr>
          <w:p w14:paraId="0EBB2760">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3CE24FF6">
            <w:pPr>
              <w:widowControl/>
              <w:jc w:val="center"/>
              <w:rPr>
                <w:rFonts w:ascii="宋体" w:hAnsi="宋体" w:cs="宋体"/>
                <w:kern w:val="0"/>
                <w:sz w:val="24"/>
              </w:rPr>
            </w:pPr>
            <w:r>
              <w:rPr>
                <w:rFonts w:hint="eastAsia" w:ascii="宋体" w:hAnsi="宋体" w:cs="宋体"/>
                <w:kern w:val="0"/>
                <w:sz w:val="24"/>
              </w:rPr>
              <w:t>崖州区、天涯区、育才生态区</w:t>
            </w:r>
          </w:p>
        </w:tc>
      </w:tr>
      <w:tr w14:paraId="190B12B1">
        <w:tblPrEx>
          <w:tblCellMar>
            <w:top w:w="0" w:type="dxa"/>
            <w:left w:w="108" w:type="dxa"/>
            <w:bottom w:w="0" w:type="dxa"/>
            <w:right w:w="108" w:type="dxa"/>
          </w:tblCellMar>
        </w:tblPrEx>
        <w:trPr>
          <w:trHeight w:val="315" w:hRule="atLeast"/>
        </w:trPr>
        <w:tc>
          <w:tcPr>
            <w:tcW w:w="711" w:type="dxa"/>
            <w:vMerge w:val="continue"/>
            <w:tcBorders>
              <w:top w:val="nil"/>
              <w:left w:val="single" w:color="auto" w:sz="4" w:space="0"/>
              <w:bottom w:val="single" w:color="auto" w:sz="4" w:space="0"/>
              <w:right w:val="single" w:color="auto" w:sz="4" w:space="0"/>
            </w:tcBorders>
            <w:vAlign w:val="center"/>
          </w:tcPr>
          <w:p w14:paraId="3181F738">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61F5E9E5">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321AEC21">
            <w:pPr>
              <w:widowControl/>
              <w:jc w:val="center"/>
              <w:rPr>
                <w:rFonts w:ascii="宋体" w:hAnsi="宋体" w:cs="宋体"/>
                <w:kern w:val="0"/>
                <w:sz w:val="24"/>
              </w:rPr>
            </w:pPr>
            <w:r>
              <w:rPr>
                <w:rFonts w:hint="eastAsia" w:ascii="宋体" w:hAnsi="宋体" w:cs="宋体"/>
                <w:kern w:val="0"/>
                <w:sz w:val="24"/>
              </w:rPr>
              <w:t>建设特色热带水果示范园</w:t>
            </w:r>
          </w:p>
        </w:tc>
        <w:tc>
          <w:tcPr>
            <w:tcW w:w="1417" w:type="dxa"/>
            <w:tcBorders>
              <w:top w:val="nil"/>
              <w:left w:val="nil"/>
              <w:bottom w:val="single" w:color="auto" w:sz="4" w:space="0"/>
              <w:right w:val="single" w:color="auto" w:sz="4" w:space="0"/>
            </w:tcBorders>
            <w:vAlign w:val="center"/>
          </w:tcPr>
          <w:p w14:paraId="4DE18415">
            <w:pPr>
              <w:widowControl/>
              <w:jc w:val="center"/>
              <w:rPr>
                <w:kern w:val="0"/>
                <w:sz w:val="24"/>
              </w:rPr>
            </w:pPr>
            <w:r>
              <w:rPr>
                <w:kern w:val="0"/>
                <w:sz w:val="24"/>
              </w:rPr>
              <w:t>2</w:t>
            </w:r>
            <w:r>
              <w:rPr>
                <w:rFonts w:hint="eastAsia" w:ascii="宋体" w:hAnsi="宋体"/>
                <w:kern w:val="0"/>
                <w:sz w:val="24"/>
              </w:rPr>
              <w:t>处</w:t>
            </w:r>
          </w:p>
        </w:tc>
        <w:tc>
          <w:tcPr>
            <w:tcW w:w="1534" w:type="dxa"/>
            <w:tcBorders>
              <w:top w:val="nil"/>
              <w:left w:val="nil"/>
              <w:bottom w:val="single" w:color="auto" w:sz="4" w:space="0"/>
              <w:right w:val="single" w:color="auto" w:sz="4" w:space="0"/>
            </w:tcBorders>
            <w:vAlign w:val="center"/>
          </w:tcPr>
          <w:p w14:paraId="5F94E827">
            <w:pPr>
              <w:widowControl/>
              <w:jc w:val="center"/>
              <w:rPr>
                <w:rFonts w:ascii="宋体" w:hAnsi="宋体" w:cs="宋体"/>
                <w:kern w:val="0"/>
                <w:sz w:val="24"/>
              </w:rPr>
            </w:pPr>
            <w:r>
              <w:rPr>
                <w:rFonts w:hint="eastAsia" w:ascii="宋体" w:hAnsi="宋体" w:cs="宋体"/>
                <w:kern w:val="0"/>
                <w:sz w:val="24"/>
              </w:rPr>
              <w:t>新建</w:t>
            </w:r>
          </w:p>
        </w:tc>
        <w:tc>
          <w:tcPr>
            <w:tcW w:w="1327" w:type="dxa"/>
            <w:tcBorders>
              <w:top w:val="nil"/>
              <w:left w:val="nil"/>
              <w:bottom w:val="single" w:color="auto" w:sz="4" w:space="0"/>
              <w:right w:val="single" w:color="auto" w:sz="4" w:space="0"/>
            </w:tcBorders>
            <w:vAlign w:val="center"/>
          </w:tcPr>
          <w:p w14:paraId="6E9B07CB">
            <w:pPr>
              <w:widowControl/>
              <w:jc w:val="center"/>
              <w:rPr>
                <w:kern w:val="0"/>
                <w:sz w:val="24"/>
              </w:rPr>
            </w:pPr>
            <w:r>
              <w:rPr>
                <w:rFonts w:hint="eastAsia"/>
                <w:kern w:val="0"/>
                <w:sz w:val="24"/>
              </w:rPr>
              <w:t>5</w:t>
            </w:r>
            <w:r>
              <w:rPr>
                <w:kern w:val="0"/>
                <w:sz w:val="24"/>
              </w:rPr>
              <w:t>000</w:t>
            </w:r>
          </w:p>
        </w:tc>
        <w:tc>
          <w:tcPr>
            <w:tcW w:w="1318" w:type="dxa"/>
            <w:tcBorders>
              <w:top w:val="nil"/>
              <w:left w:val="nil"/>
              <w:bottom w:val="single" w:color="auto" w:sz="4" w:space="0"/>
              <w:right w:val="single" w:color="auto" w:sz="4" w:space="0"/>
            </w:tcBorders>
            <w:vAlign w:val="center"/>
          </w:tcPr>
          <w:p w14:paraId="4C86D89A">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6C306E79">
            <w:pPr>
              <w:widowControl/>
              <w:jc w:val="center"/>
              <w:rPr>
                <w:rFonts w:ascii="宋体" w:hAnsi="宋体" w:cs="宋体"/>
                <w:kern w:val="0"/>
                <w:sz w:val="24"/>
              </w:rPr>
            </w:pPr>
            <w:r>
              <w:rPr>
                <w:rFonts w:hint="eastAsia" w:ascii="宋体" w:hAnsi="宋体" w:cs="宋体"/>
                <w:kern w:val="0"/>
                <w:sz w:val="24"/>
              </w:rPr>
              <w:t>崖州区、天涯区</w:t>
            </w:r>
          </w:p>
        </w:tc>
      </w:tr>
      <w:tr w14:paraId="1BFDC95F">
        <w:tblPrEx>
          <w:tblCellMar>
            <w:top w:w="0" w:type="dxa"/>
            <w:left w:w="108" w:type="dxa"/>
            <w:bottom w:w="0" w:type="dxa"/>
            <w:right w:w="108" w:type="dxa"/>
          </w:tblCellMar>
        </w:tblPrEx>
        <w:trPr>
          <w:trHeight w:val="315" w:hRule="atLeast"/>
        </w:trPr>
        <w:tc>
          <w:tcPr>
            <w:tcW w:w="711" w:type="dxa"/>
            <w:vMerge w:val="continue"/>
            <w:tcBorders>
              <w:top w:val="nil"/>
              <w:left w:val="single" w:color="auto" w:sz="4" w:space="0"/>
              <w:bottom w:val="single" w:color="auto" w:sz="4" w:space="0"/>
              <w:right w:val="single" w:color="auto" w:sz="4" w:space="0"/>
            </w:tcBorders>
            <w:vAlign w:val="center"/>
          </w:tcPr>
          <w:p w14:paraId="58D8D828">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11E957CB">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3FD9B161">
            <w:pPr>
              <w:widowControl/>
              <w:jc w:val="center"/>
              <w:rPr>
                <w:rFonts w:ascii="宋体" w:hAnsi="宋体" w:cs="宋体"/>
                <w:kern w:val="0"/>
                <w:sz w:val="24"/>
              </w:rPr>
            </w:pPr>
            <w:r>
              <w:rPr>
                <w:rFonts w:hint="eastAsia" w:ascii="宋体" w:hAnsi="宋体" w:cs="宋体"/>
                <w:kern w:val="0"/>
                <w:sz w:val="24"/>
              </w:rPr>
              <w:t>深化一二三产业融合工程</w:t>
            </w:r>
          </w:p>
        </w:tc>
        <w:tc>
          <w:tcPr>
            <w:tcW w:w="1417" w:type="dxa"/>
            <w:tcBorders>
              <w:top w:val="nil"/>
              <w:left w:val="nil"/>
              <w:bottom w:val="single" w:color="auto" w:sz="4" w:space="0"/>
              <w:right w:val="single" w:color="auto" w:sz="4" w:space="0"/>
            </w:tcBorders>
            <w:vAlign w:val="center"/>
          </w:tcPr>
          <w:p w14:paraId="1D76BDA4">
            <w:pPr>
              <w:widowControl/>
              <w:jc w:val="center"/>
              <w:rPr>
                <w:kern w:val="0"/>
                <w:sz w:val="24"/>
              </w:rPr>
            </w:pPr>
            <w:r>
              <w:rPr>
                <w:kern w:val="0"/>
                <w:sz w:val="24"/>
              </w:rPr>
              <w:t>—</w:t>
            </w:r>
          </w:p>
        </w:tc>
        <w:tc>
          <w:tcPr>
            <w:tcW w:w="1534" w:type="dxa"/>
            <w:tcBorders>
              <w:top w:val="nil"/>
              <w:left w:val="nil"/>
              <w:bottom w:val="single" w:color="auto" w:sz="4" w:space="0"/>
              <w:right w:val="single" w:color="auto" w:sz="4" w:space="0"/>
            </w:tcBorders>
            <w:vAlign w:val="center"/>
          </w:tcPr>
          <w:p w14:paraId="6F560987">
            <w:pPr>
              <w:widowControl/>
              <w:jc w:val="center"/>
              <w:rPr>
                <w:rFonts w:ascii="宋体" w:hAnsi="宋体" w:cs="宋体"/>
                <w:kern w:val="0"/>
                <w:sz w:val="24"/>
              </w:rPr>
            </w:pPr>
            <w:r>
              <w:rPr>
                <w:rFonts w:hint="eastAsia" w:ascii="宋体" w:hAnsi="宋体" w:cs="宋体"/>
                <w:kern w:val="0"/>
                <w:sz w:val="24"/>
              </w:rPr>
              <w:t>新建</w:t>
            </w:r>
          </w:p>
        </w:tc>
        <w:tc>
          <w:tcPr>
            <w:tcW w:w="1327" w:type="dxa"/>
            <w:tcBorders>
              <w:top w:val="nil"/>
              <w:left w:val="nil"/>
              <w:bottom w:val="single" w:color="auto" w:sz="4" w:space="0"/>
              <w:right w:val="single" w:color="auto" w:sz="4" w:space="0"/>
            </w:tcBorders>
            <w:vAlign w:val="center"/>
          </w:tcPr>
          <w:p w14:paraId="52B86EC9">
            <w:pPr>
              <w:widowControl/>
              <w:jc w:val="center"/>
              <w:rPr>
                <w:kern w:val="0"/>
                <w:sz w:val="24"/>
              </w:rPr>
            </w:pPr>
            <w:r>
              <w:rPr>
                <w:rFonts w:hint="eastAsia"/>
                <w:kern w:val="0"/>
                <w:sz w:val="24"/>
              </w:rPr>
              <w:t>7</w:t>
            </w:r>
            <w:r>
              <w:rPr>
                <w:kern w:val="0"/>
                <w:sz w:val="24"/>
              </w:rPr>
              <w:t>000</w:t>
            </w:r>
          </w:p>
        </w:tc>
        <w:tc>
          <w:tcPr>
            <w:tcW w:w="1318" w:type="dxa"/>
            <w:tcBorders>
              <w:top w:val="nil"/>
              <w:left w:val="nil"/>
              <w:bottom w:val="single" w:color="auto" w:sz="4" w:space="0"/>
              <w:right w:val="single" w:color="auto" w:sz="4" w:space="0"/>
            </w:tcBorders>
            <w:vAlign w:val="center"/>
          </w:tcPr>
          <w:p w14:paraId="087F00D8">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0B50208F">
            <w:pPr>
              <w:widowControl/>
              <w:jc w:val="center"/>
              <w:rPr>
                <w:kern w:val="0"/>
                <w:sz w:val="24"/>
              </w:rPr>
            </w:pPr>
            <w:r>
              <w:rPr>
                <w:kern w:val="0"/>
                <w:sz w:val="24"/>
              </w:rPr>
              <w:t>—</w:t>
            </w:r>
          </w:p>
        </w:tc>
      </w:tr>
      <w:tr w14:paraId="62DE3557">
        <w:tblPrEx>
          <w:tblCellMar>
            <w:top w:w="0" w:type="dxa"/>
            <w:left w:w="108" w:type="dxa"/>
            <w:bottom w:w="0" w:type="dxa"/>
            <w:right w:w="108" w:type="dxa"/>
          </w:tblCellMar>
        </w:tblPrEx>
        <w:trPr>
          <w:trHeight w:val="571" w:hRule="atLeast"/>
        </w:trPr>
        <w:tc>
          <w:tcPr>
            <w:tcW w:w="711" w:type="dxa"/>
            <w:tcBorders>
              <w:top w:val="nil"/>
              <w:left w:val="single" w:color="auto" w:sz="4" w:space="0"/>
              <w:bottom w:val="single" w:color="auto" w:sz="4" w:space="0"/>
              <w:right w:val="single" w:color="auto" w:sz="4" w:space="0"/>
            </w:tcBorders>
            <w:noWrap/>
            <w:vAlign w:val="center"/>
          </w:tcPr>
          <w:p w14:paraId="7222F68F">
            <w:pPr>
              <w:widowControl/>
              <w:jc w:val="left"/>
              <w:rPr>
                <w:rFonts w:ascii="宋体" w:hAnsi="宋体" w:cs="宋体"/>
                <w:kern w:val="0"/>
                <w:sz w:val="24"/>
              </w:rPr>
            </w:pPr>
            <w:r>
              <w:rPr>
                <w:rFonts w:hint="eastAsia" w:ascii="宋体" w:hAnsi="宋体" w:cs="宋体"/>
                <w:kern w:val="0"/>
                <w:sz w:val="24"/>
              </w:rPr>
              <w:t>　</w:t>
            </w:r>
          </w:p>
        </w:tc>
        <w:tc>
          <w:tcPr>
            <w:tcW w:w="4535" w:type="dxa"/>
            <w:gridSpan w:val="2"/>
            <w:tcBorders>
              <w:top w:val="single" w:color="auto" w:sz="4" w:space="0"/>
              <w:left w:val="nil"/>
              <w:bottom w:val="single" w:color="auto" w:sz="4" w:space="0"/>
              <w:right w:val="single" w:color="auto" w:sz="4" w:space="0"/>
            </w:tcBorders>
            <w:vAlign w:val="center"/>
          </w:tcPr>
          <w:p w14:paraId="4259BCDE">
            <w:pPr>
              <w:widowControl/>
              <w:jc w:val="center"/>
              <w:rPr>
                <w:rFonts w:ascii="宋体" w:hAnsi="宋体" w:cs="宋体"/>
                <w:b/>
                <w:bCs/>
                <w:kern w:val="0"/>
                <w:sz w:val="24"/>
              </w:rPr>
            </w:pPr>
            <w:r>
              <w:rPr>
                <w:rFonts w:hint="eastAsia" w:ascii="宋体" w:hAnsi="宋体" w:cs="宋体"/>
                <w:b/>
                <w:bCs/>
                <w:kern w:val="0"/>
                <w:sz w:val="24"/>
              </w:rPr>
              <w:t>小计</w:t>
            </w:r>
          </w:p>
        </w:tc>
        <w:tc>
          <w:tcPr>
            <w:tcW w:w="1417" w:type="dxa"/>
            <w:tcBorders>
              <w:top w:val="nil"/>
              <w:left w:val="nil"/>
              <w:bottom w:val="single" w:color="auto" w:sz="4" w:space="0"/>
              <w:right w:val="single" w:color="auto" w:sz="4" w:space="0"/>
            </w:tcBorders>
            <w:vAlign w:val="center"/>
          </w:tcPr>
          <w:p w14:paraId="07AF604D">
            <w:pPr>
              <w:widowControl/>
              <w:jc w:val="center"/>
              <w:rPr>
                <w:kern w:val="0"/>
                <w:sz w:val="24"/>
              </w:rPr>
            </w:pPr>
            <w:r>
              <w:rPr>
                <w:kern w:val="0"/>
                <w:sz w:val="24"/>
              </w:rPr>
              <w:t>—</w:t>
            </w:r>
          </w:p>
        </w:tc>
        <w:tc>
          <w:tcPr>
            <w:tcW w:w="1534" w:type="dxa"/>
            <w:tcBorders>
              <w:top w:val="nil"/>
              <w:left w:val="nil"/>
              <w:bottom w:val="single" w:color="auto" w:sz="4" w:space="0"/>
              <w:right w:val="single" w:color="auto" w:sz="4" w:space="0"/>
            </w:tcBorders>
            <w:vAlign w:val="center"/>
          </w:tcPr>
          <w:p w14:paraId="6E0E20AB">
            <w:pPr>
              <w:widowControl/>
              <w:jc w:val="center"/>
              <w:rPr>
                <w:rFonts w:ascii="宋体" w:hAnsi="宋体" w:cs="宋体"/>
                <w:kern w:val="0"/>
                <w:sz w:val="24"/>
              </w:rPr>
            </w:pPr>
            <w:r>
              <w:rPr>
                <w:rFonts w:hint="eastAsia" w:ascii="宋体" w:hAnsi="宋体" w:cs="宋体"/>
                <w:kern w:val="0"/>
                <w:sz w:val="24"/>
              </w:rPr>
              <w:t>　</w:t>
            </w:r>
          </w:p>
        </w:tc>
        <w:tc>
          <w:tcPr>
            <w:tcW w:w="1327" w:type="dxa"/>
            <w:tcBorders>
              <w:top w:val="nil"/>
              <w:left w:val="nil"/>
              <w:bottom w:val="single" w:color="auto" w:sz="4" w:space="0"/>
              <w:right w:val="single" w:color="auto" w:sz="4" w:space="0"/>
            </w:tcBorders>
            <w:vAlign w:val="center"/>
          </w:tcPr>
          <w:p w14:paraId="2F0830E4">
            <w:pPr>
              <w:widowControl/>
              <w:jc w:val="center"/>
              <w:rPr>
                <w:b/>
                <w:bCs/>
                <w:kern w:val="0"/>
                <w:sz w:val="24"/>
              </w:rPr>
            </w:pPr>
            <w:r>
              <w:rPr>
                <w:rFonts w:hint="eastAsia"/>
                <w:b/>
                <w:bCs/>
                <w:kern w:val="0"/>
                <w:sz w:val="24"/>
              </w:rPr>
              <w:t>63750</w:t>
            </w:r>
          </w:p>
        </w:tc>
        <w:tc>
          <w:tcPr>
            <w:tcW w:w="1318" w:type="dxa"/>
            <w:tcBorders>
              <w:top w:val="nil"/>
              <w:left w:val="nil"/>
              <w:bottom w:val="single" w:color="auto" w:sz="4" w:space="0"/>
              <w:right w:val="single" w:color="auto" w:sz="4" w:space="0"/>
            </w:tcBorders>
            <w:vAlign w:val="center"/>
          </w:tcPr>
          <w:p w14:paraId="68485C8A">
            <w:pPr>
              <w:widowControl/>
              <w:jc w:val="center"/>
              <w:rPr>
                <w:rFonts w:ascii="宋体" w:hAnsi="宋体" w:cs="宋体"/>
                <w:kern w:val="0"/>
                <w:sz w:val="24"/>
              </w:rPr>
            </w:pPr>
            <w:r>
              <w:rPr>
                <w:rFonts w:hint="eastAsia" w:ascii="宋体" w:hAnsi="宋体" w:cs="宋体"/>
                <w:kern w:val="0"/>
                <w:sz w:val="24"/>
              </w:rPr>
              <w:t>　</w:t>
            </w:r>
          </w:p>
        </w:tc>
        <w:tc>
          <w:tcPr>
            <w:tcW w:w="3476" w:type="dxa"/>
            <w:tcBorders>
              <w:top w:val="nil"/>
              <w:left w:val="nil"/>
              <w:bottom w:val="single" w:color="auto" w:sz="4" w:space="0"/>
              <w:right w:val="single" w:color="auto" w:sz="4" w:space="0"/>
            </w:tcBorders>
            <w:vAlign w:val="center"/>
          </w:tcPr>
          <w:p w14:paraId="3B12FF70">
            <w:pPr>
              <w:widowControl/>
              <w:jc w:val="center"/>
              <w:rPr>
                <w:rFonts w:ascii="宋体" w:hAnsi="宋体" w:cs="宋体"/>
                <w:kern w:val="0"/>
                <w:sz w:val="24"/>
              </w:rPr>
            </w:pPr>
            <w:r>
              <w:rPr>
                <w:rFonts w:hint="eastAsia" w:ascii="宋体" w:hAnsi="宋体" w:cs="宋体"/>
                <w:kern w:val="0"/>
                <w:sz w:val="24"/>
              </w:rPr>
              <w:t>　</w:t>
            </w:r>
          </w:p>
        </w:tc>
      </w:tr>
      <w:tr w14:paraId="64A2EBED">
        <w:tblPrEx>
          <w:tblCellMar>
            <w:top w:w="0" w:type="dxa"/>
            <w:left w:w="108" w:type="dxa"/>
            <w:bottom w:w="0" w:type="dxa"/>
            <w:right w:w="108" w:type="dxa"/>
          </w:tblCellMar>
        </w:tblPrEx>
        <w:trPr>
          <w:trHeight w:val="375" w:hRule="atLeast"/>
        </w:trPr>
        <w:tc>
          <w:tcPr>
            <w:tcW w:w="711" w:type="dxa"/>
            <w:vMerge w:val="restart"/>
            <w:tcBorders>
              <w:top w:val="nil"/>
              <w:left w:val="single" w:color="auto" w:sz="4" w:space="0"/>
              <w:bottom w:val="single" w:color="auto" w:sz="4" w:space="0"/>
              <w:right w:val="single" w:color="auto" w:sz="4" w:space="0"/>
            </w:tcBorders>
            <w:noWrap/>
            <w:vAlign w:val="center"/>
          </w:tcPr>
          <w:p w14:paraId="01B139A7">
            <w:pPr>
              <w:widowControl/>
              <w:jc w:val="center"/>
              <w:rPr>
                <w:kern w:val="0"/>
                <w:sz w:val="24"/>
              </w:rPr>
            </w:pPr>
            <w:r>
              <w:rPr>
                <w:kern w:val="0"/>
                <w:sz w:val="24"/>
              </w:rPr>
              <w:t>2</w:t>
            </w:r>
          </w:p>
        </w:tc>
        <w:tc>
          <w:tcPr>
            <w:tcW w:w="1546" w:type="dxa"/>
            <w:vMerge w:val="restart"/>
            <w:tcBorders>
              <w:top w:val="nil"/>
              <w:left w:val="single" w:color="auto" w:sz="4" w:space="0"/>
              <w:bottom w:val="single" w:color="auto" w:sz="4" w:space="0"/>
              <w:right w:val="single" w:color="auto" w:sz="4" w:space="0"/>
            </w:tcBorders>
            <w:vAlign w:val="center"/>
          </w:tcPr>
          <w:p w14:paraId="06FD767E">
            <w:pPr>
              <w:widowControl/>
              <w:jc w:val="center"/>
              <w:rPr>
                <w:rFonts w:ascii="宋体" w:hAnsi="宋体" w:cs="宋体"/>
                <w:kern w:val="0"/>
                <w:sz w:val="24"/>
              </w:rPr>
            </w:pPr>
            <w:r>
              <w:rPr>
                <w:rFonts w:hint="eastAsia" w:ascii="宋体" w:hAnsi="宋体" w:cs="宋体"/>
                <w:kern w:val="0"/>
                <w:sz w:val="24"/>
              </w:rPr>
              <w:t>中长期（</w:t>
            </w:r>
            <w:r>
              <w:rPr>
                <w:kern w:val="0"/>
                <w:sz w:val="24"/>
              </w:rPr>
              <w:t>2026~2035</w:t>
            </w:r>
            <w:r>
              <w:rPr>
                <w:rFonts w:hint="eastAsia" w:ascii="宋体" w:hAnsi="宋体" w:cs="宋体"/>
                <w:kern w:val="0"/>
                <w:sz w:val="24"/>
              </w:rPr>
              <w:t>年）</w:t>
            </w:r>
          </w:p>
        </w:tc>
        <w:tc>
          <w:tcPr>
            <w:tcW w:w="2989" w:type="dxa"/>
            <w:tcBorders>
              <w:top w:val="nil"/>
              <w:left w:val="nil"/>
              <w:bottom w:val="single" w:color="auto" w:sz="4" w:space="0"/>
              <w:right w:val="single" w:color="auto" w:sz="4" w:space="0"/>
            </w:tcBorders>
            <w:vAlign w:val="center"/>
          </w:tcPr>
          <w:p w14:paraId="44B76371">
            <w:pPr>
              <w:widowControl/>
              <w:jc w:val="center"/>
              <w:rPr>
                <w:rFonts w:ascii="宋体" w:hAnsi="宋体" w:cs="宋体"/>
                <w:kern w:val="0"/>
                <w:sz w:val="24"/>
              </w:rPr>
            </w:pPr>
            <w:r>
              <w:rPr>
                <w:rFonts w:hint="eastAsia" w:ascii="宋体" w:hAnsi="宋体" w:cs="宋体"/>
                <w:kern w:val="0"/>
                <w:sz w:val="24"/>
              </w:rPr>
              <w:t>改造低产经济林（含新造）</w:t>
            </w:r>
          </w:p>
        </w:tc>
        <w:tc>
          <w:tcPr>
            <w:tcW w:w="1417" w:type="dxa"/>
            <w:tcBorders>
              <w:top w:val="nil"/>
              <w:left w:val="nil"/>
              <w:bottom w:val="single" w:color="auto" w:sz="4" w:space="0"/>
              <w:right w:val="single" w:color="auto" w:sz="4" w:space="0"/>
            </w:tcBorders>
            <w:vAlign w:val="center"/>
          </w:tcPr>
          <w:p w14:paraId="4A6EC234">
            <w:pPr>
              <w:widowControl/>
              <w:jc w:val="center"/>
              <w:rPr>
                <w:kern w:val="0"/>
                <w:sz w:val="24"/>
              </w:rPr>
            </w:pPr>
            <w:r>
              <w:rPr>
                <w:kern w:val="0"/>
                <w:sz w:val="24"/>
              </w:rPr>
              <w:t>4500 hm</w:t>
            </w:r>
            <w:r>
              <w:rPr>
                <w:kern w:val="0"/>
                <w:sz w:val="24"/>
                <w:vertAlign w:val="superscript"/>
              </w:rPr>
              <w:t>2</w:t>
            </w:r>
          </w:p>
        </w:tc>
        <w:tc>
          <w:tcPr>
            <w:tcW w:w="1534" w:type="dxa"/>
            <w:tcBorders>
              <w:top w:val="nil"/>
              <w:left w:val="nil"/>
              <w:bottom w:val="single" w:color="auto" w:sz="4" w:space="0"/>
              <w:right w:val="single" w:color="auto" w:sz="4" w:space="0"/>
            </w:tcBorders>
            <w:vAlign w:val="center"/>
          </w:tcPr>
          <w:p w14:paraId="161D1F7B">
            <w:pPr>
              <w:widowControl/>
              <w:jc w:val="center"/>
              <w:rPr>
                <w:rFonts w:ascii="宋体" w:hAnsi="宋体" w:cs="宋体"/>
                <w:kern w:val="0"/>
                <w:sz w:val="24"/>
              </w:rPr>
            </w:pPr>
            <w:r>
              <w:rPr>
                <w:rFonts w:hint="eastAsia" w:ascii="宋体" w:hAnsi="宋体" w:cs="宋体"/>
                <w:kern w:val="0"/>
                <w:sz w:val="24"/>
              </w:rPr>
              <w:t>提质</w:t>
            </w:r>
          </w:p>
        </w:tc>
        <w:tc>
          <w:tcPr>
            <w:tcW w:w="1327" w:type="dxa"/>
            <w:tcBorders>
              <w:top w:val="nil"/>
              <w:left w:val="nil"/>
              <w:bottom w:val="single" w:color="auto" w:sz="4" w:space="0"/>
              <w:right w:val="single" w:color="auto" w:sz="4" w:space="0"/>
            </w:tcBorders>
            <w:noWrap/>
            <w:vAlign w:val="center"/>
          </w:tcPr>
          <w:p w14:paraId="764D7C4F">
            <w:pPr>
              <w:widowControl/>
              <w:jc w:val="center"/>
              <w:rPr>
                <w:kern w:val="0"/>
                <w:sz w:val="24"/>
              </w:rPr>
            </w:pPr>
            <w:r>
              <w:rPr>
                <w:kern w:val="0"/>
                <w:sz w:val="24"/>
              </w:rPr>
              <w:t>27500</w:t>
            </w:r>
          </w:p>
        </w:tc>
        <w:tc>
          <w:tcPr>
            <w:tcW w:w="1318" w:type="dxa"/>
            <w:tcBorders>
              <w:top w:val="nil"/>
              <w:left w:val="nil"/>
              <w:bottom w:val="single" w:color="auto" w:sz="4" w:space="0"/>
              <w:right w:val="single" w:color="auto" w:sz="4" w:space="0"/>
            </w:tcBorders>
            <w:vAlign w:val="center"/>
          </w:tcPr>
          <w:p w14:paraId="15A6DF9C">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3DDD0F5B">
            <w:pPr>
              <w:widowControl/>
              <w:jc w:val="center"/>
              <w:rPr>
                <w:rFonts w:ascii="宋体" w:hAnsi="宋体" w:cs="宋体"/>
                <w:kern w:val="0"/>
                <w:sz w:val="24"/>
              </w:rPr>
            </w:pPr>
            <w:r>
              <w:rPr>
                <w:rFonts w:hint="eastAsia" w:ascii="宋体" w:hAnsi="宋体" w:cs="宋体"/>
                <w:kern w:val="0"/>
                <w:sz w:val="24"/>
              </w:rPr>
              <w:t>全市范围</w:t>
            </w:r>
          </w:p>
        </w:tc>
      </w:tr>
      <w:tr w14:paraId="258CB1CD">
        <w:tblPrEx>
          <w:tblCellMar>
            <w:top w:w="0" w:type="dxa"/>
            <w:left w:w="108" w:type="dxa"/>
            <w:bottom w:w="0" w:type="dxa"/>
            <w:right w:w="108" w:type="dxa"/>
          </w:tblCellMar>
        </w:tblPrEx>
        <w:trPr>
          <w:trHeight w:val="375" w:hRule="atLeast"/>
        </w:trPr>
        <w:tc>
          <w:tcPr>
            <w:tcW w:w="711" w:type="dxa"/>
            <w:vMerge w:val="continue"/>
            <w:tcBorders>
              <w:top w:val="nil"/>
              <w:left w:val="single" w:color="auto" w:sz="4" w:space="0"/>
              <w:bottom w:val="single" w:color="auto" w:sz="4" w:space="0"/>
              <w:right w:val="single" w:color="auto" w:sz="4" w:space="0"/>
            </w:tcBorders>
            <w:vAlign w:val="center"/>
          </w:tcPr>
          <w:p w14:paraId="5941C314">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4AE5CA41">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6C8D0058">
            <w:pPr>
              <w:widowControl/>
              <w:jc w:val="center"/>
              <w:rPr>
                <w:rFonts w:ascii="宋体" w:hAnsi="宋体" w:cs="宋体"/>
                <w:kern w:val="0"/>
                <w:sz w:val="24"/>
              </w:rPr>
            </w:pPr>
            <w:r>
              <w:rPr>
                <w:rFonts w:hint="eastAsia" w:ascii="宋体" w:hAnsi="宋体" w:cs="宋体"/>
                <w:kern w:val="0"/>
                <w:sz w:val="24"/>
              </w:rPr>
              <w:t>建设现代标准化示范胶园</w:t>
            </w:r>
          </w:p>
        </w:tc>
        <w:tc>
          <w:tcPr>
            <w:tcW w:w="1417" w:type="dxa"/>
            <w:tcBorders>
              <w:top w:val="nil"/>
              <w:left w:val="nil"/>
              <w:bottom w:val="single" w:color="auto" w:sz="4" w:space="0"/>
              <w:right w:val="single" w:color="auto" w:sz="4" w:space="0"/>
            </w:tcBorders>
            <w:vAlign w:val="center"/>
          </w:tcPr>
          <w:p w14:paraId="78531CE9">
            <w:pPr>
              <w:widowControl/>
              <w:jc w:val="center"/>
              <w:rPr>
                <w:kern w:val="0"/>
                <w:sz w:val="24"/>
              </w:rPr>
            </w:pPr>
            <w:r>
              <w:rPr>
                <w:kern w:val="0"/>
                <w:sz w:val="24"/>
              </w:rPr>
              <w:t>2000 hm</w:t>
            </w:r>
            <w:r>
              <w:rPr>
                <w:kern w:val="0"/>
                <w:sz w:val="24"/>
                <w:vertAlign w:val="superscript"/>
              </w:rPr>
              <w:t>2</w:t>
            </w:r>
          </w:p>
        </w:tc>
        <w:tc>
          <w:tcPr>
            <w:tcW w:w="1534" w:type="dxa"/>
            <w:tcBorders>
              <w:top w:val="nil"/>
              <w:left w:val="nil"/>
              <w:bottom w:val="single" w:color="auto" w:sz="4" w:space="0"/>
              <w:right w:val="single" w:color="auto" w:sz="4" w:space="0"/>
            </w:tcBorders>
            <w:vAlign w:val="center"/>
          </w:tcPr>
          <w:p w14:paraId="27891B0B">
            <w:pPr>
              <w:widowControl/>
              <w:jc w:val="center"/>
              <w:rPr>
                <w:rFonts w:ascii="宋体" w:hAnsi="宋体" w:cs="宋体"/>
                <w:kern w:val="0"/>
                <w:sz w:val="24"/>
              </w:rPr>
            </w:pPr>
            <w:r>
              <w:rPr>
                <w:rFonts w:hint="eastAsia" w:ascii="宋体" w:hAnsi="宋体" w:cs="宋体"/>
                <w:kern w:val="0"/>
                <w:sz w:val="24"/>
              </w:rPr>
              <w:t>续建</w:t>
            </w:r>
          </w:p>
        </w:tc>
        <w:tc>
          <w:tcPr>
            <w:tcW w:w="1327" w:type="dxa"/>
            <w:tcBorders>
              <w:top w:val="nil"/>
              <w:left w:val="nil"/>
              <w:bottom w:val="single" w:color="auto" w:sz="4" w:space="0"/>
              <w:right w:val="single" w:color="auto" w:sz="4" w:space="0"/>
            </w:tcBorders>
            <w:vAlign w:val="center"/>
          </w:tcPr>
          <w:p w14:paraId="51DF4D56">
            <w:pPr>
              <w:widowControl/>
              <w:jc w:val="center"/>
              <w:rPr>
                <w:kern w:val="0"/>
                <w:sz w:val="24"/>
              </w:rPr>
            </w:pPr>
            <w:r>
              <w:rPr>
                <w:kern w:val="0"/>
                <w:sz w:val="24"/>
              </w:rPr>
              <w:t>2000</w:t>
            </w:r>
          </w:p>
        </w:tc>
        <w:tc>
          <w:tcPr>
            <w:tcW w:w="1318" w:type="dxa"/>
            <w:tcBorders>
              <w:top w:val="nil"/>
              <w:left w:val="nil"/>
              <w:bottom w:val="single" w:color="auto" w:sz="4" w:space="0"/>
              <w:right w:val="single" w:color="auto" w:sz="4" w:space="0"/>
            </w:tcBorders>
            <w:vAlign w:val="center"/>
          </w:tcPr>
          <w:p w14:paraId="7EA6BBFF">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5D872B15">
            <w:pPr>
              <w:widowControl/>
              <w:jc w:val="center"/>
              <w:rPr>
                <w:rFonts w:ascii="宋体" w:hAnsi="宋体" w:cs="宋体"/>
                <w:kern w:val="0"/>
                <w:sz w:val="24"/>
              </w:rPr>
            </w:pPr>
            <w:r>
              <w:rPr>
                <w:rFonts w:hint="eastAsia" w:ascii="宋体" w:hAnsi="宋体" w:cs="宋体"/>
                <w:kern w:val="0"/>
                <w:sz w:val="24"/>
              </w:rPr>
              <w:t>海棠区</w:t>
            </w:r>
          </w:p>
        </w:tc>
      </w:tr>
      <w:tr w14:paraId="0D2BDF4C">
        <w:tblPrEx>
          <w:tblCellMar>
            <w:top w:w="0" w:type="dxa"/>
            <w:left w:w="108" w:type="dxa"/>
            <w:bottom w:w="0" w:type="dxa"/>
            <w:right w:w="108" w:type="dxa"/>
          </w:tblCellMar>
        </w:tblPrEx>
        <w:trPr>
          <w:trHeight w:val="375" w:hRule="atLeast"/>
        </w:trPr>
        <w:tc>
          <w:tcPr>
            <w:tcW w:w="711" w:type="dxa"/>
            <w:vMerge w:val="continue"/>
            <w:tcBorders>
              <w:top w:val="nil"/>
              <w:left w:val="single" w:color="auto" w:sz="4" w:space="0"/>
              <w:bottom w:val="single" w:color="auto" w:sz="4" w:space="0"/>
              <w:right w:val="single" w:color="auto" w:sz="4" w:space="0"/>
            </w:tcBorders>
            <w:vAlign w:val="center"/>
          </w:tcPr>
          <w:p w14:paraId="218DD1E7">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58BA48E2">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7D8AE841">
            <w:pPr>
              <w:widowControl/>
              <w:jc w:val="center"/>
              <w:rPr>
                <w:rFonts w:ascii="宋体" w:hAnsi="宋体" w:cs="宋体"/>
                <w:kern w:val="0"/>
                <w:sz w:val="24"/>
              </w:rPr>
            </w:pPr>
            <w:r>
              <w:rPr>
                <w:rFonts w:hint="eastAsia" w:ascii="宋体" w:hAnsi="宋体" w:cs="宋体"/>
                <w:kern w:val="0"/>
                <w:sz w:val="24"/>
              </w:rPr>
              <w:t>经济林改生态林</w:t>
            </w:r>
          </w:p>
        </w:tc>
        <w:tc>
          <w:tcPr>
            <w:tcW w:w="1417" w:type="dxa"/>
            <w:tcBorders>
              <w:top w:val="nil"/>
              <w:left w:val="nil"/>
              <w:bottom w:val="single" w:color="auto" w:sz="4" w:space="0"/>
              <w:right w:val="single" w:color="auto" w:sz="4" w:space="0"/>
            </w:tcBorders>
            <w:vAlign w:val="center"/>
          </w:tcPr>
          <w:p w14:paraId="54FD03DE">
            <w:pPr>
              <w:widowControl/>
              <w:jc w:val="center"/>
              <w:rPr>
                <w:kern w:val="0"/>
                <w:sz w:val="24"/>
              </w:rPr>
            </w:pPr>
            <w:r>
              <w:rPr>
                <w:kern w:val="0"/>
                <w:sz w:val="24"/>
              </w:rPr>
              <w:t>1000 hm</w:t>
            </w:r>
            <w:r>
              <w:rPr>
                <w:kern w:val="0"/>
                <w:sz w:val="24"/>
                <w:vertAlign w:val="superscript"/>
              </w:rPr>
              <w:t>2</w:t>
            </w:r>
          </w:p>
        </w:tc>
        <w:tc>
          <w:tcPr>
            <w:tcW w:w="1534" w:type="dxa"/>
            <w:tcBorders>
              <w:top w:val="nil"/>
              <w:left w:val="nil"/>
              <w:bottom w:val="single" w:color="auto" w:sz="4" w:space="0"/>
              <w:right w:val="single" w:color="auto" w:sz="4" w:space="0"/>
            </w:tcBorders>
            <w:vAlign w:val="center"/>
          </w:tcPr>
          <w:p w14:paraId="098A380A">
            <w:pPr>
              <w:widowControl/>
              <w:jc w:val="center"/>
              <w:rPr>
                <w:rFonts w:ascii="宋体" w:hAnsi="宋体" w:cs="宋体"/>
                <w:kern w:val="0"/>
                <w:sz w:val="24"/>
              </w:rPr>
            </w:pPr>
            <w:r>
              <w:rPr>
                <w:rFonts w:hint="eastAsia" w:ascii="宋体" w:hAnsi="宋体" w:cs="宋体"/>
                <w:kern w:val="0"/>
                <w:sz w:val="24"/>
              </w:rPr>
              <w:t>提质</w:t>
            </w:r>
          </w:p>
        </w:tc>
        <w:tc>
          <w:tcPr>
            <w:tcW w:w="1327" w:type="dxa"/>
            <w:tcBorders>
              <w:top w:val="nil"/>
              <w:left w:val="nil"/>
              <w:bottom w:val="single" w:color="auto" w:sz="4" w:space="0"/>
              <w:right w:val="single" w:color="auto" w:sz="4" w:space="0"/>
            </w:tcBorders>
            <w:vAlign w:val="center"/>
          </w:tcPr>
          <w:p w14:paraId="169489B0">
            <w:pPr>
              <w:widowControl/>
              <w:jc w:val="center"/>
              <w:rPr>
                <w:kern w:val="0"/>
                <w:sz w:val="24"/>
              </w:rPr>
            </w:pPr>
            <w:r>
              <w:rPr>
                <w:rFonts w:hint="eastAsia"/>
                <w:kern w:val="0"/>
                <w:sz w:val="24"/>
              </w:rPr>
              <w:t>26250</w:t>
            </w:r>
          </w:p>
        </w:tc>
        <w:tc>
          <w:tcPr>
            <w:tcW w:w="1318" w:type="dxa"/>
            <w:tcBorders>
              <w:top w:val="nil"/>
              <w:left w:val="nil"/>
              <w:bottom w:val="single" w:color="auto" w:sz="4" w:space="0"/>
              <w:right w:val="single" w:color="auto" w:sz="4" w:space="0"/>
            </w:tcBorders>
            <w:vAlign w:val="center"/>
          </w:tcPr>
          <w:p w14:paraId="5B72E54D">
            <w:pPr>
              <w:widowControl/>
              <w:jc w:val="center"/>
              <w:rPr>
                <w:rFonts w:ascii="宋体" w:hAnsi="宋体" w:cs="宋体"/>
                <w:kern w:val="0"/>
                <w:sz w:val="24"/>
              </w:rPr>
            </w:pPr>
            <w:r>
              <w:rPr>
                <w:rFonts w:hint="eastAsia" w:ascii="宋体" w:hAnsi="宋体" w:cs="宋体"/>
                <w:kern w:val="0"/>
                <w:sz w:val="24"/>
              </w:rPr>
              <w:t>政府投资</w:t>
            </w:r>
          </w:p>
        </w:tc>
        <w:tc>
          <w:tcPr>
            <w:tcW w:w="3476" w:type="dxa"/>
            <w:tcBorders>
              <w:top w:val="nil"/>
              <w:left w:val="nil"/>
              <w:bottom w:val="single" w:color="auto" w:sz="4" w:space="0"/>
              <w:right w:val="single" w:color="auto" w:sz="4" w:space="0"/>
            </w:tcBorders>
            <w:vAlign w:val="center"/>
          </w:tcPr>
          <w:p w14:paraId="61D395EF">
            <w:pPr>
              <w:widowControl/>
              <w:jc w:val="center"/>
              <w:rPr>
                <w:rFonts w:ascii="宋体" w:hAnsi="宋体" w:cs="宋体"/>
                <w:kern w:val="0"/>
                <w:sz w:val="24"/>
              </w:rPr>
            </w:pPr>
            <w:r>
              <w:rPr>
                <w:rFonts w:hint="eastAsia" w:ascii="宋体" w:hAnsi="宋体" w:cs="宋体"/>
                <w:kern w:val="0"/>
                <w:sz w:val="24"/>
              </w:rPr>
              <w:t>全市范围</w:t>
            </w:r>
          </w:p>
        </w:tc>
      </w:tr>
      <w:tr w14:paraId="689FF7AC">
        <w:tblPrEx>
          <w:tblCellMar>
            <w:top w:w="0" w:type="dxa"/>
            <w:left w:w="108" w:type="dxa"/>
            <w:bottom w:w="0" w:type="dxa"/>
            <w:right w:w="108" w:type="dxa"/>
          </w:tblCellMar>
        </w:tblPrEx>
        <w:trPr>
          <w:trHeight w:val="315" w:hRule="atLeast"/>
        </w:trPr>
        <w:tc>
          <w:tcPr>
            <w:tcW w:w="711" w:type="dxa"/>
            <w:vMerge w:val="continue"/>
            <w:tcBorders>
              <w:top w:val="nil"/>
              <w:left w:val="single" w:color="auto" w:sz="4" w:space="0"/>
              <w:bottom w:val="single" w:color="auto" w:sz="4" w:space="0"/>
              <w:right w:val="single" w:color="auto" w:sz="4" w:space="0"/>
            </w:tcBorders>
            <w:vAlign w:val="center"/>
          </w:tcPr>
          <w:p w14:paraId="6722288B">
            <w:pPr>
              <w:widowControl/>
              <w:jc w:val="left"/>
              <w:rPr>
                <w:kern w:val="0"/>
                <w:sz w:val="24"/>
              </w:rPr>
            </w:pPr>
          </w:p>
        </w:tc>
        <w:tc>
          <w:tcPr>
            <w:tcW w:w="1546" w:type="dxa"/>
            <w:vMerge w:val="continue"/>
            <w:tcBorders>
              <w:top w:val="nil"/>
              <w:left w:val="single" w:color="auto" w:sz="4" w:space="0"/>
              <w:bottom w:val="single" w:color="auto" w:sz="4" w:space="0"/>
              <w:right w:val="single" w:color="auto" w:sz="4" w:space="0"/>
            </w:tcBorders>
            <w:vAlign w:val="center"/>
          </w:tcPr>
          <w:p w14:paraId="247A56B5">
            <w:pPr>
              <w:widowControl/>
              <w:jc w:val="left"/>
              <w:rPr>
                <w:rFonts w:ascii="宋体" w:hAnsi="宋体" w:cs="宋体"/>
                <w:kern w:val="0"/>
                <w:sz w:val="24"/>
              </w:rPr>
            </w:pPr>
          </w:p>
        </w:tc>
        <w:tc>
          <w:tcPr>
            <w:tcW w:w="2989" w:type="dxa"/>
            <w:tcBorders>
              <w:top w:val="nil"/>
              <w:left w:val="nil"/>
              <w:bottom w:val="single" w:color="auto" w:sz="4" w:space="0"/>
              <w:right w:val="single" w:color="auto" w:sz="4" w:space="0"/>
            </w:tcBorders>
            <w:vAlign w:val="center"/>
          </w:tcPr>
          <w:p w14:paraId="045D1B0D">
            <w:pPr>
              <w:widowControl/>
              <w:jc w:val="center"/>
              <w:rPr>
                <w:rFonts w:ascii="宋体" w:hAnsi="宋体" w:cs="宋体"/>
                <w:kern w:val="0"/>
                <w:sz w:val="24"/>
              </w:rPr>
            </w:pPr>
            <w:r>
              <w:rPr>
                <w:rFonts w:hint="eastAsia" w:ascii="宋体" w:hAnsi="宋体" w:cs="宋体"/>
                <w:kern w:val="0"/>
                <w:sz w:val="24"/>
              </w:rPr>
              <w:t>经济林产品深加工</w:t>
            </w:r>
          </w:p>
        </w:tc>
        <w:tc>
          <w:tcPr>
            <w:tcW w:w="1417" w:type="dxa"/>
            <w:tcBorders>
              <w:top w:val="nil"/>
              <w:left w:val="nil"/>
              <w:bottom w:val="single" w:color="auto" w:sz="4" w:space="0"/>
              <w:right w:val="single" w:color="auto" w:sz="4" w:space="0"/>
            </w:tcBorders>
            <w:vAlign w:val="center"/>
          </w:tcPr>
          <w:p w14:paraId="02E3652B">
            <w:pPr>
              <w:widowControl/>
              <w:jc w:val="center"/>
              <w:rPr>
                <w:kern w:val="0"/>
                <w:sz w:val="24"/>
              </w:rPr>
            </w:pPr>
            <w:r>
              <w:rPr>
                <w:kern w:val="0"/>
                <w:sz w:val="24"/>
              </w:rPr>
              <w:t>2</w:t>
            </w:r>
            <w:r>
              <w:rPr>
                <w:rFonts w:hint="eastAsia" w:ascii="宋体" w:hAnsi="宋体"/>
                <w:kern w:val="0"/>
                <w:sz w:val="24"/>
              </w:rPr>
              <w:t>家</w:t>
            </w:r>
          </w:p>
        </w:tc>
        <w:tc>
          <w:tcPr>
            <w:tcW w:w="1534" w:type="dxa"/>
            <w:tcBorders>
              <w:top w:val="nil"/>
              <w:left w:val="nil"/>
              <w:bottom w:val="single" w:color="auto" w:sz="4" w:space="0"/>
              <w:right w:val="single" w:color="auto" w:sz="4" w:space="0"/>
            </w:tcBorders>
            <w:vAlign w:val="center"/>
          </w:tcPr>
          <w:p w14:paraId="68ACD2DF">
            <w:pPr>
              <w:widowControl/>
              <w:jc w:val="center"/>
              <w:rPr>
                <w:rFonts w:ascii="宋体" w:hAnsi="宋体" w:cs="宋体"/>
                <w:kern w:val="0"/>
                <w:sz w:val="24"/>
              </w:rPr>
            </w:pPr>
            <w:r>
              <w:rPr>
                <w:rFonts w:hint="eastAsia" w:ascii="宋体" w:hAnsi="宋体" w:cs="宋体"/>
                <w:kern w:val="0"/>
                <w:sz w:val="24"/>
              </w:rPr>
              <w:t>新建</w:t>
            </w:r>
          </w:p>
        </w:tc>
        <w:tc>
          <w:tcPr>
            <w:tcW w:w="1327" w:type="dxa"/>
            <w:tcBorders>
              <w:top w:val="nil"/>
              <w:left w:val="nil"/>
              <w:bottom w:val="single" w:color="auto" w:sz="4" w:space="0"/>
              <w:right w:val="single" w:color="auto" w:sz="4" w:space="0"/>
            </w:tcBorders>
            <w:vAlign w:val="center"/>
          </w:tcPr>
          <w:p w14:paraId="4922B451">
            <w:pPr>
              <w:widowControl/>
              <w:jc w:val="center"/>
              <w:rPr>
                <w:kern w:val="0"/>
                <w:sz w:val="24"/>
              </w:rPr>
            </w:pPr>
            <w:r>
              <w:rPr>
                <w:rFonts w:hint="eastAsia"/>
                <w:kern w:val="0"/>
                <w:sz w:val="24"/>
              </w:rPr>
              <w:t>4</w:t>
            </w:r>
            <w:r>
              <w:rPr>
                <w:kern w:val="0"/>
                <w:sz w:val="24"/>
              </w:rPr>
              <w:t>000</w:t>
            </w:r>
          </w:p>
        </w:tc>
        <w:tc>
          <w:tcPr>
            <w:tcW w:w="1318" w:type="dxa"/>
            <w:tcBorders>
              <w:top w:val="nil"/>
              <w:left w:val="nil"/>
              <w:bottom w:val="single" w:color="auto" w:sz="4" w:space="0"/>
              <w:right w:val="single" w:color="auto" w:sz="4" w:space="0"/>
            </w:tcBorders>
            <w:vAlign w:val="center"/>
          </w:tcPr>
          <w:p w14:paraId="536C6935">
            <w:pPr>
              <w:widowControl/>
              <w:jc w:val="center"/>
              <w:rPr>
                <w:rFonts w:ascii="宋体" w:hAnsi="宋体" w:cs="宋体"/>
                <w:kern w:val="0"/>
                <w:sz w:val="24"/>
              </w:rPr>
            </w:pPr>
            <w:r>
              <w:rPr>
                <w:rFonts w:hint="eastAsia" w:ascii="宋体" w:hAnsi="宋体" w:cs="宋体"/>
                <w:kern w:val="0"/>
                <w:sz w:val="24"/>
              </w:rPr>
              <w:t>政府投资社会投资</w:t>
            </w:r>
          </w:p>
        </w:tc>
        <w:tc>
          <w:tcPr>
            <w:tcW w:w="3476" w:type="dxa"/>
            <w:tcBorders>
              <w:top w:val="nil"/>
              <w:left w:val="nil"/>
              <w:bottom w:val="single" w:color="auto" w:sz="4" w:space="0"/>
              <w:right w:val="single" w:color="auto" w:sz="4" w:space="0"/>
            </w:tcBorders>
            <w:vAlign w:val="center"/>
          </w:tcPr>
          <w:p w14:paraId="010CF1AC">
            <w:pPr>
              <w:widowControl/>
              <w:jc w:val="center"/>
              <w:rPr>
                <w:rFonts w:ascii="宋体" w:hAnsi="宋体" w:cs="宋体"/>
                <w:kern w:val="0"/>
                <w:sz w:val="24"/>
              </w:rPr>
            </w:pPr>
            <w:r>
              <w:rPr>
                <w:rFonts w:hint="eastAsia" w:ascii="宋体" w:hAnsi="宋体" w:cs="宋体"/>
                <w:kern w:val="0"/>
                <w:sz w:val="24"/>
              </w:rPr>
              <w:t>崖州区、天涯区、育才生态区</w:t>
            </w:r>
          </w:p>
        </w:tc>
      </w:tr>
      <w:tr w14:paraId="09BAD80E">
        <w:tblPrEx>
          <w:tblCellMar>
            <w:top w:w="0" w:type="dxa"/>
            <w:left w:w="108" w:type="dxa"/>
            <w:bottom w:w="0" w:type="dxa"/>
            <w:right w:w="108" w:type="dxa"/>
          </w:tblCellMar>
        </w:tblPrEx>
        <w:trPr>
          <w:trHeight w:val="525" w:hRule="atLeast"/>
        </w:trPr>
        <w:tc>
          <w:tcPr>
            <w:tcW w:w="711" w:type="dxa"/>
            <w:vMerge w:val="continue"/>
            <w:tcBorders>
              <w:top w:val="nil"/>
              <w:left w:val="single" w:color="auto" w:sz="4" w:space="0"/>
              <w:bottom w:val="single" w:color="auto" w:sz="4" w:space="0"/>
              <w:right w:val="single" w:color="auto" w:sz="4" w:space="0"/>
            </w:tcBorders>
            <w:vAlign w:val="center"/>
          </w:tcPr>
          <w:p w14:paraId="5BED776C">
            <w:pPr>
              <w:widowControl/>
              <w:jc w:val="left"/>
              <w:rPr>
                <w:kern w:val="0"/>
                <w:sz w:val="24"/>
              </w:rPr>
            </w:pPr>
          </w:p>
        </w:tc>
        <w:tc>
          <w:tcPr>
            <w:tcW w:w="4535" w:type="dxa"/>
            <w:gridSpan w:val="2"/>
            <w:tcBorders>
              <w:top w:val="single" w:color="auto" w:sz="4" w:space="0"/>
              <w:left w:val="nil"/>
              <w:bottom w:val="single" w:color="auto" w:sz="4" w:space="0"/>
              <w:right w:val="single" w:color="auto" w:sz="4" w:space="0"/>
            </w:tcBorders>
            <w:vAlign w:val="center"/>
          </w:tcPr>
          <w:p w14:paraId="400B4BCB">
            <w:pPr>
              <w:widowControl/>
              <w:jc w:val="center"/>
              <w:rPr>
                <w:rFonts w:ascii="宋体" w:hAnsi="宋体" w:cs="宋体"/>
                <w:b/>
                <w:bCs/>
                <w:kern w:val="0"/>
                <w:sz w:val="24"/>
              </w:rPr>
            </w:pPr>
            <w:r>
              <w:rPr>
                <w:rFonts w:hint="eastAsia" w:ascii="宋体" w:hAnsi="宋体" w:cs="宋体"/>
                <w:b/>
                <w:bCs/>
                <w:kern w:val="0"/>
                <w:sz w:val="24"/>
              </w:rPr>
              <w:t>小计</w:t>
            </w:r>
          </w:p>
        </w:tc>
        <w:tc>
          <w:tcPr>
            <w:tcW w:w="1417" w:type="dxa"/>
            <w:tcBorders>
              <w:top w:val="nil"/>
              <w:left w:val="nil"/>
              <w:bottom w:val="single" w:color="auto" w:sz="4" w:space="0"/>
              <w:right w:val="single" w:color="auto" w:sz="4" w:space="0"/>
            </w:tcBorders>
            <w:vAlign w:val="center"/>
          </w:tcPr>
          <w:p w14:paraId="0C677142">
            <w:pPr>
              <w:widowControl/>
              <w:jc w:val="center"/>
              <w:rPr>
                <w:kern w:val="0"/>
                <w:sz w:val="24"/>
              </w:rPr>
            </w:pPr>
            <w:r>
              <w:rPr>
                <w:kern w:val="0"/>
                <w:sz w:val="24"/>
              </w:rPr>
              <w:t>—</w:t>
            </w:r>
          </w:p>
        </w:tc>
        <w:tc>
          <w:tcPr>
            <w:tcW w:w="1534" w:type="dxa"/>
            <w:tcBorders>
              <w:top w:val="nil"/>
              <w:left w:val="nil"/>
              <w:bottom w:val="single" w:color="auto" w:sz="4" w:space="0"/>
              <w:right w:val="single" w:color="auto" w:sz="4" w:space="0"/>
            </w:tcBorders>
            <w:noWrap/>
            <w:vAlign w:val="center"/>
          </w:tcPr>
          <w:p w14:paraId="7770A187">
            <w:pPr>
              <w:widowControl/>
              <w:jc w:val="left"/>
              <w:rPr>
                <w:rFonts w:ascii="宋体" w:hAnsi="宋体" w:cs="宋体"/>
                <w:kern w:val="0"/>
                <w:sz w:val="24"/>
              </w:rPr>
            </w:pPr>
            <w:r>
              <w:rPr>
                <w:rFonts w:hint="eastAsia" w:ascii="宋体" w:hAnsi="宋体" w:cs="宋体"/>
                <w:kern w:val="0"/>
                <w:sz w:val="24"/>
              </w:rPr>
              <w:t>　</w:t>
            </w:r>
          </w:p>
        </w:tc>
        <w:tc>
          <w:tcPr>
            <w:tcW w:w="1327" w:type="dxa"/>
            <w:tcBorders>
              <w:top w:val="nil"/>
              <w:left w:val="nil"/>
              <w:bottom w:val="single" w:color="auto" w:sz="4" w:space="0"/>
              <w:right w:val="single" w:color="auto" w:sz="4" w:space="0"/>
            </w:tcBorders>
            <w:vAlign w:val="center"/>
          </w:tcPr>
          <w:p w14:paraId="36F1ACDB">
            <w:pPr>
              <w:widowControl/>
              <w:jc w:val="center"/>
              <w:rPr>
                <w:b/>
                <w:bCs/>
                <w:kern w:val="0"/>
                <w:sz w:val="24"/>
              </w:rPr>
            </w:pPr>
            <w:r>
              <w:rPr>
                <w:rFonts w:hint="eastAsia"/>
                <w:b/>
                <w:bCs/>
                <w:kern w:val="0"/>
                <w:sz w:val="24"/>
              </w:rPr>
              <w:t>59750</w:t>
            </w:r>
          </w:p>
        </w:tc>
        <w:tc>
          <w:tcPr>
            <w:tcW w:w="1318" w:type="dxa"/>
            <w:tcBorders>
              <w:top w:val="nil"/>
              <w:left w:val="nil"/>
              <w:bottom w:val="single" w:color="auto" w:sz="4" w:space="0"/>
              <w:right w:val="single" w:color="auto" w:sz="4" w:space="0"/>
            </w:tcBorders>
            <w:noWrap/>
            <w:vAlign w:val="center"/>
          </w:tcPr>
          <w:p w14:paraId="70812E4A">
            <w:pPr>
              <w:widowControl/>
              <w:jc w:val="left"/>
              <w:rPr>
                <w:rFonts w:ascii="宋体" w:hAnsi="宋体" w:cs="宋体"/>
                <w:kern w:val="0"/>
                <w:sz w:val="24"/>
              </w:rPr>
            </w:pPr>
            <w:r>
              <w:rPr>
                <w:rFonts w:hint="eastAsia" w:ascii="宋体" w:hAnsi="宋体" w:cs="宋体"/>
                <w:kern w:val="0"/>
                <w:sz w:val="24"/>
              </w:rPr>
              <w:t>　</w:t>
            </w:r>
          </w:p>
        </w:tc>
        <w:tc>
          <w:tcPr>
            <w:tcW w:w="3476" w:type="dxa"/>
            <w:tcBorders>
              <w:top w:val="nil"/>
              <w:left w:val="nil"/>
              <w:bottom w:val="single" w:color="auto" w:sz="4" w:space="0"/>
              <w:right w:val="single" w:color="auto" w:sz="4" w:space="0"/>
            </w:tcBorders>
            <w:noWrap/>
            <w:vAlign w:val="center"/>
          </w:tcPr>
          <w:p w14:paraId="26D9B9D5">
            <w:pPr>
              <w:widowControl/>
              <w:jc w:val="left"/>
              <w:rPr>
                <w:rFonts w:ascii="宋体" w:hAnsi="宋体" w:cs="宋体"/>
                <w:kern w:val="0"/>
                <w:sz w:val="24"/>
              </w:rPr>
            </w:pPr>
            <w:r>
              <w:rPr>
                <w:rFonts w:hint="eastAsia" w:ascii="宋体" w:hAnsi="宋体" w:cs="宋体"/>
                <w:kern w:val="0"/>
                <w:sz w:val="24"/>
              </w:rPr>
              <w:t>　</w:t>
            </w:r>
          </w:p>
        </w:tc>
      </w:tr>
      <w:bookmarkEnd w:id="113"/>
      <w:bookmarkEnd w:id="115"/>
    </w:tbl>
    <w:p w14:paraId="5FFF42FD">
      <w:pPr>
        <w:rPr>
          <w:rFonts w:hint="eastAsia"/>
        </w:rPr>
      </w:pPr>
      <w:bookmarkStart w:id="116" w:name="_Toc24240"/>
      <w:bookmarkStart w:id="117" w:name="_Toc493"/>
      <w:bookmarkStart w:id="118" w:name="_Toc470"/>
      <w:bookmarkStart w:id="119" w:name="_Toc1138"/>
      <w:bookmarkStart w:id="120" w:name="_Toc7352"/>
      <w:bookmarkStart w:id="121" w:name="_Toc30952"/>
      <w:bookmarkStart w:id="122" w:name="_Toc7823"/>
      <w:bookmarkStart w:id="123" w:name="_Toc16998"/>
      <w:bookmarkStart w:id="124" w:name="_Toc12440"/>
    </w:p>
    <w:p w14:paraId="5EB9BCB3">
      <w:pPr>
        <w:sectPr>
          <w:pgSz w:w="16838" w:h="11905" w:orient="landscape"/>
          <w:pgMar w:top="1803" w:right="1440" w:bottom="1803" w:left="1440" w:header="851" w:footer="992" w:gutter="0"/>
          <w:cols w:space="720" w:num="1"/>
          <w:docGrid w:type="lines" w:linePitch="319" w:charSpace="0"/>
        </w:sectPr>
      </w:pPr>
      <w:r>
        <w:rPr>
          <w:rFonts w:hint="eastAsia" w:ascii="仿宋_GB2312" w:eastAsia="仿宋_GB2312"/>
          <w:b/>
          <w:sz w:val="24"/>
        </w:rPr>
        <w:t>注：</w:t>
      </w:r>
      <w:r>
        <w:rPr>
          <w:rFonts w:hint="eastAsia" w:ascii="仿宋_GB2312" w:eastAsia="仿宋_GB2312"/>
          <w:sz w:val="24"/>
        </w:rPr>
        <w:t>政府投资根据地方财力和批复资金为建设投资依据，社会投资根据市场和企业实际投入为建设投资依据。</w:t>
      </w:r>
    </w:p>
    <w:p w14:paraId="1689023C">
      <w:pPr>
        <w:pStyle w:val="15"/>
        <w:spacing w:before="0"/>
        <w:rPr>
          <w:rFonts w:ascii="黑体" w:hAnsi="黑体" w:eastAsia="黑体"/>
          <w:sz w:val="36"/>
        </w:rPr>
      </w:pPr>
      <w:bookmarkStart w:id="125" w:name="_Toc82546099"/>
      <w:r>
        <w:rPr>
          <w:rFonts w:ascii="黑体" w:hAnsi="黑体" w:eastAsia="黑体"/>
          <w:sz w:val="36"/>
        </w:rPr>
        <w:t>第</w:t>
      </w:r>
      <w:r>
        <w:rPr>
          <w:rFonts w:hint="eastAsia" w:ascii="黑体" w:hAnsi="黑体" w:eastAsia="黑体"/>
          <w:sz w:val="36"/>
        </w:rPr>
        <w:t>十</w:t>
      </w:r>
      <w:r>
        <w:rPr>
          <w:rFonts w:ascii="黑体" w:hAnsi="黑体" w:eastAsia="黑体"/>
          <w:sz w:val="36"/>
        </w:rPr>
        <w:t>章  林下经济产业规划</w:t>
      </w:r>
      <w:bookmarkEnd w:id="125"/>
    </w:p>
    <w:p w14:paraId="21277E28">
      <w:pPr>
        <w:pStyle w:val="3"/>
        <w:spacing w:before="319" w:beforeLines="100" w:after="0" w:line="240" w:lineRule="auto"/>
        <w:rPr>
          <w:rFonts w:eastAsia="黑体"/>
          <w:b w:val="0"/>
          <w:bCs w:val="0"/>
        </w:rPr>
      </w:pPr>
      <w:bookmarkStart w:id="126" w:name="_Toc82546100"/>
      <w:r>
        <w:rPr>
          <w:rFonts w:hint="eastAsia" w:ascii="Times New Roman" w:hAnsi="Times New Roman" w:eastAsia="黑体"/>
        </w:rPr>
        <w:t>10</w:t>
      </w:r>
      <w:r>
        <w:rPr>
          <w:rFonts w:ascii="Times New Roman" w:hAnsi="Times New Roman" w:eastAsia="黑体"/>
        </w:rPr>
        <w:t>.1 产业现状</w:t>
      </w:r>
      <w:bookmarkEnd w:id="126"/>
    </w:p>
    <w:p w14:paraId="031F8D84">
      <w:pPr>
        <w:spacing w:line="360" w:lineRule="auto"/>
        <w:ind w:firstLine="640" w:firstLineChars="200"/>
        <w:rPr>
          <w:rFonts w:eastAsia="仿宋_GB2312"/>
          <w:sz w:val="32"/>
          <w:szCs w:val="32"/>
        </w:rPr>
      </w:pPr>
      <w:r>
        <w:rPr>
          <w:rFonts w:hint="eastAsia" w:eastAsia="仿宋_GB2312"/>
          <w:sz w:val="32"/>
          <w:szCs w:val="32"/>
        </w:rPr>
        <w:t>2020年</w:t>
      </w:r>
      <w:r>
        <w:rPr>
          <w:rFonts w:eastAsia="仿宋_GB2312"/>
          <w:sz w:val="32"/>
          <w:szCs w:val="32"/>
        </w:rPr>
        <w:t>发改农经印发《关于科学利用林地资源促进木本粮油和林下经济高质量发展的意见》</w:t>
      </w:r>
      <w:r>
        <w:rPr>
          <w:rFonts w:hint="eastAsia" w:eastAsia="仿宋_GB2312"/>
          <w:sz w:val="32"/>
          <w:szCs w:val="32"/>
        </w:rPr>
        <w:t>，</w:t>
      </w:r>
      <w:r>
        <w:rPr>
          <w:rFonts w:eastAsia="仿宋_GB2312"/>
          <w:sz w:val="32"/>
          <w:szCs w:val="32"/>
        </w:rPr>
        <w:t>指出</w:t>
      </w:r>
      <w:r>
        <w:rPr>
          <w:rFonts w:hint="eastAsia" w:eastAsia="仿宋_GB2312"/>
          <w:sz w:val="32"/>
          <w:szCs w:val="32"/>
        </w:rPr>
        <w:t>要科学规划林下经济产业布局，促进林区山区群众稳定增收、实现资源永续利用的重要举措。</w:t>
      </w:r>
      <w:r>
        <w:rPr>
          <w:rFonts w:eastAsia="仿宋_GB2312"/>
          <w:sz w:val="32"/>
          <w:szCs w:val="32"/>
        </w:rPr>
        <w:t>经调查统计，截止2020年底，三亚市林下经济种养面积</w:t>
      </w:r>
      <w:r>
        <w:rPr>
          <w:rFonts w:hint="eastAsia" w:eastAsia="仿宋_GB2312"/>
          <w:sz w:val="32"/>
          <w:szCs w:val="32"/>
        </w:rPr>
        <w:t xml:space="preserve">396.3 </w:t>
      </w:r>
      <w:r>
        <w:rPr>
          <w:rFonts w:eastAsia="仿宋_GB2312"/>
          <w:sz w:val="32"/>
          <w:szCs w:val="32"/>
        </w:rPr>
        <w:t>hm</w:t>
      </w:r>
      <w:r>
        <w:rPr>
          <w:rFonts w:eastAsia="仿宋_GB2312"/>
          <w:sz w:val="32"/>
          <w:szCs w:val="32"/>
          <w:vertAlign w:val="superscript"/>
        </w:rPr>
        <w:t>2</w:t>
      </w:r>
      <w:r>
        <w:rPr>
          <w:rFonts w:eastAsia="仿宋_GB2312"/>
          <w:sz w:val="32"/>
          <w:szCs w:val="32"/>
        </w:rPr>
        <w:t>，产值5938万元，占全市林业总产值16.8%</w:t>
      </w:r>
      <w:r>
        <w:rPr>
          <w:rFonts w:hint="eastAsia" w:eastAsia="仿宋_GB2312"/>
          <w:sz w:val="32"/>
          <w:szCs w:val="32"/>
        </w:rPr>
        <w:t>，</w:t>
      </w:r>
      <w:r>
        <w:rPr>
          <w:rFonts w:eastAsia="仿宋_GB2312"/>
          <w:sz w:val="32"/>
          <w:szCs w:val="32"/>
        </w:rPr>
        <w:t>其中种植面积</w:t>
      </w:r>
      <w:r>
        <w:rPr>
          <w:rFonts w:hint="eastAsia" w:eastAsia="仿宋_GB2312"/>
          <w:sz w:val="32"/>
          <w:szCs w:val="32"/>
        </w:rPr>
        <w:t>133.3</w:t>
      </w:r>
      <w:r>
        <w:rPr>
          <w:rFonts w:eastAsia="仿宋_GB2312"/>
          <w:sz w:val="32"/>
          <w:szCs w:val="32"/>
        </w:rPr>
        <w:t xml:space="preserve"> hm</w:t>
      </w:r>
      <w:r>
        <w:rPr>
          <w:rFonts w:eastAsia="仿宋_GB2312"/>
          <w:sz w:val="32"/>
          <w:szCs w:val="32"/>
          <w:vertAlign w:val="superscript"/>
        </w:rPr>
        <w:t>2</w:t>
      </w:r>
      <w:r>
        <w:rPr>
          <w:rFonts w:eastAsia="仿宋_GB2312"/>
          <w:sz w:val="32"/>
          <w:szCs w:val="32"/>
        </w:rPr>
        <w:t>，主要是益智和牛大力，产值75万元，2019全市中药材产值304万</w:t>
      </w:r>
      <w:r>
        <w:rPr>
          <w:rFonts w:hint="eastAsia" w:eastAsia="仿宋_GB2312"/>
          <w:sz w:val="32"/>
          <w:szCs w:val="32"/>
        </w:rPr>
        <w:t>元</w:t>
      </w:r>
      <w:r>
        <w:rPr>
          <w:rFonts w:eastAsia="仿宋_GB2312"/>
          <w:sz w:val="32"/>
          <w:szCs w:val="32"/>
        </w:rPr>
        <w:t>（2019年三亚市国民经济和社会发展统计公报），林下种植产值占中药材产值24.7%；养殖面积263 hm</w:t>
      </w:r>
      <w:r>
        <w:rPr>
          <w:rFonts w:eastAsia="仿宋_GB2312"/>
          <w:sz w:val="32"/>
          <w:szCs w:val="32"/>
          <w:vertAlign w:val="superscript"/>
        </w:rPr>
        <w:t>2</w:t>
      </w:r>
      <w:r>
        <w:rPr>
          <w:rFonts w:eastAsia="仿宋_GB2312"/>
          <w:sz w:val="32"/>
          <w:szCs w:val="32"/>
        </w:rPr>
        <w:t>，产值5863万元，全市（家禽饲养、畜牧饲养、猪饲养、肉禽）总产值131761万元（2020年三亚市国民经济和社会发展统计公报），林下养殖产值占比4.4%；林下养殖合作社共计15家。</w:t>
      </w:r>
    </w:p>
    <w:p w14:paraId="6C84B148">
      <w:pPr>
        <w:ind w:firstLine="640" w:firstLineChars="200"/>
        <w:rPr>
          <w:rFonts w:eastAsia="仿宋_GB2312"/>
          <w:sz w:val="32"/>
          <w:szCs w:val="32"/>
        </w:rPr>
      </w:pPr>
      <w:r>
        <w:rPr>
          <w:rFonts w:eastAsia="仿宋_GB2312"/>
          <w:sz w:val="32"/>
          <w:szCs w:val="32"/>
        </w:rPr>
        <w:t>（1）天涯区8</w:t>
      </w:r>
      <w:r>
        <w:rPr>
          <w:rFonts w:hint="eastAsia" w:eastAsia="仿宋_GB2312"/>
          <w:sz w:val="32"/>
          <w:szCs w:val="32"/>
        </w:rPr>
        <w:t>家</w:t>
      </w:r>
      <w:r>
        <w:rPr>
          <w:rFonts w:eastAsia="仿宋_GB2312"/>
          <w:sz w:val="32"/>
          <w:szCs w:val="32"/>
        </w:rPr>
        <w:t>林下养殖合作社，养殖面积达164</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，产值1200万元；主要养殖鸡、猪、羊、牛、蜂、鹅等；种植面积48</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，产值17万元；面积：牛大力31 hm</w:t>
      </w:r>
      <w:r>
        <w:rPr>
          <w:rFonts w:eastAsia="仿宋_GB2312"/>
          <w:sz w:val="32"/>
          <w:szCs w:val="32"/>
          <w:vertAlign w:val="superscript"/>
        </w:rPr>
        <w:t>2</w:t>
      </w:r>
      <w:r>
        <w:rPr>
          <w:rFonts w:eastAsia="仿宋_GB2312"/>
          <w:sz w:val="32"/>
          <w:szCs w:val="32"/>
        </w:rPr>
        <w:t>（还未产生经济价值），益智15</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，红豆杉3 hm</w:t>
      </w:r>
      <w:r>
        <w:rPr>
          <w:rFonts w:eastAsia="仿宋_GB2312"/>
          <w:sz w:val="32"/>
          <w:szCs w:val="32"/>
          <w:vertAlign w:val="superscript"/>
        </w:rPr>
        <w:t>2</w:t>
      </w:r>
      <w:r>
        <w:rPr>
          <w:rFonts w:eastAsia="仿宋_GB2312"/>
          <w:sz w:val="32"/>
          <w:szCs w:val="32"/>
        </w:rPr>
        <w:t>。</w:t>
      </w:r>
    </w:p>
    <w:p w14:paraId="3991F711">
      <w:pPr>
        <w:ind w:firstLine="640" w:firstLineChars="200"/>
        <w:rPr>
          <w:rFonts w:eastAsia="仿宋_GB2312"/>
          <w:sz w:val="32"/>
          <w:szCs w:val="32"/>
        </w:rPr>
      </w:pPr>
      <w:r>
        <w:rPr>
          <w:rFonts w:eastAsia="仿宋_GB2312"/>
          <w:sz w:val="32"/>
          <w:szCs w:val="32"/>
        </w:rPr>
        <w:t>（2）育才生态区7</w:t>
      </w:r>
      <w:r>
        <w:rPr>
          <w:rFonts w:hint="eastAsia" w:eastAsia="仿宋_GB2312"/>
          <w:sz w:val="32"/>
          <w:szCs w:val="32"/>
        </w:rPr>
        <w:t>家</w:t>
      </w:r>
      <w:r>
        <w:rPr>
          <w:rFonts w:eastAsia="仿宋_GB2312"/>
          <w:sz w:val="32"/>
          <w:szCs w:val="32"/>
        </w:rPr>
        <w:t>林下养殖合作社，养殖面积87</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，产值1950万元，主要养殖鸡、猪、鸽子、羊、蜂等；种植面</w:t>
      </w:r>
      <w:r>
        <w:rPr>
          <w:rFonts w:hint="eastAsia" w:eastAsia="仿宋_GB2312"/>
          <w:sz w:val="32"/>
          <w:szCs w:val="32"/>
        </w:rPr>
        <w:t xml:space="preserve">73.3 </w:t>
      </w:r>
      <w:r>
        <w:rPr>
          <w:rFonts w:eastAsia="仿宋_GB2312"/>
          <w:sz w:val="32"/>
          <w:szCs w:val="32"/>
        </w:rPr>
        <w:t>hm</w:t>
      </w:r>
      <w:r>
        <w:rPr>
          <w:rFonts w:eastAsia="仿宋_GB2312"/>
          <w:sz w:val="32"/>
          <w:szCs w:val="32"/>
          <w:vertAlign w:val="superscript"/>
        </w:rPr>
        <w:t>2</w:t>
      </w:r>
      <w:r>
        <w:rPr>
          <w:rFonts w:eastAsia="仿宋_GB2312"/>
          <w:sz w:val="32"/>
          <w:szCs w:val="32"/>
        </w:rPr>
        <w:t>，产值58万元，面积：益智</w:t>
      </w:r>
      <w:r>
        <w:rPr>
          <w:rFonts w:hint="eastAsia" w:eastAsia="仿宋_GB2312"/>
          <w:sz w:val="32"/>
          <w:szCs w:val="32"/>
        </w:rPr>
        <w:t>64</w:t>
      </w:r>
      <w:r>
        <w:rPr>
          <w:rFonts w:eastAsia="仿宋_GB2312"/>
          <w:sz w:val="32"/>
          <w:szCs w:val="32"/>
        </w:rPr>
        <w:t xml:space="preserve"> hm</w:t>
      </w:r>
      <w:r>
        <w:rPr>
          <w:rFonts w:eastAsia="仿宋_GB2312"/>
          <w:sz w:val="32"/>
          <w:szCs w:val="32"/>
          <w:vertAlign w:val="superscript"/>
        </w:rPr>
        <w:t>2</w:t>
      </w:r>
      <w:r>
        <w:rPr>
          <w:rFonts w:eastAsia="仿宋_GB2312"/>
          <w:sz w:val="32"/>
          <w:szCs w:val="32"/>
        </w:rPr>
        <w:t>，牛大力</w:t>
      </w:r>
      <w:r>
        <w:rPr>
          <w:rFonts w:hint="eastAsia" w:eastAsia="仿宋_GB2312"/>
          <w:sz w:val="32"/>
          <w:szCs w:val="32"/>
        </w:rPr>
        <w:t>8 hm</w:t>
      </w:r>
      <w:r>
        <w:rPr>
          <w:rFonts w:hint="eastAsia" w:eastAsia="仿宋_GB2312"/>
          <w:sz w:val="32"/>
          <w:szCs w:val="32"/>
          <w:vertAlign w:val="superscript"/>
        </w:rPr>
        <w:t>2</w:t>
      </w:r>
      <w:r>
        <w:rPr>
          <w:rFonts w:eastAsia="仿宋_GB2312"/>
          <w:sz w:val="32"/>
          <w:szCs w:val="32"/>
        </w:rPr>
        <w:t>，红豆杉1.3</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w:t>
      </w:r>
    </w:p>
    <w:p w14:paraId="2FC024EA">
      <w:pPr>
        <w:ind w:firstLine="640" w:firstLineChars="200"/>
        <w:rPr>
          <w:rFonts w:eastAsia="仿宋_GB2312"/>
          <w:sz w:val="32"/>
          <w:szCs w:val="32"/>
        </w:rPr>
      </w:pPr>
      <w:r>
        <w:rPr>
          <w:rFonts w:eastAsia="仿宋_GB2312"/>
          <w:sz w:val="32"/>
          <w:szCs w:val="32"/>
        </w:rPr>
        <w:t>（3）崖州区养殖面积12</w:t>
      </w:r>
      <w:r>
        <w:rPr>
          <w:rFonts w:hint="eastAsia" w:eastAsia="仿宋_GB2312"/>
          <w:sz w:val="32"/>
          <w:szCs w:val="32"/>
        </w:rPr>
        <w:t xml:space="preserve"> </w:t>
      </w:r>
      <w:r>
        <w:rPr>
          <w:rFonts w:eastAsia="仿宋_GB2312"/>
          <w:sz w:val="32"/>
          <w:szCs w:val="32"/>
        </w:rPr>
        <w:t>hm</w:t>
      </w:r>
      <w:r>
        <w:rPr>
          <w:rFonts w:eastAsia="仿宋_GB2312"/>
          <w:sz w:val="32"/>
          <w:szCs w:val="32"/>
          <w:vertAlign w:val="superscript"/>
        </w:rPr>
        <w:t>2</w:t>
      </w:r>
      <w:r>
        <w:rPr>
          <w:rFonts w:eastAsia="仿宋_GB2312"/>
          <w:sz w:val="32"/>
          <w:szCs w:val="32"/>
        </w:rPr>
        <w:t>，产值2713万元，主要养殖鸡、猪、羊、鸽子、牛、蜂、鹅等。</w:t>
      </w:r>
    </w:p>
    <w:p w14:paraId="7954E166">
      <w:pPr>
        <w:ind w:firstLine="640" w:firstLineChars="200"/>
        <w:rPr>
          <w:rFonts w:eastAsia="仿宋_GB2312"/>
          <w:sz w:val="32"/>
          <w:szCs w:val="32"/>
        </w:rPr>
      </w:pPr>
      <w:r>
        <w:rPr>
          <w:rFonts w:eastAsia="仿宋_GB2312"/>
          <w:sz w:val="32"/>
          <w:szCs w:val="32"/>
        </w:rPr>
        <w:t>现三亚市养殖产业已初步形成“合作社+基地+农户”、单户独立经营等模式，林下种植规模小，主要是单户独立经营模式。海棠区和吉阳区林下经济种养基本上没有。从现状看，三亚市林下经济产业类型主要有林下种植和林下养殖两大类。现主要开展林下养殖品种有：本地鸡、羊、猪、牛鸽、蜂，林下种植益智、牛大力、红豆杉等。与调查统计数据相比，三亚市林下经济产值占比少，林下经济发展总体还处于起步阶段，急需大力发展林下种植和养殖产业。</w:t>
      </w:r>
    </w:p>
    <w:p w14:paraId="4857EF54">
      <w:pPr>
        <w:pStyle w:val="3"/>
        <w:spacing w:before="0" w:after="0" w:line="240" w:lineRule="auto"/>
        <w:rPr>
          <w:rFonts w:ascii="Times New Roman" w:hAnsi="Times New Roman" w:eastAsia="黑体"/>
        </w:rPr>
      </w:pPr>
      <w:bookmarkStart w:id="127" w:name="_Toc82546101"/>
      <w:r>
        <w:rPr>
          <w:rFonts w:hint="eastAsia" w:ascii="Times New Roman" w:hAnsi="Times New Roman" w:eastAsia="黑体"/>
        </w:rPr>
        <w:t>10</w:t>
      </w:r>
      <w:r>
        <w:rPr>
          <w:rFonts w:ascii="Times New Roman" w:hAnsi="Times New Roman" w:eastAsia="黑体"/>
        </w:rPr>
        <w:t>.2 存在的主要问题</w:t>
      </w:r>
      <w:bookmarkEnd w:id="127"/>
    </w:p>
    <w:p w14:paraId="70854B4B">
      <w:pPr>
        <w:ind w:firstLine="640" w:firstLineChars="200"/>
        <w:rPr>
          <w:rFonts w:eastAsia="仿宋_GB2312"/>
          <w:sz w:val="32"/>
          <w:szCs w:val="32"/>
        </w:rPr>
      </w:pPr>
      <w:r>
        <w:rPr>
          <w:rFonts w:eastAsia="仿宋_GB2312"/>
          <w:sz w:val="32"/>
          <w:szCs w:val="32"/>
        </w:rPr>
        <w:t>（1）经营投资有限，缺乏经营主体带动，供需信息不畅。林下经济种植零星、分散，品种少；林下养殖品种多、规模小，只有少数的合作社，由于农户与销售市场经常会出现脱离情况，从而降低产品统一，难以形成商品优势和产业优势。同时，市场预测能力不足，抵御自然灾害及市场风险能力有限，加上资金积累不易，林下种植产业发展周期长，经济效益低，林下养殖产业发展技术不高，风险大，长期处于起步发展阶段。</w:t>
      </w:r>
    </w:p>
    <w:p w14:paraId="44A67E06">
      <w:pPr>
        <w:ind w:firstLine="640" w:firstLineChars="200"/>
        <w:rPr>
          <w:rFonts w:eastAsia="仿宋_GB2312"/>
          <w:sz w:val="32"/>
          <w:szCs w:val="32"/>
        </w:rPr>
      </w:pPr>
      <w:r>
        <w:rPr>
          <w:rFonts w:eastAsia="仿宋_GB2312"/>
          <w:sz w:val="32"/>
          <w:szCs w:val="32"/>
        </w:rPr>
        <w:t>（2）管理水平较低，科技含量不高。由于林下经济刚刚兴起，很多林农种养选择面狭窄及市场前景预测不足，同时缺少管理培训和技术指导，导致使用传统的管理方法和生产模式，管理水平较低、科技含量不高，产品销量低，品质差，导致销售价格低，林农种养意愿低。</w:t>
      </w:r>
    </w:p>
    <w:p w14:paraId="423D76BC">
      <w:pPr>
        <w:ind w:firstLine="640" w:firstLineChars="200"/>
        <w:rPr>
          <w:rFonts w:eastAsia="仿宋_GB2312"/>
          <w:sz w:val="32"/>
          <w:szCs w:val="32"/>
        </w:rPr>
      </w:pPr>
      <w:r>
        <w:rPr>
          <w:rFonts w:eastAsia="仿宋_GB2312"/>
          <w:sz w:val="32"/>
          <w:szCs w:val="32"/>
        </w:rPr>
        <w:t>（3）产业链融合度</w:t>
      </w:r>
      <w:r>
        <w:rPr>
          <w:rFonts w:hint="eastAsia" w:eastAsia="仿宋_GB2312"/>
          <w:sz w:val="32"/>
          <w:szCs w:val="32"/>
        </w:rPr>
        <w:t>低</w:t>
      </w:r>
      <w:r>
        <w:rPr>
          <w:rFonts w:eastAsia="仿宋_GB2312"/>
          <w:sz w:val="32"/>
          <w:szCs w:val="32"/>
        </w:rPr>
        <w:t>，无品牌影响力。林下经济目前只停留在第一产业，二产加工业、三产服务业基本没有。林下经济产业化水平较低，产业链组织化和一体化程度基本没有，无利益联结和分配机制，政策支持和要素支撑体系不健全，导致产品附加值不高，产业融合度低，产业竞争力低。</w:t>
      </w:r>
    </w:p>
    <w:p w14:paraId="4B00D9DF">
      <w:pPr>
        <w:pStyle w:val="3"/>
        <w:spacing w:before="0" w:after="0" w:line="240" w:lineRule="auto"/>
        <w:rPr>
          <w:rFonts w:ascii="Times New Roman" w:hAnsi="Times New Roman" w:eastAsia="黑体"/>
        </w:rPr>
      </w:pPr>
      <w:bookmarkStart w:id="128" w:name="_Toc82546102"/>
      <w:r>
        <w:rPr>
          <w:rFonts w:hint="eastAsia" w:ascii="Times New Roman" w:hAnsi="Times New Roman" w:eastAsia="黑体"/>
        </w:rPr>
        <w:t>10</w:t>
      </w:r>
      <w:r>
        <w:rPr>
          <w:rFonts w:ascii="Times New Roman" w:hAnsi="Times New Roman" w:eastAsia="黑体"/>
        </w:rPr>
        <w:t>.3 总体布局与规划目标</w:t>
      </w:r>
      <w:bookmarkEnd w:id="128"/>
    </w:p>
    <w:p w14:paraId="7AB3161A">
      <w:pPr>
        <w:ind w:firstLine="643" w:firstLineChars="200"/>
        <w:rPr>
          <w:rFonts w:hint="eastAsia" w:eastAsia="仿宋_GB2312"/>
          <w:b/>
          <w:sz w:val="32"/>
          <w:szCs w:val="32"/>
        </w:rPr>
      </w:pPr>
      <w:r>
        <w:rPr>
          <w:rFonts w:eastAsia="仿宋_GB2312"/>
          <w:b/>
          <w:sz w:val="32"/>
          <w:szCs w:val="32"/>
        </w:rPr>
        <w:t>（1）总体布局</w:t>
      </w:r>
    </w:p>
    <w:p w14:paraId="4363D855">
      <w:pPr>
        <w:ind w:firstLine="640" w:firstLineChars="200"/>
        <w:rPr>
          <w:rFonts w:hint="eastAsia" w:eastAsia="仿宋_GB2312"/>
          <w:sz w:val="32"/>
          <w:szCs w:val="32"/>
        </w:rPr>
      </w:pPr>
      <w:r>
        <w:rPr>
          <w:rFonts w:eastAsia="仿宋_GB2312"/>
          <w:sz w:val="32"/>
          <w:szCs w:val="32"/>
        </w:rPr>
        <w:t>以乡村振兴战略为总要求，牢固树立“绿水青山就是金山银山”的发展理念，以兴林富民为目标，以林地林木资源为依托，以保护生态环境为前提，积极发展林下种养殖及相关产业充分利用林下空间，深入挖掘鸡、牛、猪、兔、蜂等地方优良品种资源潜力，推进以林果草、林禽、林菌、林蜂发展模式。</w:t>
      </w:r>
    </w:p>
    <w:p w14:paraId="686F1C81">
      <w:pPr>
        <w:ind w:firstLine="640" w:firstLineChars="200"/>
        <w:rPr>
          <w:rFonts w:eastAsia="仿宋_GB2312"/>
          <w:sz w:val="32"/>
          <w:szCs w:val="32"/>
        </w:rPr>
      </w:pPr>
      <w:r>
        <w:rPr>
          <w:rFonts w:eastAsia="仿宋_GB2312"/>
          <w:sz w:val="32"/>
          <w:szCs w:val="32"/>
        </w:rPr>
        <w:t>一是以发展本土特色药材与中国药材市场主流药材相结合的模式。二是重点发展以林下特色养殖和常规养殖模式相结合。全面统筹推进</w:t>
      </w:r>
      <w:r>
        <w:rPr>
          <w:rFonts w:eastAsia="仿宋_GB2312"/>
          <w:sz w:val="32"/>
          <w:szCs w:val="32"/>
          <w:shd w:val="clear" w:color="auto" w:fill="FFFFFF"/>
        </w:rPr>
        <w:t>林下产品采集、经营加工、森林游憩、森林康养等多种森林资源利用方式，以创新科技服务为驱动，推动林下经济产业蓬勃发展，强化市场带动，政府引领、政策扶持，激发林下经济的活力和潜能，强化科技，创新成果，加快成果转化，创建林下经济研究中心，建设一批林下经济示范基地，</w:t>
      </w:r>
      <w:r>
        <w:rPr>
          <w:rFonts w:eastAsia="仿宋_GB2312"/>
          <w:sz w:val="32"/>
          <w:szCs w:val="32"/>
        </w:rPr>
        <w:t>重点扶持以林下经济为特色的产业园区申请创建国家农村产业融合发展示范园、国家现代农业产业园等国家级示范园区为目标。</w:t>
      </w:r>
    </w:p>
    <w:p w14:paraId="09A562B9">
      <w:pPr>
        <w:ind w:firstLine="643" w:firstLineChars="200"/>
        <w:rPr>
          <w:rStyle w:val="44"/>
          <w:rFonts w:hAnsi="Times New Roman" w:eastAsia="仿宋_GB2312" w:cs="Times New Roman"/>
          <w:b/>
          <w:bCs/>
          <w:sz w:val="32"/>
          <w:szCs w:val="32"/>
        </w:rPr>
      </w:pPr>
      <w:r>
        <w:rPr>
          <w:rStyle w:val="44"/>
          <w:rFonts w:hAnsi="Times New Roman" w:eastAsia="仿宋_GB2312" w:cs="Times New Roman"/>
          <w:b/>
          <w:bCs/>
          <w:sz w:val="32"/>
          <w:szCs w:val="32"/>
        </w:rPr>
        <w:t>（2）规划目标</w:t>
      </w:r>
    </w:p>
    <w:p w14:paraId="28C90F3A">
      <w:pPr>
        <w:pBdr>
          <w:top w:val="none" w:color="auto" w:sz="0" w:space="1"/>
          <w:left w:val="none" w:color="auto" w:sz="0" w:space="4"/>
          <w:bottom w:val="none" w:color="auto" w:sz="0" w:space="1"/>
          <w:right w:val="none" w:color="auto" w:sz="0" w:space="4"/>
        </w:pBdr>
        <w:ind w:firstLine="643" w:firstLineChars="200"/>
        <w:jc w:val="left"/>
        <w:rPr>
          <w:rFonts w:eastAsia="仿宋_GB2312"/>
          <w:b/>
          <w:kern w:val="0"/>
          <w:sz w:val="32"/>
          <w:szCs w:val="32"/>
        </w:rPr>
      </w:pPr>
      <w:r>
        <w:rPr>
          <w:rFonts w:eastAsia="仿宋_GB2312"/>
          <w:b/>
          <w:kern w:val="0"/>
          <w:sz w:val="32"/>
          <w:szCs w:val="32"/>
        </w:rPr>
        <w:t>近期(2021～2025年)目标：</w:t>
      </w:r>
    </w:p>
    <w:p w14:paraId="4459EA81">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①</w:t>
      </w:r>
      <w:r>
        <w:rPr>
          <w:rFonts w:eastAsia="仿宋_GB2312"/>
          <w:kern w:val="0"/>
          <w:sz w:val="32"/>
          <w:szCs w:val="32"/>
        </w:rPr>
        <w:t>建设林下经济研究中心</w:t>
      </w:r>
      <w:r>
        <w:rPr>
          <w:rFonts w:hint="eastAsia" w:eastAsia="仿宋_GB2312"/>
          <w:kern w:val="0"/>
          <w:sz w:val="32"/>
          <w:szCs w:val="32"/>
        </w:rPr>
        <w:t>1处；</w:t>
      </w:r>
    </w:p>
    <w:p w14:paraId="488626D0">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②</w:t>
      </w:r>
      <w:r>
        <w:rPr>
          <w:rFonts w:eastAsia="仿宋_GB2312"/>
          <w:kern w:val="0"/>
          <w:sz w:val="32"/>
          <w:szCs w:val="32"/>
        </w:rPr>
        <w:t>新建现代林下经济示范基地8个，打造林下经济全区域覆盖</w:t>
      </w:r>
      <w:r>
        <w:rPr>
          <w:rFonts w:hint="eastAsia" w:eastAsia="仿宋_GB2312"/>
          <w:kern w:val="0"/>
          <w:sz w:val="32"/>
          <w:szCs w:val="32"/>
        </w:rPr>
        <w:t>；</w:t>
      </w:r>
    </w:p>
    <w:p w14:paraId="5D8BCC22">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③发展</w:t>
      </w:r>
      <w:r>
        <w:rPr>
          <w:rFonts w:eastAsia="仿宋_GB2312"/>
          <w:kern w:val="0"/>
          <w:sz w:val="32"/>
          <w:szCs w:val="32"/>
        </w:rPr>
        <w:t>林下经济旅游产业</w:t>
      </w:r>
      <w:r>
        <w:rPr>
          <w:rFonts w:hint="eastAsia" w:eastAsia="仿宋_GB2312"/>
          <w:kern w:val="0"/>
          <w:sz w:val="32"/>
          <w:szCs w:val="32"/>
        </w:rPr>
        <w:t>13.3 hm</w:t>
      </w:r>
      <w:r>
        <w:rPr>
          <w:rFonts w:hint="eastAsia" w:eastAsia="仿宋_GB2312"/>
          <w:kern w:val="0"/>
          <w:sz w:val="32"/>
          <w:szCs w:val="32"/>
          <w:vertAlign w:val="superscript"/>
        </w:rPr>
        <w:t>2</w:t>
      </w:r>
      <w:r>
        <w:rPr>
          <w:rFonts w:hint="eastAsia" w:eastAsia="仿宋_GB2312"/>
          <w:kern w:val="0"/>
          <w:sz w:val="32"/>
          <w:szCs w:val="32"/>
        </w:rPr>
        <w:t>；</w:t>
      </w:r>
    </w:p>
    <w:p w14:paraId="572314A2">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④</w:t>
      </w:r>
      <w:r>
        <w:rPr>
          <w:rFonts w:hint="eastAsia" w:eastAsia="仿宋_GB2312"/>
          <w:sz w:val="32"/>
          <w:szCs w:val="32"/>
        </w:rPr>
        <w:t>培育林下经济合作社30~50家；</w:t>
      </w:r>
    </w:p>
    <w:p w14:paraId="77DB7459">
      <w:pPr>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kern w:val="0"/>
          <w:sz w:val="32"/>
          <w:szCs w:val="32"/>
        </w:rPr>
        <w:t>⑤培育壮大林业龙头企业2家；</w:t>
      </w:r>
    </w:p>
    <w:p w14:paraId="390B70F2">
      <w:pPr>
        <w:pBdr>
          <w:top w:val="none" w:color="auto" w:sz="0" w:space="1"/>
          <w:left w:val="none" w:color="auto" w:sz="0" w:space="4"/>
          <w:bottom w:val="none" w:color="auto" w:sz="0" w:space="1"/>
          <w:right w:val="none" w:color="auto" w:sz="0" w:space="4"/>
        </w:pBdr>
        <w:ind w:firstLine="640" w:firstLineChars="200"/>
        <w:jc w:val="left"/>
        <w:rPr>
          <w:rFonts w:eastAsia="仿宋_GB2312"/>
          <w:kern w:val="0"/>
          <w:sz w:val="32"/>
          <w:szCs w:val="32"/>
        </w:rPr>
      </w:pPr>
      <w:r>
        <w:rPr>
          <w:rFonts w:hint="eastAsia" w:eastAsia="仿宋_GB2312"/>
          <w:kern w:val="0"/>
          <w:sz w:val="32"/>
          <w:szCs w:val="32"/>
        </w:rPr>
        <w:t>⑥建立特色南药、黎药展销中心1处。</w:t>
      </w:r>
    </w:p>
    <w:p w14:paraId="06F8BC13">
      <w:pPr>
        <w:pBdr>
          <w:top w:val="none" w:color="auto" w:sz="0" w:space="1"/>
          <w:left w:val="none" w:color="auto" w:sz="0" w:space="4"/>
          <w:bottom w:val="none" w:color="auto" w:sz="0" w:space="1"/>
          <w:right w:val="none" w:color="auto" w:sz="0" w:space="4"/>
        </w:pBdr>
        <w:ind w:firstLine="643" w:firstLineChars="200"/>
        <w:jc w:val="left"/>
        <w:rPr>
          <w:rFonts w:eastAsia="仿宋_GB2312"/>
          <w:b/>
          <w:kern w:val="0"/>
          <w:sz w:val="32"/>
          <w:szCs w:val="32"/>
        </w:rPr>
      </w:pPr>
      <w:r>
        <w:rPr>
          <w:rFonts w:eastAsia="仿宋_GB2312"/>
          <w:b/>
          <w:kern w:val="0"/>
          <w:sz w:val="32"/>
          <w:szCs w:val="32"/>
        </w:rPr>
        <w:t>中长期(2026～2035年)目标：</w:t>
      </w:r>
    </w:p>
    <w:p w14:paraId="0F53D54F">
      <w:pPr>
        <w:widowControl/>
        <w:pBdr>
          <w:top w:val="none" w:color="auto" w:sz="0" w:space="1"/>
          <w:left w:val="none" w:color="auto" w:sz="0" w:space="4"/>
          <w:bottom w:val="none" w:color="auto" w:sz="0" w:space="1"/>
          <w:right w:val="none" w:color="auto" w:sz="0" w:space="4"/>
        </w:pBdr>
        <w:ind w:firstLine="640" w:firstLineChars="200"/>
        <w:jc w:val="left"/>
        <w:rPr>
          <w:rFonts w:hint="eastAsia" w:eastAsia="仿宋_GB2312"/>
          <w:sz w:val="32"/>
          <w:szCs w:val="32"/>
        </w:rPr>
      </w:pPr>
      <w:r>
        <w:rPr>
          <w:rFonts w:hint="eastAsia" w:eastAsia="仿宋_GB2312"/>
          <w:sz w:val="32"/>
          <w:szCs w:val="32"/>
        </w:rPr>
        <w:t>①</w:t>
      </w:r>
      <w:r>
        <w:rPr>
          <w:rFonts w:eastAsia="仿宋_GB2312"/>
          <w:sz w:val="32"/>
          <w:szCs w:val="32"/>
        </w:rPr>
        <w:t>建设以林下经济为特色的国家农村产业融合发展示范园；</w:t>
      </w:r>
    </w:p>
    <w:p w14:paraId="1E2AF837">
      <w:pPr>
        <w:widowControl/>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sz w:val="32"/>
          <w:szCs w:val="32"/>
        </w:rPr>
        <w:t>②</w:t>
      </w:r>
      <w:r>
        <w:rPr>
          <w:rFonts w:eastAsia="仿宋_GB2312"/>
          <w:kern w:val="0"/>
          <w:sz w:val="32"/>
          <w:szCs w:val="32"/>
        </w:rPr>
        <w:t>新建现代林下经济示范基地10个，</w:t>
      </w:r>
      <w:r>
        <w:rPr>
          <w:rFonts w:hint="eastAsia" w:eastAsia="仿宋_GB2312"/>
          <w:kern w:val="0"/>
          <w:sz w:val="32"/>
          <w:szCs w:val="32"/>
        </w:rPr>
        <w:t>建设</w:t>
      </w:r>
      <w:r>
        <w:rPr>
          <w:rFonts w:eastAsia="仿宋_GB2312"/>
          <w:kern w:val="0"/>
          <w:sz w:val="32"/>
          <w:szCs w:val="32"/>
        </w:rPr>
        <w:t>育才林下经</w:t>
      </w:r>
    </w:p>
    <w:p w14:paraId="71811884">
      <w:pPr>
        <w:widowControl/>
        <w:pBdr>
          <w:top w:val="none" w:color="auto" w:sz="0" w:space="1"/>
          <w:left w:val="none" w:color="auto" w:sz="0" w:space="4"/>
          <w:bottom w:val="none" w:color="auto" w:sz="0" w:space="1"/>
          <w:right w:val="none" w:color="auto" w:sz="0" w:space="4"/>
        </w:pBdr>
        <w:jc w:val="left"/>
        <w:rPr>
          <w:rFonts w:hint="eastAsia" w:eastAsia="仿宋_GB2312"/>
          <w:kern w:val="0"/>
          <w:sz w:val="32"/>
          <w:szCs w:val="32"/>
        </w:rPr>
      </w:pPr>
      <w:r>
        <w:rPr>
          <w:rFonts w:eastAsia="仿宋_GB2312"/>
          <w:kern w:val="0"/>
          <w:sz w:val="32"/>
          <w:szCs w:val="32"/>
        </w:rPr>
        <w:t>济种养、旅游观光为一体的基地2个</w:t>
      </w:r>
      <w:r>
        <w:rPr>
          <w:rFonts w:hint="eastAsia" w:eastAsia="仿宋_GB2312"/>
          <w:kern w:val="0"/>
          <w:sz w:val="32"/>
          <w:szCs w:val="32"/>
        </w:rPr>
        <w:t>；</w:t>
      </w:r>
    </w:p>
    <w:p w14:paraId="0096652F">
      <w:pPr>
        <w:widowControl/>
        <w:pBdr>
          <w:top w:val="none" w:color="auto" w:sz="0" w:space="1"/>
          <w:left w:val="none" w:color="auto" w:sz="0" w:space="4"/>
          <w:bottom w:val="none" w:color="auto" w:sz="0" w:space="1"/>
          <w:right w:val="none" w:color="auto" w:sz="0" w:space="4"/>
        </w:pBdr>
        <w:ind w:firstLine="640" w:firstLineChars="200"/>
        <w:jc w:val="left"/>
        <w:rPr>
          <w:rFonts w:hint="eastAsia" w:eastAsia="仿宋_GB2312"/>
          <w:kern w:val="0"/>
          <w:sz w:val="32"/>
          <w:szCs w:val="32"/>
        </w:rPr>
      </w:pPr>
      <w:r>
        <w:rPr>
          <w:rFonts w:hint="eastAsia" w:eastAsia="仿宋_GB2312"/>
          <w:sz w:val="32"/>
          <w:szCs w:val="32"/>
        </w:rPr>
        <w:t>③培育林下经济合作社≥50家；</w:t>
      </w:r>
    </w:p>
    <w:p w14:paraId="24B47ED6">
      <w:pPr>
        <w:widowControl/>
        <w:pBdr>
          <w:top w:val="none" w:color="auto" w:sz="0" w:space="1"/>
          <w:left w:val="none" w:color="auto" w:sz="0" w:space="4"/>
          <w:bottom w:val="none" w:color="auto" w:sz="0" w:space="1"/>
          <w:right w:val="none" w:color="auto" w:sz="0" w:space="4"/>
        </w:pBdr>
        <w:ind w:firstLine="640" w:firstLineChars="200"/>
        <w:jc w:val="left"/>
        <w:rPr>
          <w:rFonts w:eastAsia="仿宋_GB2312"/>
          <w:b/>
          <w:bCs/>
          <w:sz w:val="32"/>
          <w:szCs w:val="32"/>
        </w:rPr>
      </w:pPr>
      <w:r>
        <w:rPr>
          <w:rFonts w:hint="eastAsia" w:eastAsia="仿宋_GB2312"/>
          <w:kern w:val="0"/>
          <w:sz w:val="32"/>
          <w:szCs w:val="32"/>
        </w:rPr>
        <w:t>④继续培育壮大林业龙头企业2家。</w:t>
      </w:r>
    </w:p>
    <w:p w14:paraId="3B72AB84">
      <w:pPr>
        <w:pStyle w:val="3"/>
        <w:spacing w:before="0" w:after="0" w:line="240" w:lineRule="auto"/>
        <w:rPr>
          <w:rFonts w:eastAsia="仿宋_GB2312"/>
          <w:b w:val="0"/>
          <w:bCs w:val="0"/>
        </w:rPr>
      </w:pPr>
      <w:bookmarkStart w:id="129" w:name="_Toc82546103"/>
      <w:r>
        <w:rPr>
          <w:rFonts w:hint="eastAsia" w:ascii="Times New Roman" w:hAnsi="Times New Roman" w:eastAsia="黑体"/>
        </w:rPr>
        <w:t>10</w:t>
      </w:r>
      <w:r>
        <w:rPr>
          <w:rFonts w:ascii="Times New Roman" w:hAnsi="Times New Roman" w:eastAsia="黑体"/>
        </w:rPr>
        <w:t>.4 重点建设项目工程或</w:t>
      </w:r>
      <w:bookmarkEnd w:id="129"/>
      <w:r>
        <w:rPr>
          <w:rFonts w:hint="eastAsia" w:eastAsia="仿宋_GB2312"/>
        </w:rPr>
        <w:t>规划储备项目</w:t>
      </w:r>
    </w:p>
    <w:p w14:paraId="392AA8C7">
      <w:pPr>
        <w:ind w:firstLine="640" w:firstLineChars="200"/>
        <w:rPr>
          <w:rFonts w:hint="eastAsia" w:eastAsia="仿宋_GB2312"/>
          <w:sz w:val="32"/>
          <w:szCs w:val="32"/>
        </w:rPr>
      </w:pPr>
      <w:r>
        <w:rPr>
          <w:rFonts w:hint="eastAsia" w:eastAsia="仿宋_GB2312"/>
          <w:sz w:val="32"/>
          <w:szCs w:val="32"/>
        </w:rPr>
        <w:t>围绕育才生态区，推广因地制宜林下种养，推进抱安南药种植示范基地、抱安蜂蜜养殖基地、龙密食用菌特色产业基地等立体农业示范基地建设。</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5"/>
      </w:tblGrid>
      <w:tr w14:paraId="080AA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3499B6E8">
            <w:pPr>
              <w:ind w:firstLine="643" w:firstLineChars="200"/>
              <w:jc w:val="center"/>
              <w:rPr>
                <w:rFonts w:hint="eastAsia" w:eastAsia="仿宋_GB2312"/>
                <w:b/>
                <w:sz w:val="32"/>
                <w:szCs w:val="32"/>
              </w:rPr>
            </w:pPr>
            <w:r>
              <w:rPr>
                <w:rFonts w:hint="eastAsia" w:eastAsia="仿宋_GB2312"/>
                <w:b/>
                <w:sz w:val="32"/>
                <w:szCs w:val="32"/>
              </w:rPr>
              <w:t>林下经济产业建设重点工程或规划储备项目</w:t>
            </w:r>
          </w:p>
        </w:tc>
      </w:tr>
      <w:tr w14:paraId="23C92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1C0B6387">
            <w:pPr>
              <w:jc w:val="left"/>
              <w:rPr>
                <w:rFonts w:hint="eastAsia" w:eastAsia="仿宋_GB2312"/>
                <w:b/>
                <w:sz w:val="32"/>
                <w:szCs w:val="32"/>
              </w:rPr>
            </w:pPr>
            <w:r>
              <w:rPr>
                <w:rFonts w:hint="eastAsia" w:eastAsia="仿宋_GB2312"/>
                <w:b/>
                <w:sz w:val="32"/>
                <w:szCs w:val="32"/>
              </w:rPr>
              <w:t>一、</w:t>
            </w:r>
            <w:r>
              <w:rPr>
                <w:rFonts w:eastAsia="仿宋_GB2312"/>
                <w:b/>
                <w:sz w:val="32"/>
                <w:szCs w:val="32"/>
              </w:rPr>
              <w:t>林下经济研究中心</w:t>
            </w:r>
          </w:p>
          <w:p w14:paraId="7BF5E7C3">
            <w:pPr>
              <w:ind w:firstLine="640" w:firstLineChars="200"/>
              <w:rPr>
                <w:rFonts w:hint="eastAsia" w:eastAsia="仿宋_GB2312"/>
                <w:sz w:val="32"/>
                <w:szCs w:val="32"/>
              </w:rPr>
            </w:pPr>
            <w:r>
              <w:rPr>
                <w:rFonts w:eastAsia="仿宋_GB2312"/>
                <w:sz w:val="32"/>
                <w:szCs w:val="32"/>
              </w:rPr>
              <w:t>建立以三亚市林业科学研究院为主体的林下经济研究中心，建立科研院所与林产品龙头企业结合的技术创新战略联盟</w:t>
            </w:r>
            <w:r>
              <w:rPr>
                <w:rFonts w:hint="eastAsia" w:eastAsia="仿宋_GB2312"/>
                <w:sz w:val="32"/>
                <w:szCs w:val="32"/>
              </w:rPr>
              <w:t>；</w:t>
            </w:r>
            <w:r>
              <w:rPr>
                <w:rFonts w:eastAsia="仿宋_GB2312"/>
                <w:sz w:val="32"/>
                <w:szCs w:val="32"/>
              </w:rPr>
              <w:t>以研发动物养殖和中药材、菌类、中药康养等林下种养、康养为研究目标，打造多形式多层次的科技创新平台体系，为林下种植产业带来科技支撑。建设地点为市林科院，至</w:t>
            </w:r>
            <w:r>
              <w:rPr>
                <w:rFonts w:hint="eastAsia" w:eastAsia="仿宋_GB2312"/>
                <w:sz w:val="32"/>
                <w:szCs w:val="32"/>
              </w:rPr>
              <w:t>2025年，</w:t>
            </w:r>
            <w:r>
              <w:rPr>
                <w:rFonts w:eastAsia="仿宋_GB2312"/>
                <w:sz w:val="32"/>
                <w:szCs w:val="32"/>
              </w:rPr>
              <w:t>计划投资</w:t>
            </w:r>
            <w:r>
              <w:rPr>
                <w:rFonts w:hint="eastAsia" w:eastAsia="仿宋_GB2312"/>
                <w:sz w:val="32"/>
                <w:szCs w:val="32"/>
              </w:rPr>
              <w:t>1000</w:t>
            </w:r>
            <w:r>
              <w:rPr>
                <w:rFonts w:eastAsia="仿宋_GB2312"/>
                <w:sz w:val="32"/>
                <w:szCs w:val="32"/>
              </w:rPr>
              <w:t>万元。</w:t>
            </w:r>
          </w:p>
        </w:tc>
      </w:tr>
      <w:tr w14:paraId="75667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77D45C04">
            <w:pPr>
              <w:pBdr>
                <w:top w:val="none" w:color="auto" w:sz="0" w:space="1"/>
                <w:left w:val="none" w:color="auto" w:sz="0" w:space="4"/>
                <w:bottom w:val="none" w:color="auto" w:sz="0" w:space="1"/>
                <w:right w:val="none" w:color="auto" w:sz="0" w:space="4"/>
              </w:pBdr>
              <w:jc w:val="left"/>
              <w:rPr>
                <w:rFonts w:hint="eastAsia" w:eastAsia="仿宋_GB2312"/>
                <w:b/>
                <w:sz w:val="32"/>
                <w:szCs w:val="32"/>
              </w:rPr>
            </w:pPr>
            <w:r>
              <w:rPr>
                <w:rFonts w:hint="eastAsia" w:eastAsia="仿宋_GB2312"/>
                <w:b/>
                <w:sz w:val="32"/>
                <w:szCs w:val="32"/>
              </w:rPr>
              <w:t>二、</w:t>
            </w:r>
            <w:r>
              <w:rPr>
                <w:rFonts w:eastAsia="仿宋_GB2312"/>
                <w:b/>
                <w:sz w:val="32"/>
                <w:szCs w:val="32"/>
              </w:rPr>
              <w:t>现代林下经济产业示范基地</w:t>
            </w:r>
          </w:p>
          <w:p w14:paraId="28DB0548">
            <w:pPr>
              <w:pBdr>
                <w:top w:val="none" w:color="auto" w:sz="0" w:space="1"/>
                <w:left w:val="none" w:color="auto" w:sz="0" w:space="4"/>
                <w:bottom w:val="none" w:color="auto" w:sz="0" w:space="1"/>
                <w:right w:val="none" w:color="auto" w:sz="0" w:space="4"/>
              </w:pBdr>
              <w:ind w:firstLine="643"/>
              <w:jc w:val="left"/>
              <w:rPr>
                <w:rFonts w:hint="eastAsia" w:eastAsia="仿宋_GB2312"/>
                <w:sz w:val="32"/>
                <w:szCs w:val="32"/>
              </w:rPr>
            </w:pPr>
            <w:r>
              <w:rPr>
                <w:rFonts w:eastAsia="仿宋_GB2312"/>
                <w:sz w:val="32"/>
                <w:szCs w:val="32"/>
              </w:rPr>
              <w:t>建设各具特色的林下经济产业示范基地，重点发展石斛类、巴戟天、牛大力、天门冬、重楼</w:t>
            </w:r>
            <w:r>
              <w:rPr>
                <w:rFonts w:hint="eastAsia" w:eastAsia="仿宋_GB2312"/>
                <w:sz w:val="32"/>
                <w:szCs w:val="32"/>
              </w:rPr>
              <w:t>、</w:t>
            </w:r>
            <w:r>
              <w:rPr>
                <w:rFonts w:eastAsia="仿宋_GB2312"/>
                <w:sz w:val="32"/>
                <w:szCs w:val="32"/>
              </w:rPr>
              <w:t>黄精</w:t>
            </w:r>
            <w:r>
              <w:rPr>
                <w:rFonts w:hint="eastAsia" w:eastAsia="仿宋_GB2312"/>
                <w:sz w:val="32"/>
                <w:szCs w:val="32"/>
              </w:rPr>
              <w:t>、</w:t>
            </w:r>
            <w:r>
              <w:rPr>
                <w:rFonts w:eastAsia="仿宋_GB2312"/>
                <w:sz w:val="32"/>
                <w:szCs w:val="32"/>
              </w:rPr>
              <w:t>白芨等常用中草药、食用菌类、林下花卉和观叶植物。林下养殖，重点发展养蜂、鸡、鸽、羊等。通过完善配套设施、实行标准化生产、严控产品质量，将有产业基础的生产基地打造成集科技研发、示范推广、标准化种植、物流集散、品牌打造、森林旅游等功能为一体的国际一流的现代林下经济产业示范基地。到</w:t>
            </w:r>
            <w:r>
              <w:rPr>
                <w:rFonts w:hint="eastAsia" w:eastAsia="仿宋_GB2312"/>
                <w:sz w:val="32"/>
                <w:szCs w:val="32"/>
              </w:rPr>
              <w:t>2025年，新建现代林下经济示范基地8个，</w:t>
            </w:r>
            <w:r>
              <w:rPr>
                <w:rFonts w:eastAsia="仿宋_GB2312"/>
                <w:sz w:val="32"/>
                <w:szCs w:val="32"/>
              </w:rPr>
              <w:t>育才生态区林下经济示范基地</w:t>
            </w:r>
            <w:r>
              <w:rPr>
                <w:rFonts w:hint="eastAsia" w:eastAsia="仿宋_GB2312"/>
                <w:sz w:val="32"/>
                <w:szCs w:val="32"/>
              </w:rPr>
              <w:t>2个（抱安南药种植和蜂蜜养殖基地、龙密食用菌）</w:t>
            </w:r>
            <w:r>
              <w:rPr>
                <w:rFonts w:eastAsia="仿宋_GB2312"/>
                <w:sz w:val="32"/>
                <w:szCs w:val="32"/>
              </w:rPr>
              <w:t>、天涯区</w:t>
            </w:r>
            <w:r>
              <w:rPr>
                <w:rFonts w:hint="eastAsia" w:eastAsia="仿宋_GB2312"/>
                <w:sz w:val="32"/>
                <w:szCs w:val="32"/>
              </w:rPr>
              <w:t>2个</w:t>
            </w:r>
            <w:r>
              <w:rPr>
                <w:rFonts w:eastAsia="仿宋_GB2312"/>
                <w:sz w:val="32"/>
                <w:szCs w:val="32"/>
              </w:rPr>
              <w:t>、崖州区</w:t>
            </w:r>
            <w:r>
              <w:rPr>
                <w:rFonts w:hint="eastAsia" w:eastAsia="仿宋_GB2312"/>
                <w:sz w:val="32"/>
                <w:szCs w:val="32"/>
              </w:rPr>
              <w:t>2个</w:t>
            </w:r>
            <w:r>
              <w:rPr>
                <w:rFonts w:eastAsia="仿宋_GB2312"/>
                <w:sz w:val="32"/>
                <w:szCs w:val="32"/>
              </w:rPr>
              <w:t>、吉阳区</w:t>
            </w:r>
            <w:r>
              <w:rPr>
                <w:rFonts w:hint="eastAsia" w:eastAsia="仿宋_GB2312"/>
                <w:sz w:val="32"/>
                <w:szCs w:val="32"/>
              </w:rPr>
              <w:t>1个</w:t>
            </w:r>
            <w:r>
              <w:rPr>
                <w:rFonts w:eastAsia="仿宋_GB2312"/>
                <w:sz w:val="32"/>
                <w:szCs w:val="32"/>
              </w:rPr>
              <w:t>、海棠区</w:t>
            </w:r>
            <w:r>
              <w:rPr>
                <w:rFonts w:hint="eastAsia" w:eastAsia="仿宋_GB2312"/>
                <w:sz w:val="32"/>
                <w:szCs w:val="32"/>
              </w:rPr>
              <w:t>1个</w:t>
            </w:r>
            <w:r>
              <w:rPr>
                <w:rFonts w:eastAsia="仿宋_GB2312"/>
                <w:sz w:val="32"/>
                <w:szCs w:val="32"/>
              </w:rPr>
              <w:t>，建设规模</w:t>
            </w:r>
            <w:r>
              <w:rPr>
                <w:rFonts w:hint="eastAsia" w:eastAsia="仿宋_GB2312"/>
                <w:sz w:val="32"/>
                <w:szCs w:val="32"/>
              </w:rPr>
              <w:t xml:space="preserve">366.7 </w:t>
            </w:r>
            <w:r>
              <w:rPr>
                <w:rFonts w:eastAsia="仿宋_GB2312"/>
                <w:sz w:val="32"/>
                <w:szCs w:val="32"/>
              </w:rPr>
              <w:t>hm</w:t>
            </w:r>
            <w:r>
              <w:rPr>
                <w:rFonts w:eastAsia="仿宋_GB2312"/>
                <w:sz w:val="32"/>
                <w:szCs w:val="32"/>
                <w:vertAlign w:val="superscript"/>
              </w:rPr>
              <w:t>2</w:t>
            </w:r>
            <w:r>
              <w:rPr>
                <w:rFonts w:eastAsia="仿宋_GB2312"/>
                <w:sz w:val="32"/>
                <w:szCs w:val="32"/>
              </w:rPr>
              <w:t>，计划投资</w:t>
            </w:r>
            <w:r>
              <w:rPr>
                <w:rFonts w:hint="eastAsia" w:eastAsia="仿宋_GB2312"/>
                <w:sz w:val="32"/>
                <w:szCs w:val="32"/>
              </w:rPr>
              <w:t>1200</w:t>
            </w:r>
            <w:r>
              <w:rPr>
                <w:rFonts w:eastAsia="仿宋_GB2312"/>
                <w:sz w:val="32"/>
                <w:szCs w:val="32"/>
              </w:rPr>
              <w:t>万元</w:t>
            </w:r>
            <w:r>
              <w:rPr>
                <w:rFonts w:hint="eastAsia" w:eastAsia="仿宋_GB2312"/>
                <w:sz w:val="32"/>
                <w:szCs w:val="32"/>
              </w:rPr>
              <w:t>；</w:t>
            </w:r>
            <w:r>
              <w:rPr>
                <w:rFonts w:eastAsia="仿宋_GB2312"/>
                <w:sz w:val="32"/>
                <w:szCs w:val="32"/>
              </w:rPr>
              <w:t>到</w:t>
            </w:r>
            <w:r>
              <w:rPr>
                <w:rFonts w:hint="eastAsia" w:eastAsia="仿宋_GB2312"/>
                <w:sz w:val="32"/>
                <w:szCs w:val="32"/>
              </w:rPr>
              <w:t>2035年，建设以林下经济为特色的国家农村产业融合发展示范园1处，计划投资3000万元；新建现代林下经济示范基地10个，建设育才生态区林下经济种养、旅游观光为一体的基地2个，林下经济全区域覆盖，</w:t>
            </w:r>
            <w:r>
              <w:rPr>
                <w:rFonts w:eastAsia="仿宋_GB2312"/>
                <w:sz w:val="32"/>
                <w:szCs w:val="32"/>
              </w:rPr>
              <w:t>计划投资</w:t>
            </w:r>
            <w:r>
              <w:rPr>
                <w:rFonts w:hint="eastAsia" w:eastAsia="仿宋_GB2312"/>
                <w:sz w:val="32"/>
                <w:szCs w:val="32"/>
              </w:rPr>
              <w:t>12200万元。总投资13400万元。</w:t>
            </w:r>
          </w:p>
        </w:tc>
      </w:tr>
      <w:tr w14:paraId="48E4B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75F6B411">
            <w:pPr>
              <w:rPr>
                <w:rFonts w:hint="eastAsia" w:eastAsia="仿宋_GB2312"/>
                <w:b/>
                <w:sz w:val="32"/>
                <w:szCs w:val="32"/>
              </w:rPr>
            </w:pPr>
            <w:r>
              <w:rPr>
                <w:rFonts w:hint="eastAsia" w:eastAsia="仿宋_GB2312"/>
                <w:b/>
                <w:sz w:val="32"/>
                <w:szCs w:val="32"/>
              </w:rPr>
              <w:t>三、发展</w:t>
            </w:r>
            <w:r>
              <w:rPr>
                <w:rFonts w:eastAsia="仿宋_GB2312"/>
                <w:b/>
                <w:sz w:val="32"/>
                <w:szCs w:val="32"/>
              </w:rPr>
              <w:t>林下经济旅游产业</w:t>
            </w:r>
          </w:p>
          <w:p w14:paraId="1466DACD">
            <w:pPr>
              <w:ind w:firstLine="643"/>
              <w:rPr>
                <w:rFonts w:hint="eastAsia" w:eastAsia="仿宋_GB2312"/>
                <w:sz w:val="32"/>
                <w:szCs w:val="32"/>
              </w:rPr>
            </w:pPr>
            <w:r>
              <w:rPr>
                <w:rFonts w:eastAsia="仿宋_GB2312"/>
                <w:sz w:val="32"/>
                <w:szCs w:val="32"/>
              </w:rPr>
              <w:t>林下经济就是以林果地资源为依托，以科技为支撑，充分利用林果园自然条件，选择适合林下生长的中药材、菌类和观赏植物等，进行合理种植、养殖，以构建稳定的生态系统，达到林果地生物多样性。结合资源优势，大力发展林下旅游产业，倡导旅游观光、休闲度假、康复疗养等，提高产品附加值，促进产业融合。建设地点为育才生态区和天涯区，建设规模 13</w:t>
            </w:r>
            <w:r>
              <w:rPr>
                <w:rFonts w:hint="eastAsia" w:eastAsia="仿宋_GB2312"/>
                <w:sz w:val="32"/>
                <w:szCs w:val="32"/>
              </w:rPr>
              <w:t>.3</w:t>
            </w:r>
            <w:r>
              <w:rPr>
                <w:rFonts w:eastAsia="仿宋_GB2312"/>
                <w:sz w:val="32"/>
                <w:szCs w:val="32"/>
              </w:rPr>
              <w:t xml:space="preserve"> hm</w:t>
            </w:r>
            <w:r>
              <w:rPr>
                <w:rFonts w:eastAsia="仿宋_GB2312"/>
                <w:sz w:val="32"/>
                <w:szCs w:val="32"/>
                <w:vertAlign w:val="superscript"/>
              </w:rPr>
              <w:t>2</w:t>
            </w:r>
            <w:r>
              <w:rPr>
                <w:rFonts w:eastAsia="仿宋_GB2312"/>
                <w:sz w:val="32"/>
                <w:szCs w:val="32"/>
              </w:rPr>
              <w:t>，</w:t>
            </w:r>
            <w:r>
              <w:rPr>
                <w:rFonts w:hint="eastAsia" w:eastAsia="仿宋_GB2312"/>
                <w:sz w:val="32"/>
                <w:szCs w:val="32"/>
              </w:rPr>
              <w:t>至2025年，</w:t>
            </w:r>
            <w:r>
              <w:rPr>
                <w:rFonts w:eastAsia="仿宋_GB2312"/>
                <w:sz w:val="32"/>
                <w:szCs w:val="32"/>
              </w:rPr>
              <w:t>计划投资1000万元。</w:t>
            </w:r>
          </w:p>
        </w:tc>
      </w:tr>
      <w:tr w14:paraId="160F9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0849A566">
            <w:pPr>
              <w:rPr>
                <w:rFonts w:hint="eastAsia" w:eastAsia="仿宋_GB2312"/>
                <w:b/>
                <w:sz w:val="32"/>
                <w:szCs w:val="32"/>
              </w:rPr>
            </w:pPr>
            <w:r>
              <w:rPr>
                <w:rFonts w:hint="eastAsia" w:eastAsia="仿宋_GB2312"/>
                <w:b/>
                <w:sz w:val="32"/>
                <w:szCs w:val="32"/>
              </w:rPr>
              <w:t>四、</w:t>
            </w:r>
            <w:r>
              <w:rPr>
                <w:rFonts w:eastAsia="仿宋_GB2312"/>
                <w:b/>
                <w:sz w:val="32"/>
                <w:szCs w:val="32"/>
              </w:rPr>
              <w:t>培育新型林业经营主体</w:t>
            </w:r>
            <w:r>
              <w:rPr>
                <w:rFonts w:hint="eastAsia" w:eastAsia="仿宋_GB2312"/>
                <w:b/>
                <w:sz w:val="32"/>
                <w:szCs w:val="32"/>
              </w:rPr>
              <w:t xml:space="preserve"> </w:t>
            </w:r>
          </w:p>
          <w:p w14:paraId="0C5AE4FE">
            <w:pPr>
              <w:ind w:firstLine="640" w:firstLineChars="200"/>
              <w:rPr>
                <w:rFonts w:hint="eastAsia" w:eastAsia="仿宋_GB2312"/>
                <w:b/>
                <w:sz w:val="32"/>
                <w:szCs w:val="32"/>
              </w:rPr>
            </w:pPr>
            <w:r>
              <w:rPr>
                <w:rFonts w:eastAsia="仿宋_GB2312"/>
                <w:sz w:val="32"/>
                <w:szCs w:val="32"/>
              </w:rPr>
              <w:t>鼓励农户按照依法自愿有偿原则，通过流转集体林地经营权，扩大林下经济经营规模，增强带动能力，发展成为规模适度的林业专业大户。支持优势产业和特色品种从事林业创业和开发，把小农生产引入林业现代化发展轨道。鼓励以家庭成员为主要劳动力、以经营林业为主要收入来源、引导家庭林场开展与自身劳动力数量、经营管理能力、技术装备水平、投融资能力相匹配的适度规模经营，逐步建成标准化生产、规范化管理、品牌化营销的新型林业经营主体。计划总投资</w:t>
            </w:r>
            <w:r>
              <w:rPr>
                <w:rFonts w:hint="eastAsia" w:eastAsia="仿宋_GB2312"/>
                <w:sz w:val="32"/>
                <w:szCs w:val="32"/>
              </w:rPr>
              <w:t>5000万元，其中至2025年，培育林下经济合作社30~50家，</w:t>
            </w:r>
            <w:r>
              <w:rPr>
                <w:rFonts w:eastAsia="仿宋_GB2312"/>
                <w:sz w:val="32"/>
                <w:szCs w:val="32"/>
              </w:rPr>
              <w:t>计划投资</w:t>
            </w:r>
            <w:r>
              <w:rPr>
                <w:rFonts w:hint="eastAsia" w:eastAsia="仿宋_GB2312"/>
                <w:sz w:val="32"/>
                <w:szCs w:val="32"/>
              </w:rPr>
              <w:t>2000万元；到2035年，培育林下经济合作社≥50家，</w:t>
            </w:r>
            <w:r>
              <w:rPr>
                <w:rFonts w:eastAsia="仿宋_GB2312"/>
                <w:sz w:val="32"/>
                <w:szCs w:val="32"/>
              </w:rPr>
              <w:t>计划投资</w:t>
            </w:r>
            <w:r>
              <w:rPr>
                <w:rFonts w:hint="eastAsia" w:eastAsia="仿宋_GB2312"/>
                <w:sz w:val="32"/>
                <w:szCs w:val="32"/>
              </w:rPr>
              <w:t>3000万元。</w:t>
            </w:r>
          </w:p>
        </w:tc>
      </w:tr>
      <w:tr w14:paraId="0D820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6FB34D1E">
            <w:pPr>
              <w:rPr>
                <w:rFonts w:hint="eastAsia" w:eastAsia="仿宋_GB2312"/>
                <w:sz w:val="32"/>
                <w:szCs w:val="32"/>
              </w:rPr>
            </w:pPr>
            <w:r>
              <w:rPr>
                <w:rFonts w:hint="eastAsia" w:eastAsia="仿宋_GB2312"/>
                <w:b/>
                <w:sz w:val="32"/>
                <w:szCs w:val="32"/>
              </w:rPr>
              <w:t>五、</w:t>
            </w:r>
            <w:r>
              <w:rPr>
                <w:rFonts w:eastAsia="仿宋_GB2312"/>
                <w:b/>
                <w:sz w:val="32"/>
                <w:szCs w:val="32"/>
              </w:rPr>
              <w:t>培育壮大林业龙头企业</w:t>
            </w:r>
          </w:p>
          <w:p w14:paraId="4CA26824">
            <w:pPr>
              <w:ind w:firstLine="640" w:firstLineChars="200"/>
              <w:rPr>
                <w:rFonts w:hint="eastAsia" w:eastAsia="仿宋_GB2312"/>
                <w:b/>
                <w:sz w:val="32"/>
                <w:szCs w:val="32"/>
              </w:rPr>
            </w:pPr>
            <w:r>
              <w:rPr>
                <w:rFonts w:eastAsia="仿宋_GB2312"/>
                <w:sz w:val="32"/>
                <w:szCs w:val="32"/>
              </w:rPr>
              <w:t>以科技为依托，以市场为导向，以效益为中心，运用国家林业产业政策，依托速生丰产用材林基地建设，通过政策引导，提高木材加工利用率与综合利用水平。加强招商引资引智力度，支持林业龙头企业转型升级。鼓励和引导工商资本到农村发展适合企业化经营的林业产业。鼓励林业龙头企业通过“公司+合作社+农户+基地”、“公司+农户+基地”等经营模式与农户构建紧密利益联结机制，充分发挥龙头企业带动作用。到</w:t>
            </w:r>
            <w:r>
              <w:rPr>
                <w:rFonts w:hint="eastAsia" w:eastAsia="仿宋_GB2312"/>
                <w:sz w:val="32"/>
                <w:szCs w:val="32"/>
              </w:rPr>
              <w:t>2025年，培育龙头企业2家，计划投资2000万元；到2035年，培育龙头企业2家，计划投资2000万元。总投资4000万元。</w:t>
            </w:r>
          </w:p>
        </w:tc>
      </w:tr>
      <w:tr w14:paraId="12504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50E5B051">
            <w:pPr>
              <w:rPr>
                <w:rFonts w:hint="eastAsia" w:eastAsia="仿宋_GB2312"/>
                <w:sz w:val="32"/>
                <w:szCs w:val="32"/>
              </w:rPr>
            </w:pPr>
            <w:r>
              <w:rPr>
                <w:rFonts w:hint="eastAsia" w:eastAsia="仿宋_GB2312"/>
                <w:b/>
                <w:sz w:val="32"/>
                <w:szCs w:val="32"/>
              </w:rPr>
              <w:t>六、</w:t>
            </w:r>
            <w:r>
              <w:rPr>
                <w:rFonts w:eastAsia="仿宋_GB2312"/>
                <w:b/>
                <w:sz w:val="32"/>
                <w:szCs w:val="32"/>
              </w:rPr>
              <w:t>建立特色南药、黎药展销中心</w:t>
            </w:r>
          </w:p>
          <w:p w14:paraId="16A9FCB4">
            <w:pPr>
              <w:ind w:firstLine="640" w:firstLineChars="200"/>
              <w:rPr>
                <w:rFonts w:hint="eastAsia" w:eastAsia="仿宋_GB2312"/>
                <w:b/>
                <w:sz w:val="32"/>
                <w:szCs w:val="32"/>
              </w:rPr>
            </w:pPr>
            <w:r>
              <w:rPr>
                <w:rFonts w:eastAsia="仿宋_GB2312"/>
                <w:sz w:val="32"/>
                <w:szCs w:val="32"/>
              </w:rPr>
              <w:t>以</w:t>
            </w:r>
            <w:r>
              <w:rPr>
                <w:rFonts w:hint="eastAsia" w:eastAsia="仿宋_GB2312"/>
                <w:sz w:val="32"/>
                <w:szCs w:val="32"/>
              </w:rPr>
              <w:t>林产品交易中心和会展中心建设工程</w:t>
            </w:r>
            <w:r>
              <w:rPr>
                <w:rFonts w:eastAsia="仿宋_GB2312"/>
                <w:sz w:val="32"/>
                <w:szCs w:val="32"/>
              </w:rPr>
              <w:t>为依托，建设南药、黎药展销专栏，营造林下产品网上交易市场平台或实体交易市场，畅通产品销售渠道，充分利用电商平台，解决林下产品销售问题，为林产品的销售提供一条绿色途径。</w:t>
            </w:r>
            <w:r>
              <w:rPr>
                <w:rFonts w:eastAsia="仿宋_GB2312"/>
                <w:kern w:val="0"/>
                <w:sz w:val="32"/>
                <w:szCs w:val="32"/>
              </w:rPr>
              <w:t>建设地点为天涯区机场附近，</w:t>
            </w:r>
            <w:r>
              <w:rPr>
                <w:rFonts w:hint="eastAsia" w:eastAsia="仿宋_GB2312"/>
                <w:sz w:val="32"/>
                <w:szCs w:val="32"/>
              </w:rPr>
              <w:t>至2025年，</w:t>
            </w:r>
            <w:r>
              <w:rPr>
                <w:rFonts w:eastAsia="仿宋_GB2312"/>
                <w:sz w:val="32"/>
                <w:szCs w:val="32"/>
              </w:rPr>
              <w:t>计划投资</w:t>
            </w:r>
            <w:r>
              <w:rPr>
                <w:rFonts w:hint="eastAsia" w:eastAsia="仿宋_GB2312"/>
                <w:sz w:val="32"/>
                <w:szCs w:val="32"/>
              </w:rPr>
              <w:t>180</w:t>
            </w:r>
            <w:r>
              <w:rPr>
                <w:rFonts w:eastAsia="仿宋_GB2312"/>
                <w:sz w:val="32"/>
                <w:szCs w:val="32"/>
              </w:rPr>
              <w:t>0万元。</w:t>
            </w:r>
          </w:p>
        </w:tc>
      </w:tr>
    </w:tbl>
    <w:p w14:paraId="2BD040BE">
      <w:pPr>
        <w:tabs>
          <w:tab w:val="left" w:pos="621"/>
        </w:tabs>
        <w:spacing w:line="360" w:lineRule="auto"/>
        <w:ind w:firstLine="723" w:firstLineChars="200"/>
        <w:jc w:val="center"/>
        <w:rPr>
          <w:rFonts w:eastAsia="黑体"/>
          <w:b/>
          <w:bCs/>
          <w:sz w:val="36"/>
          <w:szCs w:val="36"/>
        </w:rPr>
      </w:pPr>
    </w:p>
    <w:p w14:paraId="6F5087B2">
      <w:pPr>
        <w:pStyle w:val="3"/>
        <w:spacing w:before="0" w:after="0" w:line="240" w:lineRule="auto"/>
        <w:rPr>
          <w:rFonts w:ascii="Times New Roman" w:hAnsi="Times New Roman" w:eastAsia="黑体"/>
        </w:rPr>
      </w:pPr>
      <w:bookmarkStart w:id="130" w:name="_Toc82546104"/>
      <w:r>
        <w:rPr>
          <w:rFonts w:hint="eastAsia" w:ascii="Times New Roman" w:hAnsi="Times New Roman" w:eastAsia="黑体"/>
        </w:rPr>
        <w:t>10</w:t>
      </w:r>
      <w:r>
        <w:rPr>
          <w:rFonts w:ascii="Times New Roman" w:hAnsi="Times New Roman" w:eastAsia="黑体"/>
        </w:rPr>
        <w:t>.</w:t>
      </w:r>
      <w:r>
        <w:rPr>
          <w:rFonts w:hint="eastAsia" w:ascii="Times New Roman" w:hAnsi="Times New Roman" w:eastAsia="黑体"/>
        </w:rPr>
        <w:t>5</w:t>
      </w:r>
      <w:r>
        <w:rPr>
          <w:rFonts w:ascii="Times New Roman" w:hAnsi="Times New Roman" w:eastAsia="黑体"/>
        </w:rPr>
        <w:t xml:space="preserve"> </w:t>
      </w:r>
      <w:r>
        <w:rPr>
          <w:rFonts w:hint="eastAsia" w:ascii="Times New Roman" w:hAnsi="Times New Roman" w:eastAsia="黑体"/>
        </w:rPr>
        <w:t>投资估算与资金来源</w:t>
      </w:r>
      <w:bookmarkEnd w:id="130"/>
    </w:p>
    <w:p w14:paraId="7F72AD39">
      <w:pPr>
        <w:spacing w:line="360" w:lineRule="auto"/>
        <w:ind w:firstLine="640" w:firstLineChars="200"/>
        <w:jc w:val="left"/>
        <w:rPr>
          <w:rFonts w:eastAsia="黑体"/>
          <w:b/>
          <w:bCs/>
          <w:sz w:val="36"/>
          <w:szCs w:val="36"/>
        </w:rPr>
      </w:pPr>
      <w:r>
        <w:rPr>
          <w:rStyle w:val="44"/>
          <w:rFonts w:hint="eastAsia" w:hAnsi="Times New Roman" w:eastAsia="仿宋_GB2312" w:cs="Times New Roman"/>
          <w:sz w:val="32"/>
        </w:rPr>
        <w:t>林下经济</w:t>
      </w:r>
      <w:r>
        <w:rPr>
          <w:rStyle w:val="44"/>
          <w:rFonts w:hint="eastAsia" w:hAnsi="Times New Roman" w:eastAsia="仿宋_GB2312" w:cs="Times New Roman"/>
          <w:sz w:val="32"/>
          <w:szCs w:val="32"/>
        </w:rPr>
        <w:t>产业共有5个重点工程7个规划储备项目，总投资29200万元，</w:t>
      </w:r>
      <w:r>
        <w:rPr>
          <w:rFonts w:hint="eastAsia" w:eastAsia="仿宋_GB2312"/>
          <w:sz w:val="32"/>
          <w:szCs w:val="32"/>
        </w:rPr>
        <w:t>其中2021~</w:t>
      </w:r>
      <w:r>
        <w:rPr>
          <w:rFonts w:eastAsia="仿宋_GB2312"/>
          <w:sz w:val="32"/>
          <w:szCs w:val="32"/>
        </w:rPr>
        <w:t>2025年累计投入资金</w:t>
      </w:r>
      <w:r>
        <w:rPr>
          <w:rFonts w:hint="eastAsia" w:eastAsia="仿宋_GB2312"/>
          <w:sz w:val="32"/>
          <w:szCs w:val="32"/>
        </w:rPr>
        <w:t>9000</w:t>
      </w:r>
      <w:r>
        <w:rPr>
          <w:rFonts w:eastAsia="仿宋_GB2312"/>
          <w:sz w:val="32"/>
          <w:szCs w:val="32"/>
        </w:rPr>
        <w:t>万元，</w:t>
      </w:r>
      <w:r>
        <w:rPr>
          <w:rFonts w:hint="eastAsia" w:eastAsia="仿宋_GB2312"/>
          <w:sz w:val="32"/>
          <w:szCs w:val="32"/>
        </w:rPr>
        <w:t>2026~</w:t>
      </w:r>
      <w:r>
        <w:rPr>
          <w:rFonts w:eastAsia="仿宋_GB2312"/>
          <w:sz w:val="32"/>
          <w:szCs w:val="32"/>
        </w:rPr>
        <w:t>2035年累计投入资金</w:t>
      </w:r>
      <w:r>
        <w:rPr>
          <w:rFonts w:hint="eastAsia" w:eastAsia="仿宋_GB2312"/>
          <w:sz w:val="32"/>
          <w:szCs w:val="32"/>
        </w:rPr>
        <w:t>20200</w:t>
      </w:r>
      <w:r>
        <w:rPr>
          <w:rFonts w:eastAsia="仿宋_GB2312"/>
          <w:sz w:val="32"/>
          <w:szCs w:val="32"/>
        </w:rPr>
        <w:t>万元</w:t>
      </w:r>
      <w:r>
        <w:rPr>
          <w:rFonts w:hint="eastAsia" w:eastAsia="仿宋_GB2312"/>
          <w:sz w:val="32"/>
          <w:szCs w:val="32"/>
        </w:rPr>
        <w:t>，</w:t>
      </w:r>
      <w:r>
        <w:rPr>
          <w:rStyle w:val="44"/>
          <w:rFonts w:hint="eastAsia" w:hAnsi="Times New Roman" w:eastAsia="仿宋_GB2312" w:cs="Times New Roman"/>
          <w:sz w:val="32"/>
          <w:szCs w:val="32"/>
        </w:rPr>
        <w:t>详见表10-1。</w:t>
      </w:r>
    </w:p>
    <w:p w14:paraId="6D6C63C2">
      <w:pPr>
        <w:tabs>
          <w:tab w:val="left" w:pos="621"/>
        </w:tabs>
        <w:spacing w:line="360" w:lineRule="auto"/>
        <w:ind w:firstLine="723" w:firstLineChars="200"/>
        <w:jc w:val="center"/>
        <w:outlineLvl w:val="0"/>
        <w:rPr>
          <w:rFonts w:eastAsia="黑体"/>
          <w:b/>
          <w:bCs/>
          <w:sz w:val="36"/>
          <w:szCs w:val="36"/>
        </w:rPr>
        <w:sectPr>
          <w:pgSz w:w="11905" w:h="16838"/>
          <w:pgMar w:top="1440" w:right="1803" w:bottom="1440" w:left="1803" w:header="851" w:footer="992" w:gutter="0"/>
          <w:cols w:space="720" w:num="1"/>
          <w:docGrid w:type="lines" w:linePitch="319" w:charSpace="0"/>
        </w:sectPr>
      </w:pPr>
    </w:p>
    <w:p w14:paraId="723BF3A6">
      <w:pPr>
        <w:tabs>
          <w:tab w:val="left" w:pos="621"/>
        </w:tabs>
        <w:spacing w:after="159" w:afterLines="50" w:line="360" w:lineRule="auto"/>
        <w:ind w:firstLine="562" w:firstLineChars="200"/>
        <w:jc w:val="center"/>
        <w:rPr>
          <w:rFonts w:hint="eastAsia" w:eastAsia="黑体"/>
          <w:b/>
          <w:bCs/>
          <w:sz w:val="36"/>
          <w:szCs w:val="36"/>
        </w:rPr>
      </w:pPr>
      <w:r>
        <w:rPr>
          <w:b/>
          <w:bCs/>
          <w:sz w:val="28"/>
        </w:rPr>
        <w:t>表</w:t>
      </w:r>
      <w:r>
        <w:rPr>
          <w:rFonts w:hint="eastAsia"/>
          <w:b/>
          <w:bCs/>
          <w:sz w:val="28"/>
        </w:rPr>
        <w:t>10</w:t>
      </w:r>
      <w:r>
        <w:rPr>
          <w:b/>
          <w:bCs/>
          <w:sz w:val="28"/>
        </w:rPr>
        <w:t>-1  林下经济产业规划</w:t>
      </w:r>
      <w:r>
        <w:rPr>
          <w:rFonts w:hint="eastAsia"/>
          <w:b/>
          <w:bCs/>
          <w:sz w:val="28"/>
        </w:rPr>
        <w:t>储备</w:t>
      </w:r>
      <w:r>
        <w:rPr>
          <w:b/>
          <w:bCs/>
          <w:sz w:val="28"/>
        </w:rPr>
        <w:t>项目一览表</w:t>
      </w:r>
    </w:p>
    <w:tbl>
      <w:tblPr>
        <w:tblStyle w:val="18"/>
        <w:tblW w:w="0" w:type="auto"/>
        <w:tblInd w:w="93" w:type="dxa"/>
        <w:tblLayout w:type="fixed"/>
        <w:tblCellMar>
          <w:top w:w="0" w:type="dxa"/>
          <w:left w:w="108" w:type="dxa"/>
          <w:bottom w:w="0" w:type="dxa"/>
          <w:right w:w="108" w:type="dxa"/>
        </w:tblCellMar>
      </w:tblPr>
      <w:tblGrid>
        <w:gridCol w:w="718"/>
        <w:gridCol w:w="1176"/>
        <w:gridCol w:w="3410"/>
        <w:gridCol w:w="1359"/>
        <w:gridCol w:w="1556"/>
        <w:gridCol w:w="1294"/>
        <w:gridCol w:w="1275"/>
        <w:gridCol w:w="3119"/>
      </w:tblGrid>
      <w:tr w14:paraId="00461A47">
        <w:tblPrEx>
          <w:tblCellMar>
            <w:top w:w="0" w:type="dxa"/>
            <w:left w:w="108" w:type="dxa"/>
            <w:bottom w:w="0" w:type="dxa"/>
            <w:right w:w="108" w:type="dxa"/>
          </w:tblCellMar>
        </w:tblPrEx>
        <w:trPr>
          <w:trHeight w:val="585" w:hRule="atLeast"/>
        </w:trPr>
        <w:tc>
          <w:tcPr>
            <w:tcW w:w="718" w:type="dxa"/>
            <w:tcBorders>
              <w:top w:val="single" w:color="auto" w:sz="8" w:space="0"/>
              <w:left w:val="single" w:color="auto" w:sz="8" w:space="0"/>
              <w:bottom w:val="single" w:color="auto" w:sz="8" w:space="0"/>
              <w:right w:val="single" w:color="auto" w:sz="8" w:space="0"/>
            </w:tcBorders>
            <w:vAlign w:val="center"/>
          </w:tcPr>
          <w:p w14:paraId="00FF0FFC">
            <w:pPr>
              <w:widowControl/>
              <w:jc w:val="center"/>
              <w:rPr>
                <w:rFonts w:ascii="宋体" w:hAnsi="宋体" w:cs="宋体"/>
                <w:b/>
                <w:bCs/>
                <w:kern w:val="0"/>
                <w:sz w:val="24"/>
              </w:rPr>
            </w:pPr>
            <w:r>
              <w:rPr>
                <w:rFonts w:hint="eastAsia" w:ascii="宋体" w:hAnsi="宋体" w:cs="宋体"/>
                <w:b/>
                <w:bCs/>
                <w:kern w:val="0"/>
                <w:sz w:val="24"/>
              </w:rPr>
              <w:t>序号</w:t>
            </w:r>
          </w:p>
        </w:tc>
        <w:tc>
          <w:tcPr>
            <w:tcW w:w="1176" w:type="dxa"/>
            <w:tcBorders>
              <w:top w:val="single" w:color="auto" w:sz="8" w:space="0"/>
              <w:left w:val="nil"/>
              <w:bottom w:val="single" w:color="auto" w:sz="8" w:space="0"/>
              <w:right w:val="single" w:color="auto" w:sz="8" w:space="0"/>
            </w:tcBorders>
            <w:vAlign w:val="center"/>
          </w:tcPr>
          <w:p w14:paraId="5414E095">
            <w:pPr>
              <w:widowControl/>
              <w:jc w:val="center"/>
              <w:rPr>
                <w:rFonts w:ascii="宋体" w:hAnsi="宋体" w:cs="宋体"/>
                <w:b/>
                <w:bCs/>
                <w:kern w:val="0"/>
                <w:sz w:val="24"/>
              </w:rPr>
            </w:pPr>
            <w:r>
              <w:rPr>
                <w:rFonts w:hint="eastAsia" w:ascii="宋体" w:hAnsi="宋体" w:cs="宋体"/>
                <w:b/>
                <w:bCs/>
                <w:kern w:val="0"/>
                <w:sz w:val="24"/>
              </w:rPr>
              <w:t>规划期</w:t>
            </w:r>
          </w:p>
        </w:tc>
        <w:tc>
          <w:tcPr>
            <w:tcW w:w="3410" w:type="dxa"/>
            <w:tcBorders>
              <w:top w:val="single" w:color="auto" w:sz="8" w:space="0"/>
              <w:left w:val="nil"/>
              <w:bottom w:val="single" w:color="auto" w:sz="8" w:space="0"/>
              <w:right w:val="single" w:color="auto" w:sz="8" w:space="0"/>
            </w:tcBorders>
            <w:vAlign w:val="center"/>
          </w:tcPr>
          <w:p w14:paraId="3FF88A26">
            <w:pPr>
              <w:widowControl/>
              <w:jc w:val="center"/>
              <w:rPr>
                <w:rFonts w:ascii="宋体" w:hAnsi="宋体" w:cs="宋体"/>
                <w:b/>
                <w:bCs/>
                <w:kern w:val="0"/>
                <w:sz w:val="24"/>
              </w:rPr>
            </w:pPr>
            <w:r>
              <w:rPr>
                <w:rFonts w:hint="eastAsia" w:ascii="宋体" w:hAnsi="宋体" w:cs="宋体"/>
                <w:b/>
                <w:bCs/>
                <w:kern w:val="0"/>
                <w:sz w:val="24"/>
              </w:rPr>
              <w:t>项目名称</w:t>
            </w:r>
          </w:p>
        </w:tc>
        <w:tc>
          <w:tcPr>
            <w:tcW w:w="1359" w:type="dxa"/>
            <w:tcBorders>
              <w:top w:val="single" w:color="auto" w:sz="8" w:space="0"/>
              <w:left w:val="nil"/>
              <w:bottom w:val="single" w:color="auto" w:sz="8" w:space="0"/>
              <w:right w:val="single" w:color="auto" w:sz="8" w:space="0"/>
            </w:tcBorders>
            <w:vAlign w:val="center"/>
          </w:tcPr>
          <w:p w14:paraId="3CD8A6D3">
            <w:pPr>
              <w:widowControl/>
              <w:jc w:val="center"/>
              <w:rPr>
                <w:rFonts w:ascii="宋体" w:hAnsi="宋体" w:cs="宋体"/>
                <w:b/>
                <w:bCs/>
                <w:kern w:val="0"/>
                <w:sz w:val="24"/>
              </w:rPr>
            </w:pPr>
            <w:r>
              <w:rPr>
                <w:rFonts w:hint="eastAsia" w:ascii="宋体" w:hAnsi="宋体" w:cs="宋体"/>
                <w:b/>
                <w:bCs/>
                <w:kern w:val="0"/>
                <w:sz w:val="24"/>
              </w:rPr>
              <w:t>建设规模</w:t>
            </w:r>
          </w:p>
        </w:tc>
        <w:tc>
          <w:tcPr>
            <w:tcW w:w="1556" w:type="dxa"/>
            <w:tcBorders>
              <w:top w:val="single" w:color="auto" w:sz="8" w:space="0"/>
              <w:left w:val="nil"/>
              <w:bottom w:val="single" w:color="auto" w:sz="8" w:space="0"/>
              <w:right w:val="single" w:color="auto" w:sz="8" w:space="0"/>
            </w:tcBorders>
            <w:vAlign w:val="center"/>
          </w:tcPr>
          <w:p w14:paraId="5E84D061">
            <w:pPr>
              <w:widowControl/>
              <w:jc w:val="center"/>
              <w:rPr>
                <w:rFonts w:ascii="宋体" w:hAnsi="宋体" w:cs="宋体"/>
                <w:b/>
                <w:bCs/>
                <w:kern w:val="0"/>
                <w:sz w:val="24"/>
              </w:rPr>
            </w:pPr>
            <w:r>
              <w:rPr>
                <w:rFonts w:hint="eastAsia" w:ascii="宋体" w:hAnsi="宋体" w:cs="宋体"/>
                <w:b/>
                <w:bCs/>
                <w:kern w:val="0"/>
                <w:sz w:val="24"/>
              </w:rPr>
              <w:t>建设性质</w:t>
            </w:r>
          </w:p>
        </w:tc>
        <w:tc>
          <w:tcPr>
            <w:tcW w:w="1294" w:type="dxa"/>
            <w:tcBorders>
              <w:top w:val="single" w:color="auto" w:sz="8" w:space="0"/>
              <w:left w:val="nil"/>
              <w:bottom w:val="single" w:color="auto" w:sz="8" w:space="0"/>
              <w:right w:val="single" w:color="auto" w:sz="8" w:space="0"/>
            </w:tcBorders>
            <w:vAlign w:val="center"/>
          </w:tcPr>
          <w:p w14:paraId="283B1060">
            <w:pPr>
              <w:widowControl/>
              <w:jc w:val="center"/>
              <w:rPr>
                <w:rFonts w:ascii="宋体" w:hAnsi="宋体" w:cs="宋体"/>
                <w:b/>
                <w:bCs/>
                <w:kern w:val="0"/>
                <w:sz w:val="24"/>
              </w:rPr>
            </w:pPr>
            <w:r>
              <w:rPr>
                <w:rFonts w:hint="eastAsia" w:ascii="宋体" w:hAnsi="宋体" w:cs="宋体"/>
                <w:b/>
                <w:bCs/>
                <w:kern w:val="0"/>
                <w:sz w:val="24"/>
              </w:rPr>
              <w:t>投资估算（万元）</w:t>
            </w:r>
          </w:p>
        </w:tc>
        <w:tc>
          <w:tcPr>
            <w:tcW w:w="1275" w:type="dxa"/>
            <w:tcBorders>
              <w:top w:val="single" w:color="auto" w:sz="8" w:space="0"/>
              <w:left w:val="nil"/>
              <w:bottom w:val="single" w:color="auto" w:sz="8" w:space="0"/>
              <w:right w:val="single" w:color="auto" w:sz="8" w:space="0"/>
            </w:tcBorders>
            <w:vAlign w:val="center"/>
          </w:tcPr>
          <w:p w14:paraId="7CF0055E">
            <w:pPr>
              <w:widowControl/>
              <w:jc w:val="center"/>
              <w:rPr>
                <w:rFonts w:ascii="宋体" w:hAnsi="宋体" w:cs="宋体"/>
                <w:b/>
                <w:bCs/>
                <w:kern w:val="0"/>
                <w:sz w:val="24"/>
              </w:rPr>
            </w:pPr>
            <w:r>
              <w:rPr>
                <w:rFonts w:hint="eastAsia" w:ascii="宋体" w:hAnsi="宋体" w:cs="宋体"/>
                <w:b/>
                <w:bCs/>
                <w:kern w:val="0"/>
                <w:sz w:val="24"/>
              </w:rPr>
              <w:t>资金来源</w:t>
            </w:r>
          </w:p>
        </w:tc>
        <w:tc>
          <w:tcPr>
            <w:tcW w:w="3119" w:type="dxa"/>
            <w:tcBorders>
              <w:top w:val="single" w:color="auto" w:sz="8" w:space="0"/>
              <w:left w:val="nil"/>
              <w:bottom w:val="single" w:color="auto" w:sz="8" w:space="0"/>
              <w:right w:val="single" w:color="auto" w:sz="8" w:space="0"/>
            </w:tcBorders>
            <w:vAlign w:val="center"/>
          </w:tcPr>
          <w:p w14:paraId="1F0AE6D4">
            <w:pPr>
              <w:widowControl/>
              <w:jc w:val="center"/>
              <w:rPr>
                <w:rFonts w:ascii="宋体" w:hAnsi="宋体" w:cs="宋体"/>
                <w:b/>
                <w:bCs/>
                <w:kern w:val="0"/>
                <w:sz w:val="24"/>
              </w:rPr>
            </w:pPr>
            <w:r>
              <w:rPr>
                <w:rFonts w:hint="eastAsia" w:ascii="宋体" w:hAnsi="宋体" w:cs="宋体"/>
                <w:b/>
                <w:bCs/>
                <w:kern w:val="0"/>
                <w:sz w:val="24"/>
              </w:rPr>
              <w:t>建设地点</w:t>
            </w:r>
          </w:p>
        </w:tc>
      </w:tr>
      <w:tr w14:paraId="624F4B5D">
        <w:tblPrEx>
          <w:tblCellMar>
            <w:top w:w="0" w:type="dxa"/>
            <w:left w:w="108" w:type="dxa"/>
            <w:bottom w:w="0" w:type="dxa"/>
            <w:right w:w="108" w:type="dxa"/>
          </w:tblCellMar>
        </w:tblPrEx>
        <w:trPr>
          <w:trHeight w:val="330" w:hRule="atLeast"/>
        </w:trPr>
        <w:tc>
          <w:tcPr>
            <w:tcW w:w="718" w:type="dxa"/>
            <w:tcBorders>
              <w:top w:val="nil"/>
              <w:left w:val="single" w:color="auto" w:sz="8" w:space="0"/>
              <w:bottom w:val="single" w:color="auto" w:sz="8" w:space="0"/>
              <w:right w:val="single" w:color="auto" w:sz="8" w:space="0"/>
            </w:tcBorders>
            <w:vAlign w:val="center"/>
          </w:tcPr>
          <w:p w14:paraId="1C6ABF4E">
            <w:pPr>
              <w:widowControl/>
              <w:jc w:val="center"/>
              <w:rPr>
                <w:b/>
                <w:bCs/>
                <w:kern w:val="0"/>
                <w:sz w:val="24"/>
              </w:rPr>
            </w:pPr>
            <w:r>
              <w:rPr>
                <w:b/>
                <w:bCs/>
                <w:kern w:val="0"/>
                <w:sz w:val="24"/>
              </w:rPr>
              <w:t>　</w:t>
            </w:r>
          </w:p>
        </w:tc>
        <w:tc>
          <w:tcPr>
            <w:tcW w:w="1176" w:type="dxa"/>
            <w:tcBorders>
              <w:top w:val="nil"/>
              <w:left w:val="nil"/>
              <w:bottom w:val="single" w:color="auto" w:sz="8" w:space="0"/>
              <w:right w:val="single" w:color="auto" w:sz="8" w:space="0"/>
            </w:tcBorders>
            <w:vAlign w:val="center"/>
          </w:tcPr>
          <w:p w14:paraId="4639DEF1">
            <w:pPr>
              <w:widowControl/>
              <w:jc w:val="center"/>
              <w:rPr>
                <w:b/>
                <w:bCs/>
                <w:kern w:val="0"/>
                <w:sz w:val="24"/>
              </w:rPr>
            </w:pPr>
            <w:r>
              <w:rPr>
                <w:b/>
                <w:bCs/>
                <w:kern w:val="0"/>
                <w:sz w:val="24"/>
              </w:rPr>
              <w:t>　</w:t>
            </w:r>
          </w:p>
        </w:tc>
        <w:tc>
          <w:tcPr>
            <w:tcW w:w="3410" w:type="dxa"/>
            <w:tcBorders>
              <w:top w:val="nil"/>
              <w:left w:val="nil"/>
              <w:bottom w:val="single" w:color="auto" w:sz="8" w:space="0"/>
              <w:right w:val="single" w:color="auto" w:sz="8" w:space="0"/>
            </w:tcBorders>
            <w:vAlign w:val="center"/>
          </w:tcPr>
          <w:p w14:paraId="352A8FFB">
            <w:pPr>
              <w:widowControl/>
              <w:jc w:val="center"/>
              <w:rPr>
                <w:rFonts w:ascii="宋体" w:hAnsi="宋体" w:cs="宋体"/>
                <w:b/>
                <w:bCs/>
                <w:kern w:val="0"/>
                <w:sz w:val="24"/>
              </w:rPr>
            </w:pPr>
            <w:r>
              <w:rPr>
                <w:rFonts w:hint="eastAsia" w:ascii="宋体" w:hAnsi="宋体" w:cs="宋体"/>
                <w:b/>
                <w:bCs/>
                <w:kern w:val="0"/>
                <w:sz w:val="24"/>
              </w:rPr>
              <w:t>总投资</w:t>
            </w:r>
          </w:p>
        </w:tc>
        <w:tc>
          <w:tcPr>
            <w:tcW w:w="1359" w:type="dxa"/>
            <w:tcBorders>
              <w:top w:val="nil"/>
              <w:left w:val="nil"/>
              <w:bottom w:val="single" w:color="auto" w:sz="8" w:space="0"/>
              <w:right w:val="single" w:color="auto" w:sz="8" w:space="0"/>
            </w:tcBorders>
            <w:vAlign w:val="center"/>
          </w:tcPr>
          <w:p w14:paraId="3CE24E26">
            <w:pPr>
              <w:widowControl/>
              <w:jc w:val="center"/>
              <w:rPr>
                <w:b/>
                <w:bCs/>
                <w:kern w:val="0"/>
                <w:sz w:val="24"/>
              </w:rPr>
            </w:pPr>
            <w:r>
              <w:rPr>
                <w:b/>
                <w:bCs/>
                <w:kern w:val="0"/>
                <w:sz w:val="24"/>
              </w:rPr>
              <w:t>　</w:t>
            </w:r>
          </w:p>
        </w:tc>
        <w:tc>
          <w:tcPr>
            <w:tcW w:w="1556" w:type="dxa"/>
            <w:tcBorders>
              <w:top w:val="nil"/>
              <w:left w:val="nil"/>
              <w:bottom w:val="single" w:color="auto" w:sz="8" w:space="0"/>
              <w:right w:val="single" w:color="auto" w:sz="8" w:space="0"/>
            </w:tcBorders>
            <w:vAlign w:val="center"/>
          </w:tcPr>
          <w:p w14:paraId="50DCE9F6">
            <w:pPr>
              <w:widowControl/>
              <w:jc w:val="center"/>
              <w:rPr>
                <w:b/>
                <w:bCs/>
                <w:kern w:val="0"/>
                <w:sz w:val="24"/>
              </w:rPr>
            </w:pPr>
            <w:r>
              <w:rPr>
                <w:b/>
                <w:bCs/>
                <w:kern w:val="0"/>
                <w:sz w:val="24"/>
              </w:rPr>
              <w:t>　</w:t>
            </w:r>
          </w:p>
        </w:tc>
        <w:tc>
          <w:tcPr>
            <w:tcW w:w="1294" w:type="dxa"/>
            <w:tcBorders>
              <w:top w:val="nil"/>
              <w:left w:val="nil"/>
              <w:bottom w:val="single" w:color="auto" w:sz="8" w:space="0"/>
              <w:right w:val="single" w:color="auto" w:sz="8" w:space="0"/>
            </w:tcBorders>
            <w:vAlign w:val="center"/>
          </w:tcPr>
          <w:p w14:paraId="46085A42">
            <w:pPr>
              <w:widowControl/>
              <w:jc w:val="center"/>
              <w:rPr>
                <w:b/>
                <w:bCs/>
                <w:kern w:val="0"/>
                <w:sz w:val="24"/>
              </w:rPr>
            </w:pPr>
            <w:r>
              <w:rPr>
                <w:b/>
                <w:bCs/>
                <w:kern w:val="0"/>
                <w:sz w:val="24"/>
              </w:rPr>
              <w:t>2</w:t>
            </w:r>
            <w:r>
              <w:rPr>
                <w:rFonts w:hint="eastAsia"/>
                <w:b/>
                <w:bCs/>
                <w:kern w:val="0"/>
                <w:sz w:val="24"/>
              </w:rPr>
              <w:t>92</w:t>
            </w:r>
            <w:r>
              <w:rPr>
                <w:b/>
                <w:bCs/>
                <w:kern w:val="0"/>
                <w:sz w:val="24"/>
              </w:rPr>
              <w:t>00</w:t>
            </w:r>
          </w:p>
        </w:tc>
        <w:tc>
          <w:tcPr>
            <w:tcW w:w="1275" w:type="dxa"/>
            <w:tcBorders>
              <w:top w:val="nil"/>
              <w:left w:val="nil"/>
              <w:bottom w:val="single" w:color="auto" w:sz="8" w:space="0"/>
              <w:right w:val="single" w:color="auto" w:sz="8" w:space="0"/>
            </w:tcBorders>
            <w:vAlign w:val="center"/>
          </w:tcPr>
          <w:p w14:paraId="497B724A">
            <w:pPr>
              <w:widowControl/>
              <w:jc w:val="center"/>
              <w:rPr>
                <w:b/>
                <w:bCs/>
                <w:kern w:val="0"/>
                <w:sz w:val="24"/>
              </w:rPr>
            </w:pPr>
            <w:r>
              <w:rPr>
                <w:b/>
                <w:bCs/>
                <w:kern w:val="0"/>
                <w:sz w:val="24"/>
              </w:rPr>
              <w:t>　</w:t>
            </w:r>
          </w:p>
        </w:tc>
        <w:tc>
          <w:tcPr>
            <w:tcW w:w="3119" w:type="dxa"/>
            <w:tcBorders>
              <w:top w:val="nil"/>
              <w:left w:val="nil"/>
              <w:bottom w:val="single" w:color="auto" w:sz="8" w:space="0"/>
              <w:right w:val="single" w:color="auto" w:sz="8" w:space="0"/>
            </w:tcBorders>
            <w:vAlign w:val="center"/>
          </w:tcPr>
          <w:p w14:paraId="1FDC5255">
            <w:pPr>
              <w:widowControl/>
              <w:jc w:val="center"/>
              <w:rPr>
                <w:rFonts w:ascii="宋体" w:hAnsi="宋体" w:cs="宋体"/>
                <w:b/>
                <w:bCs/>
                <w:kern w:val="0"/>
                <w:sz w:val="24"/>
              </w:rPr>
            </w:pPr>
            <w:r>
              <w:rPr>
                <w:rFonts w:hint="eastAsia" w:ascii="宋体" w:hAnsi="宋体" w:cs="宋体"/>
                <w:b/>
                <w:bCs/>
                <w:kern w:val="0"/>
                <w:sz w:val="24"/>
              </w:rPr>
              <w:t>　</w:t>
            </w:r>
          </w:p>
        </w:tc>
      </w:tr>
      <w:tr w14:paraId="1BC4D9C5">
        <w:tblPrEx>
          <w:tblCellMar>
            <w:top w:w="0" w:type="dxa"/>
            <w:left w:w="108" w:type="dxa"/>
            <w:bottom w:w="0" w:type="dxa"/>
            <w:right w:w="108" w:type="dxa"/>
          </w:tblCellMar>
        </w:tblPrEx>
        <w:trPr>
          <w:trHeight w:val="330" w:hRule="atLeast"/>
        </w:trPr>
        <w:tc>
          <w:tcPr>
            <w:tcW w:w="718" w:type="dxa"/>
            <w:vMerge w:val="restart"/>
            <w:tcBorders>
              <w:top w:val="nil"/>
              <w:left w:val="single" w:color="auto" w:sz="8" w:space="0"/>
              <w:bottom w:val="single" w:color="000000" w:sz="8" w:space="0"/>
              <w:right w:val="single" w:color="auto" w:sz="8" w:space="0"/>
            </w:tcBorders>
            <w:vAlign w:val="center"/>
          </w:tcPr>
          <w:p w14:paraId="170B0960">
            <w:pPr>
              <w:widowControl/>
              <w:jc w:val="center"/>
              <w:rPr>
                <w:kern w:val="0"/>
                <w:sz w:val="24"/>
              </w:rPr>
            </w:pPr>
            <w:r>
              <w:rPr>
                <w:kern w:val="0"/>
                <w:sz w:val="24"/>
              </w:rPr>
              <w:t>1</w:t>
            </w:r>
          </w:p>
        </w:tc>
        <w:tc>
          <w:tcPr>
            <w:tcW w:w="1176" w:type="dxa"/>
            <w:vMerge w:val="restart"/>
            <w:tcBorders>
              <w:top w:val="nil"/>
              <w:left w:val="single" w:color="auto" w:sz="8" w:space="0"/>
              <w:bottom w:val="single" w:color="000000" w:sz="8" w:space="0"/>
              <w:right w:val="single" w:color="auto" w:sz="8" w:space="0"/>
            </w:tcBorders>
            <w:vAlign w:val="center"/>
          </w:tcPr>
          <w:p w14:paraId="1D737282">
            <w:pPr>
              <w:widowControl/>
              <w:jc w:val="center"/>
              <w:rPr>
                <w:rFonts w:ascii="宋体" w:hAnsi="宋体" w:cs="宋体"/>
                <w:kern w:val="0"/>
                <w:sz w:val="24"/>
              </w:rPr>
            </w:pPr>
            <w:r>
              <w:rPr>
                <w:rFonts w:hint="eastAsia" w:ascii="宋体" w:hAnsi="宋体" w:cs="宋体"/>
                <w:kern w:val="0"/>
                <w:sz w:val="24"/>
              </w:rPr>
              <w:t>近期</w:t>
            </w:r>
            <w:r>
              <w:rPr>
                <w:kern w:val="0"/>
                <w:sz w:val="24"/>
              </w:rPr>
              <w:t>(2021</w:t>
            </w:r>
            <w:r>
              <w:rPr>
                <w:rFonts w:hint="eastAsia" w:ascii="宋体" w:hAnsi="宋体" w:cs="宋体"/>
                <w:kern w:val="0"/>
                <w:sz w:val="24"/>
              </w:rPr>
              <w:t>～</w:t>
            </w:r>
            <w:r>
              <w:rPr>
                <w:kern w:val="0"/>
                <w:sz w:val="24"/>
              </w:rPr>
              <w:t>2025</w:t>
            </w:r>
            <w:r>
              <w:rPr>
                <w:rFonts w:hint="eastAsia" w:ascii="宋体" w:hAnsi="宋体" w:cs="宋体"/>
                <w:kern w:val="0"/>
                <w:sz w:val="24"/>
              </w:rPr>
              <w:t>年</w:t>
            </w:r>
            <w:r>
              <w:rPr>
                <w:kern w:val="0"/>
                <w:sz w:val="24"/>
              </w:rPr>
              <w:t>)</w:t>
            </w:r>
          </w:p>
        </w:tc>
        <w:tc>
          <w:tcPr>
            <w:tcW w:w="3410" w:type="dxa"/>
            <w:tcBorders>
              <w:top w:val="nil"/>
              <w:left w:val="nil"/>
              <w:bottom w:val="single" w:color="auto" w:sz="8" w:space="0"/>
              <w:right w:val="single" w:color="auto" w:sz="8" w:space="0"/>
            </w:tcBorders>
            <w:vAlign w:val="center"/>
          </w:tcPr>
          <w:p w14:paraId="70FC9567">
            <w:pPr>
              <w:widowControl/>
              <w:jc w:val="center"/>
              <w:rPr>
                <w:rFonts w:ascii="宋体" w:hAnsi="宋体" w:cs="宋体"/>
                <w:kern w:val="0"/>
                <w:sz w:val="24"/>
              </w:rPr>
            </w:pPr>
            <w:r>
              <w:rPr>
                <w:rFonts w:hint="eastAsia" w:ascii="宋体" w:hAnsi="宋体" w:cs="宋体"/>
                <w:kern w:val="0"/>
                <w:sz w:val="24"/>
              </w:rPr>
              <w:t>林下经济研究中心</w:t>
            </w:r>
          </w:p>
        </w:tc>
        <w:tc>
          <w:tcPr>
            <w:tcW w:w="1359" w:type="dxa"/>
            <w:tcBorders>
              <w:top w:val="nil"/>
              <w:left w:val="nil"/>
              <w:bottom w:val="single" w:color="auto" w:sz="8" w:space="0"/>
              <w:right w:val="single" w:color="auto" w:sz="8" w:space="0"/>
            </w:tcBorders>
            <w:vAlign w:val="center"/>
          </w:tcPr>
          <w:p w14:paraId="24FC88C1">
            <w:pPr>
              <w:widowControl/>
              <w:jc w:val="center"/>
              <w:rPr>
                <w:kern w:val="0"/>
                <w:sz w:val="24"/>
              </w:rPr>
            </w:pPr>
            <w:r>
              <w:rPr>
                <w:kern w:val="0"/>
                <w:sz w:val="24"/>
              </w:rPr>
              <w:t>—</w:t>
            </w:r>
          </w:p>
        </w:tc>
        <w:tc>
          <w:tcPr>
            <w:tcW w:w="1556" w:type="dxa"/>
            <w:tcBorders>
              <w:top w:val="nil"/>
              <w:left w:val="nil"/>
              <w:bottom w:val="single" w:color="auto" w:sz="8" w:space="0"/>
              <w:right w:val="single" w:color="auto" w:sz="8" w:space="0"/>
            </w:tcBorders>
            <w:vAlign w:val="center"/>
          </w:tcPr>
          <w:p w14:paraId="0717232B">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1DACCDF0">
            <w:pPr>
              <w:widowControl/>
              <w:jc w:val="center"/>
              <w:rPr>
                <w:kern w:val="0"/>
                <w:sz w:val="24"/>
              </w:rPr>
            </w:pPr>
            <w:r>
              <w:rPr>
                <w:rFonts w:hint="eastAsia"/>
                <w:kern w:val="0"/>
                <w:sz w:val="24"/>
              </w:rPr>
              <w:t>1000</w:t>
            </w:r>
          </w:p>
        </w:tc>
        <w:tc>
          <w:tcPr>
            <w:tcW w:w="1275" w:type="dxa"/>
            <w:tcBorders>
              <w:top w:val="nil"/>
              <w:left w:val="nil"/>
              <w:bottom w:val="single" w:color="auto" w:sz="8" w:space="0"/>
              <w:right w:val="single" w:color="auto" w:sz="8" w:space="0"/>
            </w:tcBorders>
            <w:vAlign w:val="center"/>
          </w:tcPr>
          <w:p w14:paraId="09653533">
            <w:pPr>
              <w:widowControl/>
              <w:jc w:val="center"/>
              <w:rPr>
                <w:rFonts w:ascii="宋体" w:hAnsi="宋体" w:cs="宋体"/>
                <w:kern w:val="0"/>
                <w:sz w:val="24"/>
              </w:rPr>
            </w:pPr>
            <w:r>
              <w:rPr>
                <w:rFonts w:hint="eastAsia" w:ascii="宋体" w:hAnsi="宋体" w:cs="宋体"/>
                <w:kern w:val="0"/>
                <w:sz w:val="24"/>
              </w:rPr>
              <w:t>政府投资</w:t>
            </w:r>
          </w:p>
        </w:tc>
        <w:tc>
          <w:tcPr>
            <w:tcW w:w="3119" w:type="dxa"/>
            <w:tcBorders>
              <w:top w:val="nil"/>
              <w:left w:val="nil"/>
              <w:bottom w:val="single" w:color="auto" w:sz="8" w:space="0"/>
              <w:right w:val="single" w:color="auto" w:sz="8" w:space="0"/>
            </w:tcBorders>
            <w:vAlign w:val="center"/>
          </w:tcPr>
          <w:p w14:paraId="0AB6A42C">
            <w:pPr>
              <w:widowControl/>
              <w:jc w:val="center"/>
              <w:rPr>
                <w:rFonts w:ascii="宋体" w:hAnsi="宋体" w:cs="宋体"/>
                <w:kern w:val="0"/>
                <w:sz w:val="24"/>
              </w:rPr>
            </w:pPr>
            <w:r>
              <w:rPr>
                <w:rFonts w:hint="eastAsia" w:ascii="宋体" w:hAnsi="宋体" w:cs="宋体"/>
                <w:kern w:val="0"/>
                <w:sz w:val="24"/>
              </w:rPr>
              <w:t>市林科院</w:t>
            </w:r>
          </w:p>
        </w:tc>
      </w:tr>
      <w:tr w14:paraId="7D9D307B">
        <w:tblPrEx>
          <w:tblCellMar>
            <w:top w:w="0" w:type="dxa"/>
            <w:left w:w="108" w:type="dxa"/>
            <w:bottom w:w="0" w:type="dxa"/>
            <w:right w:w="108" w:type="dxa"/>
          </w:tblCellMar>
        </w:tblPrEx>
        <w:trPr>
          <w:trHeight w:val="390" w:hRule="atLeast"/>
        </w:trPr>
        <w:tc>
          <w:tcPr>
            <w:tcW w:w="718" w:type="dxa"/>
            <w:vMerge w:val="continue"/>
            <w:tcBorders>
              <w:top w:val="nil"/>
              <w:left w:val="single" w:color="auto" w:sz="8" w:space="0"/>
              <w:bottom w:val="single" w:color="000000" w:sz="8" w:space="0"/>
              <w:right w:val="single" w:color="auto" w:sz="8" w:space="0"/>
            </w:tcBorders>
            <w:vAlign w:val="center"/>
          </w:tcPr>
          <w:p w14:paraId="69E30D5E">
            <w:pPr>
              <w:widowControl/>
              <w:jc w:val="left"/>
              <w:rPr>
                <w:kern w:val="0"/>
                <w:sz w:val="24"/>
              </w:rPr>
            </w:pPr>
          </w:p>
        </w:tc>
        <w:tc>
          <w:tcPr>
            <w:tcW w:w="1176" w:type="dxa"/>
            <w:vMerge w:val="continue"/>
            <w:tcBorders>
              <w:top w:val="nil"/>
              <w:left w:val="single" w:color="auto" w:sz="8" w:space="0"/>
              <w:bottom w:val="single" w:color="000000" w:sz="8" w:space="0"/>
              <w:right w:val="single" w:color="auto" w:sz="8" w:space="0"/>
            </w:tcBorders>
            <w:vAlign w:val="center"/>
          </w:tcPr>
          <w:p w14:paraId="4684AED5">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6B33F97E">
            <w:pPr>
              <w:widowControl/>
              <w:jc w:val="center"/>
              <w:rPr>
                <w:rFonts w:ascii="宋体" w:hAnsi="宋体" w:cs="宋体"/>
                <w:kern w:val="0"/>
                <w:sz w:val="24"/>
              </w:rPr>
            </w:pPr>
            <w:r>
              <w:rPr>
                <w:rFonts w:hint="eastAsia" w:ascii="宋体" w:hAnsi="宋体" w:cs="宋体"/>
                <w:kern w:val="0"/>
                <w:sz w:val="24"/>
              </w:rPr>
              <w:t>现代林下经济产业示范基地</w:t>
            </w:r>
          </w:p>
        </w:tc>
        <w:tc>
          <w:tcPr>
            <w:tcW w:w="1359" w:type="dxa"/>
            <w:tcBorders>
              <w:top w:val="nil"/>
              <w:left w:val="nil"/>
              <w:bottom w:val="single" w:color="auto" w:sz="8" w:space="0"/>
              <w:right w:val="single" w:color="auto" w:sz="8" w:space="0"/>
            </w:tcBorders>
            <w:vAlign w:val="center"/>
          </w:tcPr>
          <w:p w14:paraId="43F747FD">
            <w:pPr>
              <w:widowControl/>
              <w:jc w:val="center"/>
              <w:rPr>
                <w:kern w:val="0"/>
                <w:sz w:val="24"/>
              </w:rPr>
            </w:pPr>
            <w:r>
              <w:rPr>
                <w:kern w:val="0"/>
                <w:sz w:val="24"/>
              </w:rPr>
              <w:t>46</w:t>
            </w:r>
            <w:r>
              <w:rPr>
                <w:rFonts w:hint="eastAsia"/>
                <w:kern w:val="0"/>
                <w:sz w:val="24"/>
              </w:rPr>
              <w:t>6.</w:t>
            </w:r>
            <w:r>
              <w:rPr>
                <w:kern w:val="0"/>
                <w:sz w:val="24"/>
              </w:rPr>
              <w:t>7hm</w:t>
            </w:r>
            <w:r>
              <w:rPr>
                <w:kern w:val="0"/>
                <w:sz w:val="24"/>
                <w:vertAlign w:val="superscript"/>
              </w:rPr>
              <w:t>2</w:t>
            </w:r>
          </w:p>
        </w:tc>
        <w:tc>
          <w:tcPr>
            <w:tcW w:w="1556" w:type="dxa"/>
            <w:tcBorders>
              <w:top w:val="nil"/>
              <w:left w:val="nil"/>
              <w:bottom w:val="single" w:color="auto" w:sz="8" w:space="0"/>
              <w:right w:val="single" w:color="auto" w:sz="8" w:space="0"/>
            </w:tcBorders>
            <w:vAlign w:val="center"/>
          </w:tcPr>
          <w:p w14:paraId="0091A070">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6DC48EE6">
            <w:pPr>
              <w:widowControl/>
              <w:jc w:val="center"/>
              <w:rPr>
                <w:kern w:val="0"/>
                <w:sz w:val="24"/>
              </w:rPr>
            </w:pPr>
            <w:r>
              <w:rPr>
                <w:kern w:val="0"/>
                <w:sz w:val="24"/>
              </w:rPr>
              <w:t>1200</w:t>
            </w:r>
          </w:p>
        </w:tc>
        <w:tc>
          <w:tcPr>
            <w:tcW w:w="1275" w:type="dxa"/>
            <w:tcBorders>
              <w:top w:val="nil"/>
              <w:left w:val="nil"/>
              <w:bottom w:val="single" w:color="auto" w:sz="8" w:space="0"/>
              <w:right w:val="single" w:color="auto" w:sz="8" w:space="0"/>
            </w:tcBorders>
            <w:vAlign w:val="center"/>
          </w:tcPr>
          <w:p w14:paraId="28AAFFD3">
            <w:pPr>
              <w:widowControl/>
              <w:jc w:val="center"/>
              <w:rPr>
                <w:rFonts w:ascii="宋体" w:hAnsi="宋体" w:cs="宋体"/>
                <w:kern w:val="0"/>
                <w:sz w:val="24"/>
              </w:rPr>
            </w:pPr>
            <w:r>
              <w:rPr>
                <w:rFonts w:hint="eastAsia" w:ascii="宋体" w:hAnsi="宋体" w:cs="宋体"/>
                <w:kern w:val="0"/>
                <w:sz w:val="24"/>
              </w:rPr>
              <w:t>政府投资</w:t>
            </w:r>
          </w:p>
        </w:tc>
        <w:tc>
          <w:tcPr>
            <w:tcW w:w="3119" w:type="dxa"/>
            <w:tcBorders>
              <w:top w:val="nil"/>
              <w:left w:val="nil"/>
              <w:bottom w:val="single" w:color="auto" w:sz="8" w:space="0"/>
              <w:right w:val="single" w:color="auto" w:sz="8" w:space="0"/>
            </w:tcBorders>
            <w:vAlign w:val="center"/>
          </w:tcPr>
          <w:p w14:paraId="432500D1">
            <w:pPr>
              <w:widowControl/>
              <w:jc w:val="center"/>
              <w:rPr>
                <w:rFonts w:ascii="宋体" w:hAnsi="宋体" w:cs="宋体"/>
                <w:kern w:val="0"/>
                <w:sz w:val="24"/>
              </w:rPr>
            </w:pPr>
            <w:r>
              <w:rPr>
                <w:rFonts w:hint="eastAsia" w:ascii="宋体" w:hAnsi="宋体" w:cs="宋体"/>
                <w:kern w:val="0"/>
                <w:sz w:val="24"/>
              </w:rPr>
              <w:t>全市范围</w:t>
            </w:r>
          </w:p>
        </w:tc>
      </w:tr>
      <w:tr w14:paraId="3AB27C25">
        <w:tblPrEx>
          <w:tblCellMar>
            <w:top w:w="0" w:type="dxa"/>
            <w:left w:w="108" w:type="dxa"/>
            <w:bottom w:w="0" w:type="dxa"/>
            <w:right w:w="108" w:type="dxa"/>
          </w:tblCellMar>
        </w:tblPrEx>
        <w:trPr>
          <w:trHeight w:val="390" w:hRule="atLeast"/>
        </w:trPr>
        <w:tc>
          <w:tcPr>
            <w:tcW w:w="718" w:type="dxa"/>
            <w:vMerge w:val="continue"/>
            <w:tcBorders>
              <w:top w:val="nil"/>
              <w:left w:val="single" w:color="auto" w:sz="8" w:space="0"/>
              <w:bottom w:val="single" w:color="000000" w:sz="8" w:space="0"/>
              <w:right w:val="single" w:color="auto" w:sz="8" w:space="0"/>
            </w:tcBorders>
            <w:vAlign w:val="center"/>
          </w:tcPr>
          <w:p w14:paraId="1259E7BB">
            <w:pPr>
              <w:widowControl/>
              <w:jc w:val="left"/>
              <w:rPr>
                <w:kern w:val="0"/>
                <w:sz w:val="24"/>
              </w:rPr>
            </w:pPr>
          </w:p>
        </w:tc>
        <w:tc>
          <w:tcPr>
            <w:tcW w:w="1176" w:type="dxa"/>
            <w:vMerge w:val="continue"/>
            <w:tcBorders>
              <w:top w:val="nil"/>
              <w:left w:val="single" w:color="auto" w:sz="8" w:space="0"/>
              <w:bottom w:val="single" w:color="000000" w:sz="8" w:space="0"/>
              <w:right w:val="single" w:color="auto" w:sz="8" w:space="0"/>
            </w:tcBorders>
            <w:vAlign w:val="center"/>
          </w:tcPr>
          <w:p w14:paraId="1E1BACF4">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26C6D313">
            <w:pPr>
              <w:widowControl/>
              <w:jc w:val="center"/>
              <w:rPr>
                <w:rFonts w:ascii="宋体" w:hAnsi="宋体" w:cs="宋体"/>
                <w:kern w:val="0"/>
                <w:sz w:val="24"/>
              </w:rPr>
            </w:pPr>
            <w:r>
              <w:rPr>
                <w:rFonts w:hint="eastAsia" w:ascii="宋体" w:hAnsi="宋体" w:cs="宋体"/>
                <w:kern w:val="0"/>
                <w:sz w:val="24"/>
              </w:rPr>
              <w:t>发展林下经济旅游</w:t>
            </w:r>
          </w:p>
        </w:tc>
        <w:tc>
          <w:tcPr>
            <w:tcW w:w="1359" w:type="dxa"/>
            <w:tcBorders>
              <w:top w:val="nil"/>
              <w:left w:val="nil"/>
              <w:bottom w:val="single" w:color="auto" w:sz="8" w:space="0"/>
              <w:right w:val="single" w:color="auto" w:sz="8" w:space="0"/>
            </w:tcBorders>
            <w:vAlign w:val="center"/>
          </w:tcPr>
          <w:p w14:paraId="349C4FDA">
            <w:pPr>
              <w:widowControl/>
              <w:jc w:val="center"/>
              <w:rPr>
                <w:kern w:val="0"/>
                <w:sz w:val="24"/>
              </w:rPr>
            </w:pPr>
            <w:r>
              <w:rPr>
                <w:kern w:val="0"/>
                <w:sz w:val="24"/>
              </w:rPr>
              <w:t>13</w:t>
            </w:r>
            <w:r>
              <w:rPr>
                <w:rFonts w:hint="eastAsia"/>
                <w:kern w:val="0"/>
                <w:sz w:val="24"/>
              </w:rPr>
              <w:t>.3</w:t>
            </w:r>
            <w:r>
              <w:rPr>
                <w:kern w:val="0"/>
                <w:sz w:val="24"/>
              </w:rPr>
              <w:t xml:space="preserve"> hm</w:t>
            </w:r>
            <w:r>
              <w:rPr>
                <w:kern w:val="0"/>
                <w:sz w:val="24"/>
                <w:vertAlign w:val="superscript"/>
              </w:rPr>
              <w:t>2</w:t>
            </w:r>
          </w:p>
        </w:tc>
        <w:tc>
          <w:tcPr>
            <w:tcW w:w="1556" w:type="dxa"/>
            <w:tcBorders>
              <w:top w:val="nil"/>
              <w:left w:val="nil"/>
              <w:bottom w:val="single" w:color="auto" w:sz="8" w:space="0"/>
              <w:right w:val="single" w:color="auto" w:sz="8" w:space="0"/>
            </w:tcBorders>
            <w:vAlign w:val="center"/>
          </w:tcPr>
          <w:p w14:paraId="6BB030C4">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614BAF7C">
            <w:pPr>
              <w:widowControl/>
              <w:jc w:val="center"/>
              <w:rPr>
                <w:kern w:val="0"/>
                <w:sz w:val="24"/>
              </w:rPr>
            </w:pPr>
            <w:r>
              <w:rPr>
                <w:kern w:val="0"/>
                <w:sz w:val="24"/>
              </w:rPr>
              <w:t>1000</w:t>
            </w:r>
          </w:p>
        </w:tc>
        <w:tc>
          <w:tcPr>
            <w:tcW w:w="1275" w:type="dxa"/>
            <w:tcBorders>
              <w:top w:val="nil"/>
              <w:left w:val="nil"/>
              <w:bottom w:val="single" w:color="auto" w:sz="8" w:space="0"/>
              <w:right w:val="single" w:color="auto" w:sz="8" w:space="0"/>
            </w:tcBorders>
            <w:vAlign w:val="center"/>
          </w:tcPr>
          <w:p w14:paraId="2F98119F">
            <w:pPr>
              <w:widowControl/>
              <w:jc w:val="center"/>
              <w:rPr>
                <w:rFonts w:ascii="宋体" w:hAnsi="宋体" w:cs="宋体"/>
                <w:kern w:val="0"/>
                <w:sz w:val="24"/>
              </w:rPr>
            </w:pPr>
            <w:r>
              <w:rPr>
                <w:rFonts w:hint="eastAsia" w:ascii="宋体" w:hAnsi="宋体" w:cs="宋体"/>
                <w:kern w:val="0"/>
                <w:sz w:val="24"/>
              </w:rPr>
              <w:t>政府投资社会投资</w:t>
            </w:r>
          </w:p>
        </w:tc>
        <w:tc>
          <w:tcPr>
            <w:tcW w:w="3119" w:type="dxa"/>
            <w:tcBorders>
              <w:top w:val="nil"/>
              <w:left w:val="nil"/>
              <w:bottom w:val="single" w:color="auto" w:sz="8" w:space="0"/>
              <w:right w:val="single" w:color="auto" w:sz="8" w:space="0"/>
            </w:tcBorders>
            <w:vAlign w:val="center"/>
          </w:tcPr>
          <w:p w14:paraId="77E8D7FA">
            <w:pPr>
              <w:widowControl/>
              <w:jc w:val="center"/>
              <w:rPr>
                <w:rFonts w:ascii="宋体" w:hAnsi="宋体" w:cs="宋体"/>
                <w:kern w:val="0"/>
                <w:sz w:val="24"/>
              </w:rPr>
            </w:pPr>
            <w:r>
              <w:rPr>
                <w:rFonts w:hint="eastAsia" w:ascii="宋体" w:hAnsi="宋体" w:cs="宋体"/>
                <w:kern w:val="0"/>
                <w:sz w:val="24"/>
              </w:rPr>
              <w:t>育才生态区、天涯区</w:t>
            </w:r>
          </w:p>
        </w:tc>
      </w:tr>
      <w:tr w14:paraId="26965CE5">
        <w:tblPrEx>
          <w:tblCellMar>
            <w:top w:w="0" w:type="dxa"/>
            <w:left w:w="108" w:type="dxa"/>
            <w:bottom w:w="0" w:type="dxa"/>
            <w:right w:w="108" w:type="dxa"/>
          </w:tblCellMar>
        </w:tblPrEx>
        <w:trPr>
          <w:trHeight w:val="330" w:hRule="atLeast"/>
        </w:trPr>
        <w:tc>
          <w:tcPr>
            <w:tcW w:w="718" w:type="dxa"/>
            <w:vMerge w:val="continue"/>
            <w:tcBorders>
              <w:top w:val="nil"/>
              <w:left w:val="single" w:color="auto" w:sz="8" w:space="0"/>
              <w:bottom w:val="single" w:color="000000" w:sz="8" w:space="0"/>
              <w:right w:val="single" w:color="auto" w:sz="8" w:space="0"/>
            </w:tcBorders>
            <w:vAlign w:val="center"/>
          </w:tcPr>
          <w:p w14:paraId="6C5167B0">
            <w:pPr>
              <w:widowControl/>
              <w:jc w:val="left"/>
              <w:rPr>
                <w:kern w:val="0"/>
                <w:sz w:val="24"/>
              </w:rPr>
            </w:pPr>
          </w:p>
        </w:tc>
        <w:tc>
          <w:tcPr>
            <w:tcW w:w="1176" w:type="dxa"/>
            <w:vMerge w:val="continue"/>
            <w:tcBorders>
              <w:top w:val="nil"/>
              <w:left w:val="single" w:color="auto" w:sz="8" w:space="0"/>
              <w:bottom w:val="single" w:color="000000" w:sz="8" w:space="0"/>
              <w:right w:val="single" w:color="auto" w:sz="8" w:space="0"/>
            </w:tcBorders>
            <w:vAlign w:val="center"/>
          </w:tcPr>
          <w:p w14:paraId="0A03B963">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4BEBB48D">
            <w:pPr>
              <w:widowControl/>
              <w:jc w:val="center"/>
              <w:rPr>
                <w:rFonts w:ascii="宋体" w:hAnsi="宋体" w:cs="宋体"/>
                <w:kern w:val="0"/>
                <w:sz w:val="24"/>
              </w:rPr>
            </w:pPr>
            <w:r>
              <w:rPr>
                <w:rFonts w:hint="eastAsia" w:ascii="宋体" w:hAnsi="宋体" w:cs="宋体"/>
                <w:kern w:val="0"/>
                <w:sz w:val="24"/>
              </w:rPr>
              <w:t>培育新型林业经营主体</w:t>
            </w:r>
          </w:p>
        </w:tc>
        <w:tc>
          <w:tcPr>
            <w:tcW w:w="1359" w:type="dxa"/>
            <w:tcBorders>
              <w:top w:val="nil"/>
              <w:left w:val="nil"/>
              <w:bottom w:val="single" w:color="auto" w:sz="8" w:space="0"/>
              <w:right w:val="single" w:color="auto" w:sz="8" w:space="0"/>
            </w:tcBorders>
            <w:vAlign w:val="center"/>
          </w:tcPr>
          <w:p w14:paraId="2C7A57CC">
            <w:pPr>
              <w:widowControl/>
              <w:jc w:val="center"/>
              <w:rPr>
                <w:kern w:val="0"/>
                <w:sz w:val="24"/>
              </w:rPr>
            </w:pPr>
            <w:r>
              <w:rPr>
                <w:rFonts w:hint="eastAsia"/>
                <w:kern w:val="0"/>
                <w:sz w:val="24"/>
              </w:rPr>
              <w:t>30~50</w:t>
            </w:r>
            <w:r>
              <w:rPr>
                <w:rFonts w:hint="eastAsia" w:ascii="宋体" w:hAnsi="宋体"/>
                <w:kern w:val="0"/>
                <w:sz w:val="24"/>
              </w:rPr>
              <w:t>家</w:t>
            </w:r>
          </w:p>
        </w:tc>
        <w:tc>
          <w:tcPr>
            <w:tcW w:w="1556" w:type="dxa"/>
            <w:tcBorders>
              <w:top w:val="nil"/>
              <w:left w:val="nil"/>
              <w:bottom w:val="single" w:color="auto" w:sz="8" w:space="0"/>
              <w:right w:val="single" w:color="auto" w:sz="8" w:space="0"/>
            </w:tcBorders>
            <w:vAlign w:val="center"/>
          </w:tcPr>
          <w:p w14:paraId="6C86E707">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0E59E10C">
            <w:pPr>
              <w:widowControl/>
              <w:jc w:val="center"/>
              <w:rPr>
                <w:kern w:val="0"/>
                <w:sz w:val="24"/>
              </w:rPr>
            </w:pPr>
            <w:r>
              <w:rPr>
                <w:rFonts w:hint="eastAsia"/>
                <w:kern w:val="0"/>
                <w:sz w:val="24"/>
              </w:rPr>
              <w:t>20</w:t>
            </w:r>
            <w:r>
              <w:rPr>
                <w:kern w:val="0"/>
                <w:sz w:val="24"/>
              </w:rPr>
              <w:t>00</w:t>
            </w:r>
          </w:p>
        </w:tc>
        <w:tc>
          <w:tcPr>
            <w:tcW w:w="1275" w:type="dxa"/>
            <w:tcBorders>
              <w:top w:val="nil"/>
              <w:left w:val="nil"/>
              <w:bottom w:val="single" w:color="auto" w:sz="8" w:space="0"/>
              <w:right w:val="single" w:color="auto" w:sz="8" w:space="0"/>
            </w:tcBorders>
            <w:vAlign w:val="center"/>
          </w:tcPr>
          <w:p w14:paraId="291B333F">
            <w:pPr>
              <w:widowControl/>
              <w:jc w:val="center"/>
              <w:rPr>
                <w:rFonts w:ascii="宋体" w:hAnsi="宋体" w:cs="宋体"/>
                <w:kern w:val="0"/>
                <w:sz w:val="24"/>
              </w:rPr>
            </w:pPr>
            <w:r>
              <w:rPr>
                <w:rFonts w:hint="eastAsia" w:ascii="宋体" w:hAnsi="宋体" w:cs="宋体"/>
                <w:kern w:val="0"/>
                <w:sz w:val="24"/>
              </w:rPr>
              <w:t>政府投资</w:t>
            </w:r>
          </w:p>
        </w:tc>
        <w:tc>
          <w:tcPr>
            <w:tcW w:w="3119" w:type="dxa"/>
            <w:tcBorders>
              <w:top w:val="nil"/>
              <w:left w:val="nil"/>
              <w:bottom w:val="single" w:color="auto" w:sz="8" w:space="0"/>
              <w:right w:val="single" w:color="auto" w:sz="8" w:space="0"/>
            </w:tcBorders>
            <w:vAlign w:val="center"/>
          </w:tcPr>
          <w:p w14:paraId="1389BFF9">
            <w:pPr>
              <w:widowControl/>
              <w:jc w:val="center"/>
              <w:rPr>
                <w:rFonts w:ascii="宋体" w:hAnsi="宋体" w:cs="宋体"/>
                <w:kern w:val="0"/>
                <w:sz w:val="24"/>
              </w:rPr>
            </w:pPr>
            <w:r>
              <w:rPr>
                <w:rFonts w:hint="eastAsia" w:ascii="宋体" w:hAnsi="宋体" w:cs="宋体"/>
                <w:kern w:val="0"/>
                <w:sz w:val="24"/>
              </w:rPr>
              <w:t>育才生态区　</w:t>
            </w:r>
          </w:p>
        </w:tc>
      </w:tr>
      <w:tr w14:paraId="5F3937D3">
        <w:tblPrEx>
          <w:tblCellMar>
            <w:top w:w="0" w:type="dxa"/>
            <w:left w:w="108" w:type="dxa"/>
            <w:bottom w:w="0" w:type="dxa"/>
            <w:right w:w="108" w:type="dxa"/>
          </w:tblCellMar>
        </w:tblPrEx>
        <w:trPr>
          <w:trHeight w:val="330" w:hRule="atLeast"/>
        </w:trPr>
        <w:tc>
          <w:tcPr>
            <w:tcW w:w="718" w:type="dxa"/>
            <w:vMerge w:val="continue"/>
            <w:tcBorders>
              <w:top w:val="nil"/>
              <w:left w:val="single" w:color="auto" w:sz="8" w:space="0"/>
              <w:bottom w:val="single" w:color="000000" w:sz="8" w:space="0"/>
              <w:right w:val="single" w:color="auto" w:sz="8" w:space="0"/>
            </w:tcBorders>
            <w:vAlign w:val="center"/>
          </w:tcPr>
          <w:p w14:paraId="717681D3">
            <w:pPr>
              <w:widowControl/>
              <w:jc w:val="left"/>
              <w:rPr>
                <w:kern w:val="0"/>
                <w:sz w:val="24"/>
              </w:rPr>
            </w:pPr>
          </w:p>
        </w:tc>
        <w:tc>
          <w:tcPr>
            <w:tcW w:w="1176" w:type="dxa"/>
            <w:vMerge w:val="continue"/>
            <w:tcBorders>
              <w:top w:val="nil"/>
              <w:left w:val="single" w:color="auto" w:sz="8" w:space="0"/>
              <w:bottom w:val="single" w:color="000000" w:sz="8" w:space="0"/>
              <w:right w:val="single" w:color="auto" w:sz="8" w:space="0"/>
            </w:tcBorders>
            <w:vAlign w:val="center"/>
          </w:tcPr>
          <w:p w14:paraId="6A5F642D">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6892FB2C">
            <w:pPr>
              <w:widowControl/>
              <w:jc w:val="center"/>
              <w:rPr>
                <w:rFonts w:ascii="宋体" w:hAnsi="宋体" w:cs="宋体"/>
                <w:kern w:val="0"/>
                <w:sz w:val="24"/>
              </w:rPr>
            </w:pPr>
            <w:r>
              <w:rPr>
                <w:rFonts w:hint="eastAsia" w:ascii="宋体" w:hAnsi="宋体" w:cs="宋体"/>
                <w:kern w:val="0"/>
                <w:sz w:val="24"/>
              </w:rPr>
              <w:t>培育林业龙头企业</w:t>
            </w:r>
          </w:p>
        </w:tc>
        <w:tc>
          <w:tcPr>
            <w:tcW w:w="1359" w:type="dxa"/>
            <w:tcBorders>
              <w:top w:val="nil"/>
              <w:left w:val="nil"/>
              <w:bottom w:val="single" w:color="auto" w:sz="8" w:space="0"/>
              <w:right w:val="single" w:color="auto" w:sz="8" w:space="0"/>
            </w:tcBorders>
            <w:vAlign w:val="center"/>
          </w:tcPr>
          <w:p w14:paraId="69BAA53E">
            <w:pPr>
              <w:widowControl/>
              <w:jc w:val="center"/>
              <w:rPr>
                <w:kern w:val="0"/>
                <w:sz w:val="24"/>
              </w:rPr>
            </w:pPr>
            <w:r>
              <w:rPr>
                <w:kern w:val="0"/>
                <w:sz w:val="24"/>
              </w:rPr>
              <w:t>2</w:t>
            </w:r>
            <w:r>
              <w:rPr>
                <w:rFonts w:hint="eastAsia" w:ascii="宋体" w:hAnsi="宋体"/>
                <w:kern w:val="0"/>
                <w:sz w:val="24"/>
              </w:rPr>
              <w:t>家</w:t>
            </w:r>
          </w:p>
        </w:tc>
        <w:tc>
          <w:tcPr>
            <w:tcW w:w="1556" w:type="dxa"/>
            <w:tcBorders>
              <w:top w:val="nil"/>
              <w:left w:val="nil"/>
              <w:bottom w:val="single" w:color="auto" w:sz="8" w:space="0"/>
              <w:right w:val="single" w:color="auto" w:sz="8" w:space="0"/>
            </w:tcBorders>
            <w:vAlign w:val="center"/>
          </w:tcPr>
          <w:p w14:paraId="386228B2">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28C00118">
            <w:pPr>
              <w:widowControl/>
              <w:jc w:val="center"/>
              <w:rPr>
                <w:kern w:val="0"/>
                <w:sz w:val="24"/>
              </w:rPr>
            </w:pPr>
            <w:r>
              <w:rPr>
                <w:rFonts w:hint="eastAsia"/>
                <w:kern w:val="0"/>
                <w:sz w:val="24"/>
              </w:rPr>
              <w:t>2</w:t>
            </w:r>
            <w:r>
              <w:rPr>
                <w:kern w:val="0"/>
                <w:sz w:val="24"/>
              </w:rPr>
              <w:t>000</w:t>
            </w:r>
          </w:p>
        </w:tc>
        <w:tc>
          <w:tcPr>
            <w:tcW w:w="1275" w:type="dxa"/>
            <w:tcBorders>
              <w:top w:val="nil"/>
              <w:left w:val="nil"/>
              <w:bottom w:val="single" w:color="auto" w:sz="8" w:space="0"/>
              <w:right w:val="single" w:color="auto" w:sz="8" w:space="0"/>
            </w:tcBorders>
            <w:vAlign w:val="center"/>
          </w:tcPr>
          <w:p w14:paraId="68F6B3AF">
            <w:pPr>
              <w:widowControl/>
              <w:jc w:val="center"/>
              <w:rPr>
                <w:rFonts w:ascii="宋体" w:hAnsi="宋体" w:cs="宋体"/>
                <w:kern w:val="0"/>
                <w:sz w:val="24"/>
              </w:rPr>
            </w:pPr>
            <w:r>
              <w:rPr>
                <w:rFonts w:hint="eastAsia" w:ascii="宋体" w:hAnsi="宋体" w:cs="宋体"/>
                <w:kern w:val="0"/>
                <w:sz w:val="24"/>
              </w:rPr>
              <w:t>政府投资社会投资</w:t>
            </w:r>
          </w:p>
        </w:tc>
        <w:tc>
          <w:tcPr>
            <w:tcW w:w="3119" w:type="dxa"/>
            <w:tcBorders>
              <w:top w:val="nil"/>
              <w:left w:val="nil"/>
              <w:bottom w:val="single" w:color="auto" w:sz="8" w:space="0"/>
              <w:right w:val="single" w:color="auto" w:sz="8" w:space="0"/>
            </w:tcBorders>
            <w:vAlign w:val="center"/>
          </w:tcPr>
          <w:p w14:paraId="5B5822BB">
            <w:pPr>
              <w:widowControl/>
              <w:jc w:val="center"/>
              <w:rPr>
                <w:rFonts w:ascii="宋体" w:hAnsi="宋体" w:cs="宋体"/>
                <w:kern w:val="0"/>
                <w:sz w:val="24"/>
              </w:rPr>
            </w:pPr>
            <w:r>
              <w:rPr>
                <w:rFonts w:hint="eastAsia" w:ascii="宋体" w:hAnsi="宋体" w:cs="宋体"/>
                <w:kern w:val="0"/>
                <w:sz w:val="24"/>
              </w:rPr>
              <w:t>　育才生态区、天涯区</w:t>
            </w:r>
          </w:p>
        </w:tc>
      </w:tr>
      <w:tr w14:paraId="6FAD2D5C">
        <w:tblPrEx>
          <w:tblCellMar>
            <w:top w:w="0" w:type="dxa"/>
            <w:left w:w="108" w:type="dxa"/>
            <w:bottom w:w="0" w:type="dxa"/>
            <w:right w:w="108" w:type="dxa"/>
          </w:tblCellMar>
        </w:tblPrEx>
        <w:trPr>
          <w:trHeight w:val="390" w:hRule="atLeast"/>
        </w:trPr>
        <w:tc>
          <w:tcPr>
            <w:tcW w:w="718" w:type="dxa"/>
            <w:vMerge w:val="continue"/>
            <w:tcBorders>
              <w:top w:val="nil"/>
              <w:left w:val="single" w:color="auto" w:sz="8" w:space="0"/>
              <w:bottom w:val="single" w:color="000000" w:sz="8" w:space="0"/>
              <w:right w:val="single" w:color="auto" w:sz="8" w:space="0"/>
            </w:tcBorders>
            <w:vAlign w:val="center"/>
          </w:tcPr>
          <w:p w14:paraId="311F75F7">
            <w:pPr>
              <w:widowControl/>
              <w:jc w:val="left"/>
              <w:rPr>
                <w:kern w:val="0"/>
                <w:sz w:val="24"/>
              </w:rPr>
            </w:pPr>
          </w:p>
        </w:tc>
        <w:tc>
          <w:tcPr>
            <w:tcW w:w="1176" w:type="dxa"/>
            <w:vMerge w:val="continue"/>
            <w:tcBorders>
              <w:top w:val="nil"/>
              <w:left w:val="single" w:color="auto" w:sz="8" w:space="0"/>
              <w:bottom w:val="single" w:color="000000" w:sz="8" w:space="0"/>
              <w:right w:val="single" w:color="auto" w:sz="8" w:space="0"/>
            </w:tcBorders>
            <w:vAlign w:val="center"/>
          </w:tcPr>
          <w:p w14:paraId="1EFD562E">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77DFE731">
            <w:pPr>
              <w:widowControl/>
              <w:jc w:val="center"/>
              <w:rPr>
                <w:rFonts w:ascii="宋体" w:hAnsi="宋体" w:cs="宋体"/>
                <w:kern w:val="0"/>
                <w:sz w:val="24"/>
              </w:rPr>
            </w:pPr>
            <w:r>
              <w:rPr>
                <w:rFonts w:hint="eastAsia" w:ascii="宋体" w:hAnsi="宋体" w:cs="宋体"/>
                <w:kern w:val="0"/>
                <w:sz w:val="24"/>
              </w:rPr>
              <w:t>特色南药、黎药展销中心</w:t>
            </w:r>
          </w:p>
        </w:tc>
        <w:tc>
          <w:tcPr>
            <w:tcW w:w="1359" w:type="dxa"/>
            <w:tcBorders>
              <w:top w:val="nil"/>
              <w:left w:val="nil"/>
              <w:bottom w:val="single" w:color="auto" w:sz="8" w:space="0"/>
              <w:right w:val="single" w:color="auto" w:sz="8" w:space="0"/>
            </w:tcBorders>
            <w:vAlign w:val="center"/>
          </w:tcPr>
          <w:p w14:paraId="63B543C0">
            <w:pPr>
              <w:widowControl/>
              <w:jc w:val="center"/>
              <w:rPr>
                <w:kern w:val="0"/>
                <w:sz w:val="24"/>
              </w:rPr>
            </w:pPr>
            <w:r>
              <w:rPr>
                <w:kern w:val="0"/>
                <w:sz w:val="24"/>
              </w:rPr>
              <w:t>0.6 hm</w:t>
            </w:r>
            <w:r>
              <w:rPr>
                <w:kern w:val="0"/>
                <w:sz w:val="24"/>
                <w:vertAlign w:val="superscript"/>
              </w:rPr>
              <w:t>2</w:t>
            </w:r>
          </w:p>
        </w:tc>
        <w:tc>
          <w:tcPr>
            <w:tcW w:w="1556" w:type="dxa"/>
            <w:tcBorders>
              <w:top w:val="nil"/>
              <w:left w:val="nil"/>
              <w:bottom w:val="single" w:color="auto" w:sz="8" w:space="0"/>
              <w:right w:val="single" w:color="auto" w:sz="8" w:space="0"/>
            </w:tcBorders>
            <w:vAlign w:val="center"/>
          </w:tcPr>
          <w:p w14:paraId="3BF50DD1">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431FE870">
            <w:pPr>
              <w:widowControl/>
              <w:jc w:val="center"/>
              <w:rPr>
                <w:kern w:val="0"/>
                <w:sz w:val="24"/>
              </w:rPr>
            </w:pPr>
            <w:r>
              <w:rPr>
                <w:kern w:val="0"/>
                <w:sz w:val="24"/>
              </w:rPr>
              <w:t>1800</w:t>
            </w:r>
          </w:p>
        </w:tc>
        <w:tc>
          <w:tcPr>
            <w:tcW w:w="1275" w:type="dxa"/>
            <w:tcBorders>
              <w:top w:val="nil"/>
              <w:left w:val="nil"/>
              <w:bottom w:val="single" w:color="auto" w:sz="8" w:space="0"/>
              <w:right w:val="single" w:color="auto" w:sz="8" w:space="0"/>
            </w:tcBorders>
            <w:vAlign w:val="center"/>
          </w:tcPr>
          <w:p w14:paraId="3A24DE8A">
            <w:pPr>
              <w:widowControl/>
              <w:jc w:val="center"/>
              <w:rPr>
                <w:rFonts w:ascii="宋体" w:hAnsi="宋体" w:cs="宋体"/>
                <w:kern w:val="0"/>
                <w:sz w:val="24"/>
              </w:rPr>
            </w:pPr>
            <w:r>
              <w:rPr>
                <w:rFonts w:hint="eastAsia" w:ascii="宋体" w:hAnsi="宋体" w:cs="宋体"/>
                <w:kern w:val="0"/>
                <w:sz w:val="24"/>
              </w:rPr>
              <w:t>政府投资社会投资</w:t>
            </w:r>
          </w:p>
        </w:tc>
        <w:tc>
          <w:tcPr>
            <w:tcW w:w="3119" w:type="dxa"/>
            <w:tcBorders>
              <w:top w:val="nil"/>
              <w:left w:val="nil"/>
              <w:bottom w:val="single" w:color="auto" w:sz="8" w:space="0"/>
              <w:right w:val="single" w:color="auto" w:sz="8" w:space="0"/>
            </w:tcBorders>
            <w:vAlign w:val="center"/>
          </w:tcPr>
          <w:p w14:paraId="337A2368">
            <w:pPr>
              <w:widowControl/>
              <w:jc w:val="center"/>
              <w:rPr>
                <w:rFonts w:ascii="宋体" w:hAnsi="宋体" w:cs="宋体"/>
                <w:kern w:val="0"/>
                <w:sz w:val="24"/>
              </w:rPr>
            </w:pPr>
            <w:r>
              <w:rPr>
                <w:rFonts w:hint="eastAsia" w:ascii="宋体" w:hAnsi="宋体" w:cs="宋体"/>
                <w:kern w:val="0"/>
                <w:sz w:val="24"/>
              </w:rPr>
              <w:t>天涯区机场附近</w:t>
            </w:r>
          </w:p>
        </w:tc>
      </w:tr>
      <w:tr w14:paraId="0178E01A">
        <w:tblPrEx>
          <w:tblCellMar>
            <w:top w:w="0" w:type="dxa"/>
            <w:left w:w="108" w:type="dxa"/>
            <w:bottom w:w="0" w:type="dxa"/>
            <w:right w:w="108" w:type="dxa"/>
          </w:tblCellMar>
        </w:tblPrEx>
        <w:trPr>
          <w:trHeight w:val="330" w:hRule="atLeast"/>
        </w:trPr>
        <w:tc>
          <w:tcPr>
            <w:tcW w:w="718" w:type="dxa"/>
            <w:vMerge w:val="continue"/>
            <w:tcBorders>
              <w:top w:val="nil"/>
              <w:left w:val="single" w:color="auto" w:sz="8" w:space="0"/>
              <w:bottom w:val="single" w:color="000000" w:sz="8" w:space="0"/>
              <w:right w:val="single" w:color="auto" w:sz="8" w:space="0"/>
            </w:tcBorders>
            <w:vAlign w:val="center"/>
          </w:tcPr>
          <w:p w14:paraId="61B227CB">
            <w:pPr>
              <w:widowControl/>
              <w:jc w:val="left"/>
              <w:rPr>
                <w:kern w:val="0"/>
                <w:sz w:val="24"/>
              </w:rPr>
            </w:pPr>
          </w:p>
        </w:tc>
        <w:tc>
          <w:tcPr>
            <w:tcW w:w="4586" w:type="dxa"/>
            <w:gridSpan w:val="2"/>
            <w:tcBorders>
              <w:top w:val="single" w:color="auto" w:sz="8" w:space="0"/>
              <w:left w:val="nil"/>
              <w:bottom w:val="single" w:color="auto" w:sz="8" w:space="0"/>
              <w:right w:val="single" w:color="000000" w:sz="8" w:space="0"/>
            </w:tcBorders>
            <w:vAlign w:val="center"/>
          </w:tcPr>
          <w:p w14:paraId="0AAD7CE0">
            <w:pPr>
              <w:widowControl/>
              <w:jc w:val="center"/>
              <w:rPr>
                <w:rFonts w:ascii="宋体" w:hAnsi="宋体" w:cs="宋体"/>
                <w:b/>
                <w:bCs/>
                <w:kern w:val="0"/>
                <w:sz w:val="24"/>
              </w:rPr>
            </w:pPr>
            <w:r>
              <w:rPr>
                <w:rFonts w:hint="eastAsia" w:ascii="宋体" w:hAnsi="宋体" w:cs="宋体"/>
                <w:b/>
                <w:bCs/>
                <w:kern w:val="0"/>
                <w:sz w:val="24"/>
              </w:rPr>
              <w:t>小计</w:t>
            </w:r>
          </w:p>
        </w:tc>
        <w:tc>
          <w:tcPr>
            <w:tcW w:w="1359" w:type="dxa"/>
            <w:tcBorders>
              <w:top w:val="nil"/>
              <w:left w:val="nil"/>
              <w:bottom w:val="single" w:color="auto" w:sz="8" w:space="0"/>
              <w:right w:val="single" w:color="auto" w:sz="8" w:space="0"/>
            </w:tcBorders>
            <w:vAlign w:val="center"/>
          </w:tcPr>
          <w:p w14:paraId="3C9C66F5">
            <w:pPr>
              <w:widowControl/>
              <w:jc w:val="center"/>
              <w:rPr>
                <w:b/>
                <w:bCs/>
                <w:kern w:val="0"/>
                <w:sz w:val="24"/>
              </w:rPr>
            </w:pPr>
            <w:r>
              <w:rPr>
                <w:b/>
                <w:bCs/>
                <w:kern w:val="0"/>
                <w:sz w:val="24"/>
              </w:rPr>
              <w:t>　</w:t>
            </w:r>
          </w:p>
        </w:tc>
        <w:tc>
          <w:tcPr>
            <w:tcW w:w="1556" w:type="dxa"/>
            <w:tcBorders>
              <w:top w:val="nil"/>
              <w:left w:val="nil"/>
              <w:bottom w:val="single" w:color="auto" w:sz="8" w:space="0"/>
              <w:right w:val="single" w:color="auto" w:sz="8" w:space="0"/>
            </w:tcBorders>
            <w:vAlign w:val="center"/>
          </w:tcPr>
          <w:p w14:paraId="572686B7">
            <w:pPr>
              <w:widowControl/>
              <w:jc w:val="center"/>
              <w:rPr>
                <w:b/>
                <w:bCs/>
                <w:kern w:val="0"/>
                <w:sz w:val="24"/>
              </w:rPr>
            </w:pPr>
            <w:r>
              <w:rPr>
                <w:b/>
                <w:bCs/>
                <w:kern w:val="0"/>
                <w:sz w:val="24"/>
              </w:rPr>
              <w:t>　</w:t>
            </w:r>
          </w:p>
        </w:tc>
        <w:tc>
          <w:tcPr>
            <w:tcW w:w="1294" w:type="dxa"/>
            <w:tcBorders>
              <w:top w:val="nil"/>
              <w:left w:val="nil"/>
              <w:bottom w:val="single" w:color="auto" w:sz="8" w:space="0"/>
              <w:right w:val="single" w:color="auto" w:sz="8" w:space="0"/>
            </w:tcBorders>
            <w:vAlign w:val="center"/>
          </w:tcPr>
          <w:p w14:paraId="7C0AFFC8">
            <w:pPr>
              <w:widowControl/>
              <w:jc w:val="center"/>
              <w:rPr>
                <w:b/>
                <w:bCs/>
                <w:kern w:val="0"/>
                <w:sz w:val="24"/>
              </w:rPr>
            </w:pPr>
            <w:r>
              <w:rPr>
                <w:rFonts w:hint="eastAsia"/>
                <w:b/>
                <w:bCs/>
                <w:kern w:val="0"/>
                <w:sz w:val="24"/>
              </w:rPr>
              <w:t>90</w:t>
            </w:r>
            <w:r>
              <w:rPr>
                <w:b/>
                <w:bCs/>
                <w:kern w:val="0"/>
                <w:sz w:val="24"/>
              </w:rPr>
              <w:t>00</w:t>
            </w:r>
          </w:p>
        </w:tc>
        <w:tc>
          <w:tcPr>
            <w:tcW w:w="1275" w:type="dxa"/>
            <w:tcBorders>
              <w:top w:val="nil"/>
              <w:left w:val="nil"/>
              <w:bottom w:val="single" w:color="auto" w:sz="8" w:space="0"/>
              <w:right w:val="single" w:color="auto" w:sz="8" w:space="0"/>
            </w:tcBorders>
            <w:vAlign w:val="center"/>
          </w:tcPr>
          <w:p w14:paraId="4D038BAC">
            <w:pPr>
              <w:widowControl/>
              <w:jc w:val="center"/>
              <w:rPr>
                <w:kern w:val="0"/>
                <w:sz w:val="24"/>
              </w:rPr>
            </w:pPr>
            <w:r>
              <w:rPr>
                <w:kern w:val="0"/>
                <w:sz w:val="24"/>
              </w:rPr>
              <w:t>　</w:t>
            </w:r>
          </w:p>
        </w:tc>
        <w:tc>
          <w:tcPr>
            <w:tcW w:w="3119" w:type="dxa"/>
            <w:tcBorders>
              <w:top w:val="nil"/>
              <w:left w:val="nil"/>
              <w:bottom w:val="single" w:color="auto" w:sz="8" w:space="0"/>
              <w:right w:val="single" w:color="auto" w:sz="8" w:space="0"/>
            </w:tcBorders>
            <w:vAlign w:val="center"/>
          </w:tcPr>
          <w:p w14:paraId="1C12349B">
            <w:pPr>
              <w:widowControl/>
              <w:jc w:val="center"/>
              <w:rPr>
                <w:rFonts w:ascii="宋体" w:hAnsi="宋体" w:cs="宋体"/>
                <w:kern w:val="0"/>
                <w:sz w:val="24"/>
              </w:rPr>
            </w:pPr>
            <w:r>
              <w:rPr>
                <w:rFonts w:hint="eastAsia" w:ascii="宋体" w:hAnsi="宋体" w:cs="宋体"/>
                <w:kern w:val="0"/>
                <w:sz w:val="24"/>
              </w:rPr>
              <w:t>　</w:t>
            </w:r>
          </w:p>
        </w:tc>
      </w:tr>
      <w:tr w14:paraId="703103C9">
        <w:tblPrEx>
          <w:tblCellMar>
            <w:top w:w="0" w:type="dxa"/>
            <w:left w:w="108" w:type="dxa"/>
            <w:bottom w:w="0" w:type="dxa"/>
            <w:right w:w="108" w:type="dxa"/>
          </w:tblCellMar>
        </w:tblPrEx>
        <w:trPr>
          <w:trHeight w:val="330" w:hRule="atLeast"/>
        </w:trPr>
        <w:tc>
          <w:tcPr>
            <w:tcW w:w="718" w:type="dxa"/>
            <w:vMerge w:val="restart"/>
            <w:tcBorders>
              <w:top w:val="nil"/>
              <w:left w:val="single" w:color="auto" w:sz="8" w:space="0"/>
              <w:bottom w:val="single" w:color="000000" w:sz="8" w:space="0"/>
              <w:right w:val="single" w:color="auto" w:sz="8" w:space="0"/>
            </w:tcBorders>
            <w:vAlign w:val="center"/>
          </w:tcPr>
          <w:p w14:paraId="1539E4FE">
            <w:pPr>
              <w:widowControl/>
              <w:jc w:val="center"/>
              <w:rPr>
                <w:kern w:val="0"/>
                <w:sz w:val="24"/>
              </w:rPr>
            </w:pPr>
            <w:r>
              <w:rPr>
                <w:kern w:val="0"/>
                <w:sz w:val="24"/>
              </w:rPr>
              <w:t>2</w:t>
            </w:r>
          </w:p>
        </w:tc>
        <w:tc>
          <w:tcPr>
            <w:tcW w:w="1176" w:type="dxa"/>
            <w:vMerge w:val="restart"/>
            <w:tcBorders>
              <w:top w:val="nil"/>
              <w:left w:val="single" w:color="auto" w:sz="8" w:space="0"/>
              <w:bottom w:val="nil"/>
              <w:right w:val="single" w:color="auto" w:sz="8" w:space="0"/>
            </w:tcBorders>
            <w:vAlign w:val="center"/>
          </w:tcPr>
          <w:p w14:paraId="6912A9CE">
            <w:pPr>
              <w:widowControl/>
              <w:jc w:val="center"/>
              <w:rPr>
                <w:rFonts w:ascii="宋体" w:hAnsi="宋体" w:cs="宋体"/>
                <w:kern w:val="0"/>
                <w:sz w:val="24"/>
              </w:rPr>
            </w:pPr>
            <w:r>
              <w:rPr>
                <w:rFonts w:hint="eastAsia" w:ascii="宋体" w:hAnsi="宋体" w:cs="宋体"/>
                <w:kern w:val="0"/>
                <w:sz w:val="24"/>
              </w:rPr>
              <w:t>中长期（</w:t>
            </w:r>
            <w:r>
              <w:rPr>
                <w:kern w:val="0"/>
                <w:sz w:val="24"/>
              </w:rPr>
              <w:t>2026</w:t>
            </w:r>
            <w:r>
              <w:rPr>
                <w:rFonts w:hint="eastAsia" w:ascii="宋体" w:hAnsi="宋体" w:cs="宋体"/>
                <w:kern w:val="0"/>
                <w:sz w:val="24"/>
              </w:rPr>
              <w:t>～</w:t>
            </w:r>
            <w:r>
              <w:rPr>
                <w:kern w:val="0"/>
                <w:sz w:val="24"/>
              </w:rPr>
              <w:t>2035</w:t>
            </w:r>
            <w:r>
              <w:rPr>
                <w:rFonts w:hint="eastAsia" w:ascii="宋体" w:hAnsi="宋体" w:cs="宋体"/>
                <w:kern w:val="0"/>
                <w:sz w:val="24"/>
              </w:rPr>
              <w:t>年）</w:t>
            </w:r>
          </w:p>
        </w:tc>
        <w:tc>
          <w:tcPr>
            <w:tcW w:w="3410" w:type="dxa"/>
            <w:tcBorders>
              <w:top w:val="nil"/>
              <w:left w:val="nil"/>
              <w:bottom w:val="single" w:color="auto" w:sz="8" w:space="0"/>
              <w:right w:val="single" w:color="auto" w:sz="8" w:space="0"/>
            </w:tcBorders>
            <w:vAlign w:val="center"/>
          </w:tcPr>
          <w:p w14:paraId="0C093EC2">
            <w:pPr>
              <w:widowControl/>
              <w:jc w:val="center"/>
              <w:rPr>
                <w:rFonts w:ascii="宋体" w:hAnsi="宋体" w:cs="宋体"/>
                <w:kern w:val="0"/>
                <w:sz w:val="24"/>
              </w:rPr>
            </w:pPr>
            <w:r>
              <w:rPr>
                <w:rFonts w:hint="eastAsia" w:ascii="宋体" w:hAnsi="宋体" w:cs="宋体"/>
                <w:kern w:val="0"/>
                <w:sz w:val="24"/>
              </w:rPr>
              <w:t>国家农村产业融合发展示范园</w:t>
            </w:r>
          </w:p>
        </w:tc>
        <w:tc>
          <w:tcPr>
            <w:tcW w:w="1359" w:type="dxa"/>
            <w:tcBorders>
              <w:top w:val="nil"/>
              <w:left w:val="nil"/>
              <w:bottom w:val="single" w:color="auto" w:sz="8" w:space="0"/>
              <w:right w:val="single" w:color="auto" w:sz="8" w:space="0"/>
            </w:tcBorders>
            <w:vAlign w:val="center"/>
          </w:tcPr>
          <w:p w14:paraId="59B95E75">
            <w:pPr>
              <w:widowControl/>
              <w:jc w:val="center"/>
              <w:rPr>
                <w:kern w:val="0"/>
                <w:sz w:val="24"/>
              </w:rPr>
            </w:pPr>
            <w:r>
              <w:rPr>
                <w:kern w:val="0"/>
                <w:sz w:val="24"/>
              </w:rPr>
              <w:t>1</w:t>
            </w:r>
            <w:r>
              <w:rPr>
                <w:rFonts w:hint="eastAsia" w:ascii="宋体" w:hAnsi="宋体"/>
                <w:kern w:val="0"/>
                <w:sz w:val="24"/>
              </w:rPr>
              <w:t>处</w:t>
            </w:r>
          </w:p>
        </w:tc>
        <w:tc>
          <w:tcPr>
            <w:tcW w:w="1556" w:type="dxa"/>
            <w:tcBorders>
              <w:top w:val="nil"/>
              <w:left w:val="nil"/>
              <w:bottom w:val="single" w:color="auto" w:sz="8" w:space="0"/>
              <w:right w:val="single" w:color="auto" w:sz="8" w:space="0"/>
            </w:tcBorders>
            <w:vAlign w:val="center"/>
          </w:tcPr>
          <w:p w14:paraId="3769A15F">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6A607E72">
            <w:pPr>
              <w:widowControl/>
              <w:jc w:val="center"/>
              <w:rPr>
                <w:kern w:val="0"/>
                <w:sz w:val="24"/>
              </w:rPr>
            </w:pPr>
            <w:r>
              <w:rPr>
                <w:kern w:val="0"/>
                <w:sz w:val="24"/>
              </w:rPr>
              <w:t>3000</w:t>
            </w:r>
          </w:p>
        </w:tc>
        <w:tc>
          <w:tcPr>
            <w:tcW w:w="1275" w:type="dxa"/>
            <w:tcBorders>
              <w:top w:val="nil"/>
              <w:left w:val="nil"/>
              <w:bottom w:val="single" w:color="auto" w:sz="8" w:space="0"/>
              <w:right w:val="single" w:color="auto" w:sz="8" w:space="0"/>
            </w:tcBorders>
            <w:vAlign w:val="center"/>
          </w:tcPr>
          <w:p w14:paraId="12DFB974">
            <w:pPr>
              <w:widowControl/>
              <w:jc w:val="center"/>
              <w:rPr>
                <w:rFonts w:ascii="宋体" w:hAnsi="宋体" w:cs="宋体"/>
                <w:kern w:val="0"/>
                <w:sz w:val="24"/>
              </w:rPr>
            </w:pPr>
            <w:r>
              <w:rPr>
                <w:rFonts w:hint="eastAsia" w:ascii="宋体" w:hAnsi="宋体" w:cs="宋体"/>
                <w:kern w:val="0"/>
                <w:sz w:val="24"/>
              </w:rPr>
              <w:t>政府投资社会投资</w:t>
            </w:r>
          </w:p>
        </w:tc>
        <w:tc>
          <w:tcPr>
            <w:tcW w:w="3119" w:type="dxa"/>
            <w:tcBorders>
              <w:top w:val="nil"/>
              <w:left w:val="nil"/>
              <w:bottom w:val="single" w:color="auto" w:sz="8" w:space="0"/>
              <w:right w:val="single" w:color="auto" w:sz="8" w:space="0"/>
            </w:tcBorders>
            <w:vAlign w:val="center"/>
          </w:tcPr>
          <w:p w14:paraId="2BDA490B">
            <w:pPr>
              <w:widowControl/>
              <w:jc w:val="center"/>
              <w:rPr>
                <w:rFonts w:ascii="宋体" w:hAnsi="宋体" w:cs="宋体"/>
                <w:kern w:val="0"/>
                <w:sz w:val="24"/>
              </w:rPr>
            </w:pPr>
            <w:r>
              <w:rPr>
                <w:rFonts w:hint="eastAsia" w:ascii="宋体" w:hAnsi="宋体" w:cs="宋体"/>
                <w:kern w:val="0"/>
                <w:sz w:val="24"/>
              </w:rPr>
              <w:t>育才生态区</w:t>
            </w:r>
          </w:p>
        </w:tc>
      </w:tr>
      <w:tr w14:paraId="16999284">
        <w:tblPrEx>
          <w:tblCellMar>
            <w:top w:w="0" w:type="dxa"/>
            <w:left w:w="108" w:type="dxa"/>
            <w:bottom w:w="0" w:type="dxa"/>
            <w:right w:w="108" w:type="dxa"/>
          </w:tblCellMar>
        </w:tblPrEx>
        <w:trPr>
          <w:trHeight w:val="390" w:hRule="atLeast"/>
        </w:trPr>
        <w:tc>
          <w:tcPr>
            <w:tcW w:w="718" w:type="dxa"/>
            <w:vMerge w:val="continue"/>
            <w:tcBorders>
              <w:top w:val="nil"/>
              <w:left w:val="single" w:color="auto" w:sz="8" w:space="0"/>
              <w:bottom w:val="single" w:color="000000" w:sz="8" w:space="0"/>
              <w:right w:val="single" w:color="auto" w:sz="8" w:space="0"/>
            </w:tcBorders>
            <w:vAlign w:val="center"/>
          </w:tcPr>
          <w:p w14:paraId="236B193A">
            <w:pPr>
              <w:widowControl/>
              <w:jc w:val="left"/>
              <w:rPr>
                <w:kern w:val="0"/>
                <w:sz w:val="24"/>
              </w:rPr>
            </w:pPr>
          </w:p>
        </w:tc>
        <w:tc>
          <w:tcPr>
            <w:tcW w:w="1176" w:type="dxa"/>
            <w:vMerge w:val="continue"/>
            <w:tcBorders>
              <w:top w:val="nil"/>
              <w:left w:val="single" w:color="auto" w:sz="8" w:space="0"/>
              <w:bottom w:val="nil"/>
              <w:right w:val="single" w:color="auto" w:sz="8" w:space="0"/>
            </w:tcBorders>
            <w:vAlign w:val="center"/>
          </w:tcPr>
          <w:p w14:paraId="5EB38C6D">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291F20F1">
            <w:pPr>
              <w:widowControl/>
              <w:jc w:val="center"/>
              <w:rPr>
                <w:rFonts w:ascii="宋体" w:hAnsi="宋体" w:cs="宋体"/>
                <w:kern w:val="0"/>
                <w:sz w:val="24"/>
              </w:rPr>
            </w:pPr>
            <w:r>
              <w:rPr>
                <w:rFonts w:hint="eastAsia" w:ascii="宋体" w:hAnsi="宋体" w:cs="宋体"/>
                <w:kern w:val="0"/>
                <w:sz w:val="24"/>
              </w:rPr>
              <w:t>现代林下经济产业示范基地</w:t>
            </w:r>
          </w:p>
        </w:tc>
        <w:tc>
          <w:tcPr>
            <w:tcW w:w="1359" w:type="dxa"/>
            <w:tcBorders>
              <w:top w:val="nil"/>
              <w:left w:val="nil"/>
              <w:bottom w:val="single" w:color="auto" w:sz="8" w:space="0"/>
              <w:right w:val="single" w:color="auto" w:sz="8" w:space="0"/>
            </w:tcBorders>
            <w:vAlign w:val="center"/>
          </w:tcPr>
          <w:p w14:paraId="2A3F943F">
            <w:pPr>
              <w:widowControl/>
              <w:jc w:val="center"/>
              <w:rPr>
                <w:kern w:val="0"/>
                <w:sz w:val="24"/>
              </w:rPr>
            </w:pPr>
            <w:r>
              <w:rPr>
                <w:kern w:val="0"/>
                <w:sz w:val="24"/>
              </w:rPr>
              <w:t>1000 hm</w:t>
            </w:r>
            <w:r>
              <w:rPr>
                <w:kern w:val="0"/>
                <w:sz w:val="24"/>
                <w:vertAlign w:val="superscript"/>
              </w:rPr>
              <w:t>2</w:t>
            </w:r>
          </w:p>
        </w:tc>
        <w:tc>
          <w:tcPr>
            <w:tcW w:w="1556" w:type="dxa"/>
            <w:tcBorders>
              <w:top w:val="nil"/>
              <w:left w:val="nil"/>
              <w:bottom w:val="single" w:color="auto" w:sz="8" w:space="0"/>
              <w:right w:val="single" w:color="auto" w:sz="8" w:space="0"/>
            </w:tcBorders>
            <w:vAlign w:val="center"/>
          </w:tcPr>
          <w:p w14:paraId="6426EE6E">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4495DEFB">
            <w:pPr>
              <w:widowControl/>
              <w:jc w:val="center"/>
              <w:rPr>
                <w:kern w:val="0"/>
                <w:sz w:val="24"/>
              </w:rPr>
            </w:pPr>
            <w:r>
              <w:rPr>
                <w:kern w:val="0"/>
                <w:sz w:val="24"/>
              </w:rPr>
              <w:t>12200</w:t>
            </w:r>
          </w:p>
        </w:tc>
        <w:tc>
          <w:tcPr>
            <w:tcW w:w="1275" w:type="dxa"/>
            <w:tcBorders>
              <w:top w:val="nil"/>
              <w:left w:val="nil"/>
              <w:bottom w:val="single" w:color="auto" w:sz="8" w:space="0"/>
              <w:right w:val="single" w:color="auto" w:sz="8" w:space="0"/>
            </w:tcBorders>
            <w:vAlign w:val="center"/>
          </w:tcPr>
          <w:p w14:paraId="4498280A">
            <w:pPr>
              <w:widowControl/>
              <w:jc w:val="center"/>
              <w:rPr>
                <w:rFonts w:ascii="宋体" w:hAnsi="宋体" w:cs="宋体"/>
                <w:kern w:val="0"/>
                <w:sz w:val="24"/>
              </w:rPr>
            </w:pPr>
            <w:r>
              <w:rPr>
                <w:rFonts w:hint="eastAsia" w:ascii="宋体" w:hAnsi="宋体" w:cs="宋体"/>
                <w:kern w:val="0"/>
                <w:sz w:val="24"/>
              </w:rPr>
              <w:t>政府投资社会投资</w:t>
            </w:r>
          </w:p>
        </w:tc>
        <w:tc>
          <w:tcPr>
            <w:tcW w:w="3119" w:type="dxa"/>
            <w:tcBorders>
              <w:top w:val="nil"/>
              <w:left w:val="nil"/>
              <w:bottom w:val="single" w:color="auto" w:sz="8" w:space="0"/>
              <w:right w:val="single" w:color="auto" w:sz="8" w:space="0"/>
            </w:tcBorders>
            <w:vAlign w:val="center"/>
          </w:tcPr>
          <w:p w14:paraId="1C44CDD8">
            <w:pPr>
              <w:widowControl/>
              <w:jc w:val="center"/>
              <w:rPr>
                <w:rFonts w:ascii="宋体" w:hAnsi="宋体" w:cs="宋体"/>
                <w:kern w:val="0"/>
                <w:sz w:val="24"/>
              </w:rPr>
            </w:pPr>
            <w:r>
              <w:rPr>
                <w:rFonts w:hint="eastAsia" w:ascii="宋体" w:hAnsi="宋体" w:cs="宋体"/>
                <w:kern w:val="0"/>
                <w:sz w:val="24"/>
              </w:rPr>
              <w:t>全市范围</w:t>
            </w:r>
          </w:p>
        </w:tc>
      </w:tr>
      <w:tr w14:paraId="08C7431A">
        <w:tblPrEx>
          <w:tblCellMar>
            <w:top w:w="0" w:type="dxa"/>
            <w:left w:w="108" w:type="dxa"/>
            <w:bottom w:w="0" w:type="dxa"/>
            <w:right w:w="108" w:type="dxa"/>
          </w:tblCellMar>
        </w:tblPrEx>
        <w:trPr>
          <w:trHeight w:val="330" w:hRule="atLeast"/>
        </w:trPr>
        <w:tc>
          <w:tcPr>
            <w:tcW w:w="718" w:type="dxa"/>
            <w:vMerge w:val="continue"/>
            <w:tcBorders>
              <w:top w:val="nil"/>
              <w:left w:val="single" w:color="auto" w:sz="8" w:space="0"/>
              <w:bottom w:val="single" w:color="000000" w:sz="8" w:space="0"/>
              <w:right w:val="single" w:color="auto" w:sz="8" w:space="0"/>
            </w:tcBorders>
            <w:vAlign w:val="center"/>
          </w:tcPr>
          <w:p w14:paraId="1C968A87">
            <w:pPr>
              <w:widowControl/>
              <w:jc w:val="left"/>
              <w:rPr>
                <w:kern w:val="0"/>
                <w:sz w:val="24"/>
              </w:rPr>
            </w:pPr>
          </w:p>
        </w:tc>
        <w:tc>
          <w:tcPr>
            <w:tcW w:w="1176" w:type="dxa"/>
            <w:vMerge w:val="continue"/>
            <w:tcBorders>
              <w:top w:val="nil"/>
              <w:left w:val="single" w:color="auto" w:sz="8" w:space="0"/>
              <w:bottom w:val="nil"/>
              <w:right w:val="single" w:color="auto" w:sz="8" w:space="0"/>
            </w:tcBorders>
            <w:vAlign w:val="center"/>
          </w:tcPr>
          <w:p w14:paraId="564D15D6">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664BA6CE">
            <w:pPr>
              <w:widowControl/>
              <w:jc w:val="center"/>
              <w:rPr>
                <w:rFonts w:hint="eastAsia" w:ascii="宋体" w:hAnsi="宋体" w:cs="宋体"/>
                <w:kern w:val="0"/>
                <w:sz w:val="24"/>
              </w:rPr>
            </w:pPr>
            <w:r>
              <w:rPr>
                <w:rFonts w:hint="eastAsia" w:ascii="宋体" w:hAnsi="宋体" w:cs="宋体"/>
                <w:kern w:val="0"/>
                <w:sz w:val="24"/>
              </w:rPr>
              <w:t>培育新型林业经营主体</w:t>
            </w:r>
          </w:p>
        </w:tc>
        <w:tc>
          <w:tcPr>
            <w:tcW w:w="1359" w:type="dxa"/>
            <w:tcBorders>
              <w:top w:val="nil"/>
              <w:left w:val="nil"/>
              <w:bottom w:val="single" w:color="auto" w:sz="8" w:space="0"/>
              <w:right w:val="single" w:color="auto" w:sz="8" w:space="0"/>
            </w:tcBorders>
          </w:tcPr>
          <w:p w14:paraId="7F4B1488">
            <w:pPr>
              <w:widowControl/>
              <w:jc w:val="center"/>
              <w:rPr>
                <w:kern w:val="0"/>
                <w:sz w:val="24"/>
              </w:rPr>
            </w:pPr>
            <w:r>
              <w:rPr>
                <w:kern w:val="0"/>
                <w:sz w:val="24"/>
              </w:rPr>
              <w:t>≥50家</w:t>
            </w:r>
          </w:p>
        </w:tc>
        <w:tc>
          <w:tcPr>
            <w:tcW w:w="1556" w:type="dxa"/>
            <w:tcBorders>
              <w:top w:val="nil"/>
              <w:left w:val="nil"/>
              <w:bottom w:val="single" w:color="auto" w:sz="8" w:space="0"/>
              <w:right w:val="single" w:color="auto" w:sz="8" w:space="0"/>
            </w:tcBorders>
          </w:tcPr>
          <w:p w14:paraId="7E5FB497">
            <w:pPr>
              <w:widowControl/>
              <w:jc w:val="center"/>
              <w:rPr>
                <w:kern w:val="0"/>
                <w:sz w:val="24"/>
              </w:rPr>
            </w:pPr>
            <w:r>
              <w:rPr>
                <w:kern w:val="0"/>
                <w:sz w:val="24"/>
              </w:rPr>
              <w:t>续建</w:t>
            </w:r>
          </w:p>
        </w:tc>
        <w:tc>
          <w:tcPr>
            <w:tcW w:w="1294" w:type="dxa"/>
            <w:tcBorders>
              <w:top w:val="nil"/>
              <w:left w:val="nil"/>
              <w:bottom w:val="single" w:color="auto" w:sz="8" w:space="0"/>
              <w:right w:val="single" w:color="auto" w:sz="8" w:space="0"/>
            </w:tcBorders>
          </w:tcPr>
          <w:p w14:paraId="38A0098E">
            <w:pPr>
              <w:widowControl/>
              <w:jc w:val="center"/>
              <w:rPr>
                <w:kern w:val="0"/>
                <w:sz w:val="24"/>
              </w:rPr>
            </w:pPr>
            <w:r>
              <w:rPr>
                <w:kern w:val="0"/>
                <w:sz w:val="24"/>
              </w:rPr>
              <w:t>3000</w:t>
            </w:r>
          </w:p>
        </w:tc>
        <w:tc>
          <w:tcPr>
            <w:tcW w:w="1275" w:type="dxa"/>
            <w:tcBorders>
              <w:top w:val="nil"/>
              <w:left w:val="nil"/>
              <w:bottom w:val="single" w:color="auto" w:sz="8" w:space="0"/>
              <w:right w:val="single" w:color="auto" w:sz="8" w:space="0"/>
            </w:tcBorders>
          </w:tcPr>
          <w:p w14:paraId="6E9B5A6F">
            <w:pPr>
              <w:widowControl/>
              <w:jc w:val="center"/>
              <w:rPr>
                <w:kern w:val="0"/>
                <w:sz w:val="24"/>
              </w:rPr>
            </w:pPr>
            <w:r>
              <w:rPr>
                <w:kern w:val="0"/>
                <w:sz w:val="24"/>
              </w:rPr>
              <w:t>政府投资</w:t>
            </w:r>
          </w:p>
        </w:tc>
        <w:tc>
          <w:tcPr>
            <w:tcW w:w="3119" w:type="dxa"/>
            <w:tcBorders>
              <w:top w:val="nil"/>
              <w:left w:val="nil"/>
              <w:bottom w:val="single" w:color="auto" w:sz="8" w:space="0"/>
              <w:right w:val="single" w:color="auto" w:sz="8" w:space="0"/>
            </w:tcBorders>
          </w:tcPr>
          <w:p w14:paraId="58E949F6">
            <w:pPr>
              <w:widowControl/>
              <w:jc w:val="center"/>
              <w:rPr>
                <w:kern w:val="0"/>
                <w:sz w:val="24"/>
              </w:rPr>
            </w:pPr>
            <w:r>
              <w:rPr>
                <w:kern w:val="0"/>
                <w:sz w:val="24"/>
              </w:rPr>
              <w:t>育才生态区</w:t>
            </w:r>
          </w:p>
        </w:tc>
      </w:tr>
      <w:tr w14:paraId="3B17D5DD">
        <w:tblPrEx>
          <w:tblCellMar>
            <w:top w:w="0" w:type="dxa"/>
            <w:left w:w="108" w:type="dxa"/>
            <w:bottom w:w="0" w:type="dxa"/>
            <w:right w:w="108" w:type="dxa"/>
          </w:tblCellMar>
        </w:tblPrEx>
        <w:trPr>
          <w:trHeight w:val="330" w:hRule="atLeast"/>
        </w:trPr>
        <w:tc>
          <w:tcPr>
            <w:tcW w:w="718" w:type="dxa"/>
            <w:vMerge w:val="continue"/>
            <w:tcBorders>
              <w:top w:val="nil"/>
              <w:left w:val="single" w:color="auto" w:sz="8" w:space="0"/>
              <w:bottom w:val="single" w:color="000000" w:sz="8" w:space="0"/>
              <w:right w:val="single" w:color="auto" w:sz="8" w:space="0"/>
            </w:tcBorders>
            <w:vAlign w:val="center"/>
          </w:tcPr>
          <w:p w14:paraId="5F660307">
            <w:pPr>
              <w:widowControl/>
              <w:jc w:val="left"/>
              <w:rPr>
                <w:kern w:val="0"/>
                <w:sz w:val="24"/>
              </w:rPr>
            </w:pPr>
          </w:p>
        </w:tc>
        <w:tc>
          <w:tcPr>
            <w:tcW w:w="1176" w:type="dxa"/>
            <w:vMerge w:val="continue"/>
            <w:tcBorders>
              <w:top w:val="nil"/>
              <w:left w:val="single" w:color="auto" w:sz="8" w:space="0"/>
              <w:bottom w:val="nil"/>
              <w:right w:val="single" w:color="auto" w:sz="8" w:space="0"/>
            </w:tcBorders>
            <w:vAlign w:val="center"/>
          </w:tcPr>
          <w:p w14:paraId="678F016D">
            <w:pPr>
              <w:widowControl/>
              <w:jc w:val="left"/>
              <w:rPr>
                <w:rFonts w:ascii="宋体" w:hAnsi="宋体" w:cs="宋体"/>
                <w:kern w:val="0"/>
                <w:sz w:val="24"/>
              </w:rPr>
            </w:pPr>
          </w:p>
        </w:tc>
        <w:tc>
          <w:tcPr>
            <w:tcW w:w="3410" w:type="dxa"/>
            <w:tcBorders>
              <w:top w:val="nil"/>
              <w:left w:val="nil"/>
              <w:bottom w:val="single" w:color="auto" w:sz="8" w:space="0"/>
              <w:right w:val="single" w:color="auto" w:sz="8" w:space="0"/>
            </w:tcBorders>
            <w:vAlign w:val="center"/>
          </w:tcPr>
          <w:p w14:paraId="7436A349">
            <w:pPr>
              <w:widowControl/>
              <w:jc w:val="center"/>
              <w:rPr>
                <w:rFonts w:ascii="宋体" w:hAnsi="宋体" w:cs="宋体"/>
                <w:kern w:val="0"/>
                <w:sz w:val="24"/>
              </w:rPr>
            </w:pPr>
            <w:r>
              <w:rPr>
                <w:rFonts w:hint="eastAsia" w:ascii="宋体" w:hAnsi="宋体" w:cs="宋体"/>
                <w:kern w:val="0"/>
                <w:sz w:val="24"/>
              </w:rPr>
              <w:t>培育林业龙头企业</w:t>
            </w:r>
          </w:p>
        </w:tc>
        <w:tc>
          <w:tcPr>
            <w:tcW w:w="1359" w:type="dxa"/>
            <w:tcBorders>
              <w:top w:val="nil"/>
              <w:left w:val="nil"/>
              <w:bottom w:val="single" w:color="auto" w:sz="8" w:space="0"/>
              <w:right w:val="single" w:color="auto" w:sz="8" w:space="0"/>
            </w:tcBorders>
            <w:vAlign w:val="center"/>
          </w:tcPr>
          <w:p w14:paraId="6F232EEA">
            <w:pPr>
              <w:widowControl/>
              <w:jc w:val="center"/>
              <w:rPr>
                <w:kern w:val="0"/>
                <w:sz w:val="24"/>
              </w:rPr>
            </w:pPr>
            <w:r>
              <w:rPr>
                <w:kern w:val="0"/>
                <w:sz w:val="24"/>
              </w:rPr>
              <w:t>2</w:t>
            </w:r>
            <w:r>
              <w:rPr>
                <w:rFonts w:hint="eastAsia" w:ascii="宋体" w:hAnsi="宋体"/>
                <w:kern w:val="0"/>
                <w:sz w:val="24"/>
              </w:rPr>
              <w:t>家</w:t>
            </w:r>
          </w:p>
        </w:tc>
        <w:tc>
          <w:tcPr>
            <w:tcW w:w="1556" w:type="dxa"/>
            <w:tcBorders>
              <w:top w:val="nil"/>
              <w:left w:val="nil"/>
              <w:bottom w:val="single" w:color="auto" w:sz="8" w:space="0"/>
              <w:right w:val="single" w:color="auto" w:sz="8" w:space="0"/>
            </w:tcBorders>
            <w:vAlign w:val="center"/>
          </w:tcPr>
          <w:p w14:paraId="33CBA98A">
            <w:pPr>
              <w:widowControl/>
              <w:jc w:val="center"/>
              <w:rPr>
                <w:rFonts w:ascii="宋体" w:hAnsi="宋体" w:cs="宋体"/>
                <w:kern w:val="0"/>
                <w:sz w:val="24"/>
              </w:rPr>
            </w:pPr>
            <w:r>
              <w:rPr>
                <w:rFonts w:hint="eastAsia" w:ascii="宋体" w:hAnsi="宋体" w:cs="宋体"/>
                <w:kern w:val="0"/>
                <w:sz w:val="24"/>
              </w:rPr>
              <w:t>新建</w:t>
            </w:r>
          </w:p>
        </w:tc>
        <w:tc>
          <w:tcPr>
            <w:tcW w:w="1294" w:type="dxa"/>
            <w:tcBorders>
              <w:top w:val="nil"/>
              <w:left w:val="nil"/>
              <w:bottom w:val="single" w:color="auto" w:sz="8" w:space="0"/>
              <w:right w:val="single" w:color="auto" w:sz="8" w:space="0"/>
            </w:tcBorders>
            <w:vAlign w:val="center"/>
          </w:tcPr>
          <w:p w14:paraId="2733E794">
            <w:pPr>
              <w:widowControl/>
              <w:jc w:val="center"/>
              <w:rPr>
                <w:kern w:val="0"/>
                <w:sz w:val="24"/>
              </w:rPr>
            </w:pPr>
            <w:r>
              <w:rPr>
                <w:kern w:val="0"/>
                <w:sz w:val="24"/>
              </w:rPr>
              <w:t>2000</w:t>
            </w:r>
          </w:p>
        </w:tc>
        <w:tc>
          <w:tcPr>
            <w:tcW w:w="1275" w:type="dxa"/>
            <w:tcBorders>
              <w:top w:val="nil"/>
              <w:left w:val="nil"/>
              <w:bottom w:val="single" w:color="auto" w:sz="8" w:space="0"/>
              <w:right w:val="single" w:color="auto" w:sz="8" w:space="0"/>
            </w:tcBorders>
            <w:vAlign w:val="center"/>
          </w:tcPr>
          <w:p w14:paraId="0D47E772">
            <w:pPr>
              <w:widowControl/>
              <w:jc w:val="center"/>
              <w:rPr>
                <w:rFonts w:ascii="宋体" w:hAnsi="宋体" w:cs="宋体"/>
                <w:kern w:val="0"/>
                <w:sz w:val="24"/>
              </w:rPr>
            </w:pPr>
            <w:r>
              <w:rPr>
                <w:rFonts w:hint="eastAsia" w:ascii="宋体" w:hAnsi="宋体" w:cs="宋体"/>
                <w:kern w:val="0"/>
                <w:sz w:val="24"/>
              </w:rPr>
              <w:t>政府投资社会投资</w:t>
            </w:r>
          </w:p>
        </w:tc>
        <w:tc>
          <w:tcPr>
            <w:tcW w:w="3119" w:type="dxa"/>
            <w:tcBorders>
              <w:top w:val="nil"/>
              <w:left w:val="nil"/>
              <w:bottom w:val="single" w:color="auto" w:sz="8" w:space="0"/>
              <w:right w:val="single" w:color="auto" w:sz="8" w:space="0"/>
            </w:tcBorders>
            <w:vAlign w:val="center"/>
          </w:tcPr>
          <w:p w14:paraId="1A86A941">
            <w:pPr>
              <w:widowControl/>
              <w:jc w:val="center"/>
              <w:rPr>
                <w:rFonts w:ascii="宋体" w:hAnsi="宋体" w:cs="宋体"/>
                <w:kern w:val="0"/>
                <w:sz w:val="24"/>
              </w:rPr>
            </w:pPr>
            <w:r>
              <w:rPr>
                <w:rFonts w:hint="eastAsia" w:ascii="宋体" w:hAnsi="宋体" w:cs="宋体"/>
                <w:kern w:val="0"/>
                <w:sz w:val="24"/>
              </w:rPr>
              <w:t>育才生态区、天涯区　</w:t>
            </w:r>
          </w:p>
        </w:tc>
      </w:tr>
      <w:tr w14:paraId="22941F93">
        <w:tblPrEx>
          <w:tblCellMar>
            <w:top w:w="0" w:type="dxa"/>
            <w:left w:w="108" w:type="dxa"/>
            <w:bottom w:w="0" w:type="dxa"/>
            <w:right w:w="108" w:type="dxa"/>
          </w:tblCellMar>
        </w:tblPrEx>
        <w:trPr>
          <w:trHeight w:val="330" w:hRule="atLeast"/>
        </w:trPr>
        <w:tc>
          <w:tcPr>
            <w:tcW w:w="718" w:type="dxa"/>
            <w:vMerge w:val="continue"/>
            <w:tcBorders>
              <w:top w:val="nil"/>
              <w:left w:val="single" w:color="auto" w:sz="8" w:space="0"/>
              <w:bottom w:val="single" w:color="000000" w:sz="8" w:space="0"/>
              <w:right w:val="single" w:color="auto" w:sz="8" w:space="0"/>
            </w:tcBorders>
            <w:vAlign w:val="center"/>
          </w:tcPr>
          <w:p w14:paraId="1C74626B">
            <w:pPr>
              <w:widowControl/>
              <w:jc w:val="left"/>
              <w:rPr>
                <w:kern w:val="0"/>
                <w:sz w:val="24"/>
              </w:rPr>
            </w:pPr>
          </w:p>
        </w:tc>
        <w:tc>
          <w:tcPr>
            <w:tcW w:w="4586" w:type="dxa"/>
            <w:gridSpan w:val="2"/>
            <w:tcBorders>
              <w:top w:val="single" w:color="auto" w:sz="8" w:space="0"/>
              <w:left w:val="nil"/>
              <w:bottom w:val="single" w:color="auto" w:sz="8" w:space="0"/>
              <w:right w:val="single" w:color="000000" w:sz="8" w:space="0"/>
            </w:tcBorders>
            <w:vAlign w:val="center"/>
          </w:tcPr>
          <w:p w14:paraId="37F06243">
            <w:pPr>
              <w:widowControl/>
              <w:jc w:val="center"/>
              <w:rPr>
                <w:rFonts w:ascii="宋体" w:hAnsi="宋体" w:cs="宋体"/>
                <w:b/>
                <w:bCs/>
                <w:kern w:val="0"/>
                <w:sz w:val="24"/>
              </w:rPr>
            </w:pPr>
            <w:r>
              <w:rPr>
                <w:rFonts w:hint="eastAsia" w:ascii="宋体" w:hAnsi="宋体" w:cs="宋体"/>
                <w:b/>
                <w:bCs/>
                <w:kern w:val="0"/>
                <w:sz w:val="24"/>
              </w:rPr>
              <w:t>小计</w:t>
            </w:r>
          </w:p>
        </w:tc>
        <w:tc>
          <w:tcPr>
            <w:tcW w:w="1359" w:type="dxa"/>
            <w:tcBorders>
              <w:top w:val="nil"/>
              <w:left w:val="nil"/>
              <w:bottom w:val="single" w:color="auto" w:sz="8" w:space="0"/>
              <w:right w:val="single" w:color="auto" w:sz="8" w:space="0"/>
            </w:tcBorders>
            <w:vAlign w:val="center"/>
          </w:tcPr>
          <w:p w14:paraId="1BF67172">
            <w:pPr>
              <w:widowControl/>
              <w:jc w:val="center"/>
              <w:rPr>
                <w:b/>
                <w:bCs/>
                <w:kern w:val="0"/>
                <w:sz w:val="24"/>
              </w:rPr>
            </w:pPr>
            <w:r>
              <w:rPr>
                <w:b/>
                <w:bCs/>
                <w:kern w:val="0"/>
                <w:sz w:val="24"/>
              </w:rPr>
              <w:t>　</w:t>
            </w:r>
          </w:p>
        </w:tc>
        <w:tc>
          <w:tcPr>
            <w:tcW w:w="1556" w:type="dxa"/>
            <w:tcBorders>
              <w:top w:val="nil"/>
              <w:left w:val="nil"/>
              <w:bottom w:val="single" w:color="auto" w:sz="8" w:space="0"/>
              <w:right w:val="single" w:color="auto" w:sz="8" w:space="0"/>
            </w:tcBorders>
            <w:vAlign w:val="center"/>
          </w:tcPr>
          <w:p w14:paraId="586AD25E">
            <w:pPr>
              <w:widowControl/>
              <w:jc w:val="center"/>
              <w:rPr>
                <w:kern w:val="0"/>
                <w:sz w:val="24"/>
              </w:rPr>
            </w:pPr>
            <w:r>
              <w:rPr>
                <w:kern w:val="0"/>
                <w:sz w:val="24"/>
              </w:rPr>
              <w:t>　</w:t>
            </w:r>
          </w:p>
        </w:tc>
        <w:tc>
          <w:tcPr>
            <w:tcW w:w="1294" w:type="dxa"/>
            <w:tcBorders>
              <w:top w:val="nil"/>
              <w:left w:val="nil"/>
              <w:bottom w:val="single" w:color="auto" w:sz="8" w:space="0"/>
              <w:right w:val="single" w:color="auto" w:sz="8" w:space="0"/>
            </w:tcBorders>
            <w:vAlign w:val="center"/>
          </w:tcPr>
          <w:p w14:paraId="15154395">
            <w:pPr>
              <w:widowControl/>
              <w:jc w:val="center"/>
              <w:rPr>
                <w:b/>
                <w:bCs/>
                <w:kern w:val="0"/>
                <w:sz w:val="24"/>
              </w:rPr>
            </w:pPr>
            <w:r>
              <w:rPr>
                <w:rFonts w:hint="eastAsia"/>
                <w:b/>
                <w:bCs/>
                <w:kern w:val="0"/>
                <w:sz w:val="24"/>
              </w:rPr>
              <w:t>20</w:t>
            </w:r>
            <w:r>
              <w:rPr>
                <w:b/>
                <w:bCs/>
                <w:kern w:val="0"/>
                <w:sz w:val="24"/>
              </w:rPr>
              <w:t>200</w:t>
            </w:r>
          </w:p>
        </w:tc>
        <w:tc>
          <w:tcPr>
            <w:tcW w:w="1275" w:type="dxa"/>
            <w:tcBorders>
              <w:top w:val="nil"/>
              <w:left w:val="nil"/>
              <w:bottom w:val="single" w:color="auto" w:sz="8" w:space="0"/>
              <w:right w:val="single" w:color="auto" w:sz="8" w:space="0"/>
            </w:tcBorders>
            <w:vAlign w:val="center"/>
          </w:tcPr>
          <w:p w14:paraId="6BCE6007">
            <w:pPr>
              <w:widowControl/>
              <w:jc w:val="center"/>
              <w:rPr>
                <w:kern w:val="0"/>
                <w:sz w:val="24"/>
              </w:rPr>
            </w:pPr>
            <w:r>
              <w:rPr>
                <w:kern w:val="0"/>
                <w:sz w:val="24"/>
              </w:rPr>
              <w:t>　</w:t>
            </w:r>
          </w:p>
        </w:tc>
        <w:tc>
          <w:tcPr>
            <w:tcW w:w="3119" w:type="dxa"/>
            <w:tcBorders>
              <w:top w:val="nil"/>
              <w:left w:val="nil"/>
              <w:bottom w:val="single" w:color="auto" w:sz="8" w:space="0"/>
              <w:right w:val="single" w:color="auto" w:sz="8" w:space="0"/>
            </w:tcBorders>
            <w:vAlign w:val="center"/>
          </w:tcPr>
          <w:p w14:paraId="6746CF85">
            <w:pPr>
              <w:widowControl/>
              <w:jc w:val="center"/>
              <w:rPr>
                <w:rFonts w:ascii="宋体" w:hAnsi="宋体" w:cs="宋体"/>
                <w:kern w:val="0"/>
                <w:sz w:val="24"/>
              </w:rPr>
            </w:pPr>
            <w:r>
              <w:rPr>
                <w:rFonts w:hint="eastAsia" w:ascii="宋体" w:hAnsi="宋体" w:cs="宋体"/>
                <w:kern w:val="0"/>
                <w:sz w:val="24"/>
              </w:rPr>
              <w:t>　</w:t>
            </w:r>
          </w:p>
        </w:tc>
      </w:tr>
    </w:tbl>
    <w:p w14:paraId="278C005A">
      <w:pPr>
        <w:rPr>
          <w:rFonts w:eastAsia="黑体"/>
          <w:b/>
          <w:bCs/>
          <w:sz w:val="36"/>
          <w:szCs w:val="36"/>
        </w:rPr>
        <w:sectPr>
          <w:pgSz w:w="16838" w:h="11905" w:orient="landscape"/>
          <w:pgMar w:top="1803" w:right="1440" w:bottom="1803" w:left="1440" w:header="851" w:footer="992" w:gutter="0"/>
          <w:cols w:space="720" w:num="1"/>
          <w:docGrid w:type="lines" w:linePitch="319" w:charSpace="0"/>
        </w:sectPr>
      </w:pPr>
      <w:r>
        <w:rPr>
          <w:rFonts w:hint="eastAsia" w:ascii="仿宋_GB2312" w:eastAsia="仿宋_GB2312"/>
          <w:b/>
          <w:sz w:val="24"/>
        </w:rPr>
        <w:t>注：</w:t>
      </w:r>
      <w:r>
        <w:rPr>
          <w:rFonts w:hint="eastAsia" w:ascii="仿宋_GB2312" w:eastAsia="仿宋_GB2312"/>
          <w:sz w:val="24"/>
        </w:rPr>
        <w:t>政府投资根据地方财力和批复资金为建设投资依据，社会投资根据市场和企业实际投入为建设投资依据。</w:t>
      </w:r>
    </w:p>
    <w:p w14:paraId="40F64E25">
      <w:pPr>
        <w:pStyle w:val="15"/>
        <w:spacing w:before="0"/>
        <w:rPr>
          <w:rFonts w:ascii="黑体" w:hAnsi="黑体" w:eastAsia="黑体"/>
          <w:sz w:val="36"/>
        </w:rPr>
      </w:pPr>
      <w:bookmarkStart w:id="131" w:name="_Toc82546105"/>
      <w:r>
        <w:rPr>
          <w:rFonts w:ascii="黑体" w:hAnsi="黑体" w:eastAsia="黑体"/>
          <w:sz w:val="36"/>
        </w:rPr>
        <w:t>第</w:t>
      </w:r>
      <w:r>
        <w:rPr>
          <w:rFonts w:hint="eastAsia" w:ascii="黑体" w:hAnsi="黑体" w:eastAsia="黑体"/>
          <w:sz w:val="36"/>
        </w:rPr>
        <w:t>十一</w:t>
      </w:r>
      <w:r>
        <w:rPr>
          <w:rFonts w:ascii="黑体" w:hAnsi="黑体" w:eastAsia="黑体"/>
          <w:sz w:val="36"/>
        </w:rPr>
        <w:t>章</w:t>
      </w:r>
      <w:r>
        <w:rPr>
          <w:rFonts w:hint="eastAsia" w:ascii="黑体" w:hAnsi="黑体" w:eastAsia="黑体"/>
          <w:sz w:val="36"/>
        </w:rPr>
        <w:t xml:space="preserve"> </w:t>
      </w:r>
      <w:r>
        <w:rPr>
          <w:rFonts w:ascii="黑体" w:hAnsi="黑体" w:eastAsia="黑体"/>
          <w:sz w:val="36"/>
        </w:rPr>
        <w:t>生态保护与修</w:t>
      </w:r>
      <w:r>
        <w:rPr>
          <w:rFonts w:hint="eastAsia" w:ascii="黑体" w:hAnsi="黑体" w:eastAsia="黑体"/>
          <w:sz w:val="36"/>
        </w:rPr>
        <w:t>复</w:t>
      </w:r>
      <w:r>
        <w:rPr>
          <w:rFonts w:ascii="黑体" w:hAnsi="黑体" w:eastAsia="黑体"/>
          <w:sz w:val="36"/>
        </w:rPr>
        <w:t>产业</w:t>
      </w:r>
      <w:bookmarkEnd w:id="116"/>
      <w:r>
        <w:rPr>
          <w:rFonts w:ascii="黑体" w:hAnsi="黑体" w:eastAsia="黑体"/>
          <w:sz w:val="36"/>
        </w:rPr>
        <w:t>规划</w:t>
      </w:r>
      <w:bookmarkEnd w:id="117"/>
      <w:bookmarkEnd w:id="118"/>
      <w:bookmarkEnd w:id="119"/>
      <w:bookmarkEnd w:id="131"/>
    </w:p>
    <w:p w14:paraId="4420A5ED">
      <w:pPr>
        <w:pStyle w:val="3"/>
        <w:spacing w:before="319" w:beforeLines="100" w:after="0" w:line="240" w:lineRule="auto"/>
        <w:rPr>
          <w:rFonts w:ascii="Times New Roman" w:hAnsi="Times New Roman" w:eastAsia="黑体"/>
        </w:rPr>
      </w:pPr>
      <w:bookmarkStart w:id="132" w:name="_Toc82546106"/>
      <w:bookmarkStart w:id="133" w:name="_Toc3691"/>
      <w:r>
        <w:rPr>
          <w:rFonts w:hint="eastAsia" w:ascii="Times New Roman" w:hAnsi="Times New Roman" w:eastAsia="黑体"/>
        </w:rPr>
        <w:t>11</w:t>
      </w:r>
      <w:r>
        <w:rPr>
          <w:rFonts w:ascii="Times New Roman" w:hAnsi="Times New Roman" w:eastAsia="黑体"/>
        </w:rPr>
        <w:t>.1 产业现状</w:t>
      </w:r>
      <w:bookmarkEnd w:id="132"/>
      <w:bookmarkEnd w:id="133"/>
    </w:p>
    <w:p w14:paraId="338A4FB0">
      <w:pPr>
        <w:ind w:firstLine="624"/>
        <w:rPr>
          <w:rFonts w:hint="eastAsia" w:eastAsia="仿宋_GB2312"/>
          <w:sz w:val="32"/>
          <w:szCs w:val="32"/>
        </w:rPr>
      </w:pPr>
      <w:r>
        <w:rPr>
          <w:rFonts w:hint="eastAsia" w:eastAsia="仿宋_GB2312"/>
          <w:sz w:val="32"/>
          <w:szCs w:val="32"/>
        </w:rPr>
        <w:t>生态环境领域治理体系和治理能力现代化，是国家治理体系和治理能力现代化的重要组成部分。</w:t>
      </w:r>
      <w:r>
        <w:rPr>
          <w:rFonts w:eastAsia="仿宋_GB2312"/>
          <w:sz w:val="32"/>
          <w:szCs w:val="32"/>
        </w:rPr>
        <w:t>目前，三亚市生态保护与修复工作主要集中在绿化造林工程、沿海景观防护林建设、湿地保护与修复体系建设、古树名木保护建设、森林质量精准提升工程等。</w:t>
      </w:r>
    </w:p>
    <w:p w14:paraId="5C1FDD91">
      <w:pPr>
        <w:ind w:firstLine="624"/>
        <w:rPr>
          <w:rFonts w:eastAsia="仿宋_GB2312"/>
          <w:sz w:val="32"/>
          <w:szCs w:val="32"/>
        </w:rPr>
      </w:pPr>
      <w:r>
        <w:rPr>
          <w:rFonts w:eastAsia="仿宋_GB2312"/>
          <w:sz w:val="32"/>
          <w:szCs w:val="32"/>
        </w:rPr>
        <w:t>据统计，2020年三亚市林业局投入生态保护与修复的资金总量约为8206万元，大部分用于山体修复及养护（2249万元）、湿地修复（276</w:t>
      </w:r>
      <w:r>
        <w:rPr>
          <w:rFonts w:hint="eastAsia" w:eastAsia="仿宋_GB2312"/>
          <w:sz w:val="32"/>
          <w:szCs w:val="32"/>
        </w:rPr>
        <w:t>6</w:t>
      </w:r>
      <w:r>
        <w:rPr>
          <w:rFonts w:eastAsia="仿宋_GB2312"/>
          <w:sz w:val="32"/>
          <w:szCs w:val="32"/>
        </w:rPr>
        <w:t>万元）、绿化造林（3191万元）及相关工程。纵观当前整个产业发展，目前</w:t>
      </w:r>
      <w:r>
        <w:rPr>
          <w:rFonts w:hint="eastAsia" w:eastAsia="仿宋_GB2312"/>
          <w:sz w:val="32"/>
          <w:szCs w:val="32"/>
        </w:rPr>
        <w:t>尚处于</w:t>
      </w:r>
      <w:r>
        <w:rPr>
          <w:rFonts w:eastAsia="仿宋_GB2312"/>
          <w:sz w:val="32"/>
          <w:szCs w:val="32"/>
        </w:rPr>
        <w:t>初期阶段。</w:t>
      </w:r>
    </w:p>
    <w:p w14:paraId="4D83DA38">
      <w:pPr>
        <w:pStyle w:val="3"/>
        <w:spacing w:before="0" w:after="0" w:line="240" w:lineRule="auto"/>
        <w:rPr>
          <w:rFonts w:ascii="Times New Roman" w:hAnsi="Times New Roman" w:eastAsia="黑体"/>
        </w:rPr>
      </w:pPr>
      <w:bookmarkStart w:id="134" w:name="_Toc82546107"/>
      <w:bookmarkStart w:id="135" w:name="_Toc5598"/>
      <w:r>
        <w:rPr>
          <w:rFonts w:hint="eastAsia" w:ascii="Times New Roman" w:hAnsi="Times New Roman" w:eastAsia="黑体"/>
        </w:rPr>
        <w:t>11</w:t>
      </w:r>
      <w:r>
        <w:rPr>
          <w:rFonts w:ascii="Times New Roman" w:hAnsi="Times New Roman" w:eastAsia="黑体"/>
        </w:rPr>
        <w:t>.2 存在的主要问题</w:t>
      </w:r>
      <w:bookmarkEnd w:id="134"/>
      <w:bookmarkEnd w:id="135"/>
    </w:p>
    <w:p w14:paraId="56576850">
      <w:pPr>
        <w:ind w:firstLine="624"/>
        <w:rPr>
          <w:rFonts w:eastAsia="仿宋_GB2312"/>
          <w:sz w:val="32"/>
          <w:szCs w:val="32"/>
        </w:rPr>
      </w:pPr>
      <w:r>
        <w:rPr>
          <w:rFonts w:eastAsia="仿宋_GB2312"/>
          <w:sz w:val="32"/>
          <w:szCs w:val="32"/>
        </w:rPr>
        <w:t>（1）生态保护和修复</w:t>
      </w:r>
      <w:r>
        <w:rPr>
          <w:rFonts w:hint="eastAsia" w:eastAsia="仿宋_GB2312"/>
          <w:sz w:val="32"/>
          <w:szCs w:val="32"/>
        </w:rPr>
        <w:t>体系不完善</w:t>
      </w:r>
      <w:r>
        <w:rPr>
          <w:rFonts w:eastAsia="仿宋_GB2312"/>
          <w:sz w:val="32"/>
          <w:szCs w:val="32"/>
        </w:rPr>
        <w:t>。对于山水林田湖草作为生命共同体的内在机理和规律认识不够，落实整体保护、系统修复、综合治理的理念和要求还有很大差距。权责对等的管理体制和协调联动机制尚未建立，统筹生态保护修复面临较大压力和阻力。部分生态工程建设目标、建设内容和治理措施相对单一，使得整个生态系统服务功能整体提升成效不明显。</w:t>
      </w:r>
    </w:p>
    <w:p w14:paraId="7249BA53">
      <w:pPr>
        <w:ind w:firstLine="624"/>
        <w:rPr>
          <w:rFonts w:eastAsia="仿宋_GB2312"/>
          <w:sz w:val="32"/>
          <w:szCs w:val="32"/>
        </w:rPr>
      </w:pPr>
      <w:r>
        <w:rPr>
          <w:rFonts w:eastAsia="仿宋_GB2312"/>
          <w:sz w:val="32"/>
          <w:szCs w:val="32"/>
        </w:rPr>
        <w:t>（2）多元化投入机制尚未建立。生态保护与修复工作具有明显的公益性、外部性，受盈利能力低、项目风险多等影响，加之市场化投入机制、生态保护补偿机制仍不够完善，缺乏激励社会资本投入生态保护修复的有效政策和措施。工程建设仍以政府投入为主，投资渠道较为单一，资金投入整体不足。</w:t>
      </w:r>
    </w:p>
    <w:p w14:paraId="117DE642">
      <w:pPr>
        <w:ind w:firstLine="624"/>
        <w:rPr>
          <w:rFonts w:eastAsia="仿宋_GB2312"/>
          <w:sz w:val="32"/>
          <w:szCs w:val="32"/>
        </w:rPr>
      </w:pPr>
      <w:r>
        <w:rPr>
          <w:rFonts w:eastAsia="仿宋_GB2312"/>
          <w:sz w:val="32"/>
          <w:szCs w:val="32"/>
        </w:rPr>
        <w:t>（3）</w:t>
      </w:r>
      <w:r>
        <w:rPr>
          <w:rFonts w:hint="eastAsia" w:eastAsia="仿宋_GB2312"/>
          <w:sz w:val="32"/>
          <w:szCs w:val="32"/>
        </w:rPr>
        <w:t>行业</w:t>
      </w:r>
      <w:r>
        <w:rPr>
          <w:rFonts w:eastAsia="仿宋_GB2312"/>
          <w:sz w:val="32"/>
          <w:szCs w:val="32"/>
        </w:rPr>
        <w:t>规范化、标准化</w:t>
      </w:r>
      <w:r>
        <w:rPr>
          <w:rFonts w:hint="eastAsia" w:eastAsia="仿宋_GB2312"/>
          <w:sz w:val="32"/>
          <w:szCs w:val="32"/>
        </w:rPr>
        <w:t>程度不高</w:t>
      </w:r>
      <w:r>
        <w:rPr>
          <w:rFonts w:eastAsia="仿宋_GB2312"/>
          <w:sz w:val="32"/>
          <w:szCs w:val="32"/>
        </w:rPr>
        <w:t>，需提升科技支撑能力。生态保护与修复涉及行业多、范围广、学科间交叉性强，行业的技术标准、施工流程与工艺、质量要求规范等均未形成体系，还在摸索阶段。其次，生态保护与修复标准体系建设、新技术推广、科研成果转化等方面比较欠缺，理论研究与工程实践存在一定程度的脱节现象，关键技术和措施的系统性和长效性不足。科技服务平台和服务体系不健全，生态保护和修复产业仍处于培育阶段。</w:t>
      </w:r>
    </w:p>
    <w:p w14:paraId="25F73F3B">
      <w:pPr>
        <w:ind w:firstLine="624"/>
        <w:rPr>
          <w:rFonts w:eastAsia="仿宋_GB2312"/>
          <w:sz w:val="32"/>
          <w:szCs w:val="32"/>
        </w:rPr>
      </w:pPr>
      <w:r>
        <w:rPr>
          <w:rFonts w:eastAsia="仿宋_GB2312"/>
          <w:sz w:val="32"/>
          <w:szCs w:val="32"/>
        </w:rPr>
        <w:t>（4）修复后评估与</w:t>
      </w:r>
      <w:r>
        <w:rPr>
          <w:rFonts w:hint="eastAsia" w:eastAsia="仿宋_GB2312"/>
          <w:sz w:val="32"/>
          <w:szCs w:val="32"/>
        </w:rPr>
        <w:t>监测</w:t>
      </w:r>
      <w:r>
        <w:rPr>
          <w:rFonts w:eastAsia="仿宋_GB2312"/>
          <w:sz w:val="32"/>
          <w:szCs w:val="32"/>
        </w:rPr>
        <w:t>机制不健全。项目修复后的评估体制尚未健全，如何建立完善的后续</w:t>
      </w:r>
      <w:r>
        <w:rPr>
          <w:rFonts w:hint="eastAsia" w:eastAsia="仿宋_GB2312"/>
          <w:sz w:val="32"/>
          <w:szCs w:val="32"/>
        </w:rPr>
        <w:t>监测预警</w:t>
      </w:r>
      <w:r>
        <w:rPr>
          <w:rFonts w:eastAsia="仿宋_GB2312"/>
          <w:sz w:val="32"/>
          <w:szCs w:val="32"/>
        </w:rPr>
        <w:t>机制尤为重要，也是生态保护与修复产业</w:t>
      </w:r>
      <w:r>
        <w:rPr>
          <w:rFonts w:hint="eastAsia" w:eastAsia="仿宋_GB2312"/>
          <w:sz w:val="32"/>
          <w:szCs w:val="32"/>
        </w:rPr>
        <w:t>的</w:t>
      </w:r>
      <w:r>
        <w:rPr>
          <w:rFonts w:eastAsia="仿宋_GB2312"/>
          <w:sz w:val="32"/>
          <w:szCs w:val="32"/>
        </w:rPr>
        <w:t>重要举措。</w:t>
      </w:r>
    </w:p>
    <w:p w14:paraId="19417854">
      <w:pPr>
        <w:pStyle w:val="3"/>
        <w:spacing w:before="0" w:after="0" w:line="240" w:lineRule="auto"/>
        <w:rPr>
          <w:rFonts w:ascii="Times New Roman" w:hAnsi="Times New Roman" w:eastAsia="黑体"/>
        </w:rPr>
      </w:pPr>
      <w:bookmarkStart w:id="136" w:name="_Toc82546108"/>
      <w:bookmarkStart w:id="137" w:name="_Toc3462"/>
      <w:r>
        <w:rPr>
          <w:rFonts w:hint="eastAsia" w:ascii="Times New Roman" w:hAnsi="Times New Roman" w:eastAsia="黑体"/>
        </w:rPr>
        <w:t>11</w:t>
      </w:r>
      <w:r>
        <w:rPr>
          <w:rFonts w:ascii="Times New Roman" w:hAnsi="Times New Roman" w:eastAsia="黑体"/>
        </w:rPr>
        <w:t>.3 总体布局与规划目标</w:t>
      </w:r>
      <w:bookmarkEnd w:id="136"/>
      <w:bookmarkEnd w:id="137"/>
      <w:r>
        <w:rPr>
          <w:rFonts w:ascii="Times New Roman" w:hAnsi="Times New Roman" w:eastAsia="黑体"/>
        </w:rPr>
        <w:t xml:space="preserve"> </w:t>
      </w:r>
    </w:p>
    <w:p w14:paraId="7FB1E356">
      <w:pPr>
        <w:ind w:firstLine="624"/>
        <w:rPr>
          <w:rFonts w:eastAsia="仿宋_GB2312"/>
          <w:b/>
          <w:sz w:val="32"/>
          <w:szCs w:val="32"/>
        </w:rPr>
      </w:pPr>
      <w:r>
        <w:rPr>
          <w:rFonts w:eastAsia="仿宋_GB2312"/>
          <w:b/>
          <w:sz w:val="32"/>
          <w:szCs w:val="32"/>
        </w:rPr>
        <w:t>（1）总体布局</w:t>
      </w:r>
    </w:p>
    <w:p w14:paraId="666B5C9E">
      <w:pPr>
        <w:ind w:firstLine="640" w:firstLineChars="200"/>
        <w:rPr>
          <w:rFonts w:eastAsia="仿宋_GB2312"/>
          <w:sz w:val="32"/>
          <w:szCs w:val="32"/>
        </w:rPr>
      </w:pPr>
      <w:r>
        <w:rPr>
          <w:rFonts w:hint="eastAsia" w:ascii="仿宋_GB2312" w:eastAsia="仿宋_GB2312"/>
          <w:sz w:val="32"/>
        </w:rPr>
        <w:t>以林长制为抓手，推进天然林等生态工程，强化湿地监测、保护与修复，将湿地纳入湿地资源利用底线和生态红线进行监管。加强保护区管理，开展区域生物多样性本地调查，编制生物多样性保护规划，建设生物多样性监测体系与管理信息系统。</w:t>
      </w:r>
    </w:p>
    <w:p w14:paraId="3FCCF556">
      <w:pPr>
        <w:ind w:firstLine="624"/>
        <w:rPr>
          <w:rFonts w:eastAsia="仿宋_GB2312"/>
          <w:sz w:val="32"/>
          <w:szCs w:val="32"/>
        </w:rPr>
      </w:pPr>
      <w:r>
        <w:rPr>
          <w:rFonts w:eastAsia="仿宋_GB2312"/>
          <w:sz w:val="32"/>
          <w:szCs w:val="32"/>
        </w:rPr>
        <w:t>全市陆域生态空间布局主要基于山形水系框架，以北部山区为核心，以重要生态公益林、湖库、河流入海口为及节点，以自然山脊及河流为廊道，以生态岸段为支撑，构建全域生态保育体系，形成</w:t>
      </w:r>
      <w:r>
        <w:rPr>
          <w:rFonts w:eastAsia="仿宋_GB2312"/>
          <w:b/>
          <w:sz w:val="32"/>
          <w:szCs w:val="32"/>
        </w:rPr>
        <w:t>“生态绿心+生态节点+生态廊道+生态岸段”</w:t>
      </w:r>
      <w:r>
        <w:rPr>
          <w:rFonts w:eastAsia="仿宋_GB2312"/>
          <w:sz w:val="32"/>
          <w:szCs w:val="32"/>
        </w:rPr>
        <w:t>的生态空间格局。</w:t>
      </w:r>
    </w:p>
    <w:p w14:paraId="34ECB936">
      <w:pPr>
        <w:ind w:firstLine="624"/>
        <w:rPr>
          <w:rFonts w:eastAsia="仿宋_GB2312"/>
          <w:b/>
          <w:sz w:val="32"/>
          <w:szCs w:val="32"/>
        </w:rPr>
      </w:pPr>
      <w:r>
        <w:rPr>
          <w:rFonts w:eastAsia="仿宋_GB2312"/>
          <w:b/>
          <w:sz w:val="32"/>
          <w:szCs w:val="32"/>
        </w:rPr>
        <w:t>（2）规划目标</w:t>
      </w:r>
    </w:p>
    <w:p w14:paraId="788A25B4">
      <w:pPr>
        <w:ind w:firstLine="624"/>
        <w:rPr>
          <w:rFonts w:eastAsia="仿宋_GB2312"/>
          <w:b/>
          <w:sz w:val="32"/>
          <w:szCs w:val="32"/>
        </w:rPr>
      </w:pPr>
      <w:r>
        <w:rPr>
          <w:rFonts w:eastAsia="仿宋_GB2312"/>
          <w:b/>
          <w:sz w:val="32"/>
          <w:szCs w:val="32"/>
        </w:rPr>
        <w:t>近期（2021~2025年）目标：</w:t>
      </w:r>
    </w:p>
    <w:p w14:paraId="66D56978">
      <w:pPr>
        <w:ind w:firstLine="624"/>
        <w:rPr>
          <w:rFonts w:hint="eastAsia" w:eastAsia="仿宋_GB2312"/>
          <w:sz w:val="32"/>
          <w:szCs w:val="32"/>
        </w:rPr>
      </w:pPr>
      <w:r>
        <w:rPr>
          <w:rFonts w:hint="eastAsia" w:eastAsia="仿宋_GB2312"/>
          <w:sz w:val="32"/>
          <w:szCs w:val="32"/>
        </w:rPr>
        <w:t>①</w:t>
      </w:r>
      <w:r>
        <w:rPr>
          <w:rFonts w:eastAsia="仿宋_GB2312"/>
          <w:sz w:val="32"/>
          <w:szCs w:val="32"/>
        </w:rPr>
        <w:t>湿地保护与修复建设工程，包括对全市范围湿地资源调查</w:t>
      </w:r>
      <w:r>
        <w:rPr>
          <w:rFonts w:hint="eastAsia" w:eastAsia="仿宋_GB2312"/>
          <w:sz w:val="32"/>
          <w:szCs w:val="32"/>
        </w:rPr>
        <w:t>；</w:t>
      </w:r>
      <w:r>
        <w:rPr>
          <w:rFonts w:eastAsia="仿宋_GB2312"/>
          <w:sz w:val="32"/>
          <w:szCs w:val="32"/>
        </w:rPr>
        <w:t>开展湿地保护与修复体系建设、建立红树林观测生态站1处、新建保护管理站3处、建设科圃宣教工程1处；</w:t>
      </w:r>
    </w:p>
    <w:p w14:paraId="243BFCD5">
      <w:pPr>
        <w:ind w:firstLine="624"/>
        <w:rPr>
          <w:rFonts w:hint="eastAsia" w:eastAsia="仿宋_GB2312"/>
          <w:sz w:val="32"/>
          <w:szCs w:val="32"/>
        </w:rPr>
      </w:pPr>
      <w:r>
        <w:rPr>
          <w:rFonts w:hint="eastAsia" w:eastAsia="仿宋_GB2312"/>
          <w:sz w:val="32"/>
          <w:szCs w:val="32"/>
        </w:rPr>
        <w:t>②</w:t>
      </w:r>
      <w:r>
        <w:rPr>
          <w:rFonts w:eastAsia="仿宋_GB2312"/>
          <w:sz w:val="32"/>
          <w:szCs w:val="32"/>
        </w:rPr>
        <w:t>极小种群植物拯救建设工程；</w:t>
      </w:r>
    </w:p>
    <w:p w14:paraId="2C5F41DC">
      <w:pPr>
        <w:ind w:firstLine="624"/>
        <w:rPr>
          <w:rFonts w:hint="eastAsia" w:eastAsia="仿宋_GB2312"/>
          <w:sz w:val="32"/>
          <w:szCs w:val="32"/>
        </w:rPr>
      </w:pPr>
      <w:r>
        <w:rPr>
          <w:rFonts w:hint="eastAsia" w:eastAsia="仿宋_GB2312"/>
          <w:sz w:val="32"/>
          <w:szCs w:val="32"/>
        </w:rPr>
        <w:t>③</w:t>
      </w:r>
      <w:r>
        <w:rPr>
          <w:rFonts w:eastAsia="仿宋_GB2312"/>
          <w:sz w:val="32"/>
          <w:szCs w:val="32"/>
        </w:rPr>
        <w:t>古树名木保护与复壮建设工程；</w:t>
      </w:r>
    </w:p>
    <w:p w14:paraId="5D6E5D87">
      <w:pPr>
        <w:ind w:firstLine="624"/>
        <w:rPr>
          <w:rFonts w:hint="eastAsia" w:eastAsia="仿宋_GB2312"/>
          <w:sz w:val="32"/>
          <w:szCs w:val="32"/>
        </w:rPr>
      </w:pPr>
      <w:r>
        <w:rPr>
          <w:rFonts w:hint="eastAsia" w:eastAsia="仿宋_GB2312"/>
          <w:sz w:val="32"/>
          <w:szCs w:val="32"/>
        </w:rPr>
        <w:t>④建设</w:t>
      </w:r>
      <w:r>
        <w:rPr>
          <w:rFonts w:eastAsia="仿宋_GB2312"/>
          <w:sz w:val="32"/>
          <w:szCs w:val="32"/>
        </w:rPr>
        <w:t>有害生物防治工程；</w:t>
      </w:r>
    </w:p>
    <w:p w14:paraId="6E06DE41">
      <w:pPr>
        <w:ind w:firstLine="624"/>
        <w:rPr>
          <w:rFonts w:hint="eastAsia" w:eastAsia="仿宋_GB2312"/>
          <w:sz w:val="32"/>
          <w:szCs w:val="32"/>
        </w:rPr>
      </w:pPr>
      <w:r>
        <w:rPr>
          <w:rFonts w:hint="eastAsia" w:eastAsia="仿宋_GB2312"/>
          <w:sz w:val="32"/>
          <w:szCs w:val="32"/>
        </w:rPr>
        <w:t>⑤</w:t>
      </w:r>
      <w:r>
        <w:rPr>
          <w:rFonts w:eastAsia="仿宋_GB2312"/>
          <w:sz w:val="32"/>
          <w:szCs w:val="32"/>
        </w:rPr>
        <w:t>建设智慧林业；</w:t>
      </w:r>
    </w:p>
    <w:p w14:paraId="18895821">
      <w:pPr>
        <w:ind w:firstLine="624"/>
        <w:rPr>
          <w:rFonts w:eastAsia="仿宋_GB2312"/>
          <w:sz w:val="32"/>
          <w:szCs w:val="32"/>
        </w:rPr>
      </w:pPr>
      <w:r>
        <w:rPr>
          <w:rFonts w:hint="eastAsia" w:eastAsia="仿宋_GB2312"/>
          <w:sz w:val="32"/>
          <w:szCs w:val="32"/>
        </w:rPr>
        <w:t>⑥</w:t>
      </w:r>
      <w:r>
        <w:rPr>
          <w:rFonts w:eastAsia="仿宋_GB2312"/>
          <w:sz w:val="32"/>
          <w:szCs w:val="32"/>
        </w:rPr>
        <w:t>野生动植物保护和碳汇林业工程建设。</w:t>
      </w:r>
    </w:p>
    <w:p w14:paraId="6806AED8">
      <w:pPr>
        <w:ind w:firstLine="624"/>
        <w:rPr>
          <w:rFonts w:eastAsia="仿宋_GB2312"/>
          <w:b/>
          <w:sz w:val="32"/>
          <w:szCs w:val="32"/>
        </w:rPr>
      </w:pPr>
      <w:r>
        <w:rPr>
          <w:rFonts w:eastAsia="仿宋_GB2312"/>
          <w:b/>
          <w:sz w:val="32"/>
          <w:szCs w:val="32"/>
        </w:rPr>
        <w:t>中长期（2026~2035年）目标：</w:t>
      </w:r>
    </w:p>
    <w:p w14:paraId="636E91E6">
      <w:pPr>
        <w:ind w:firstLine="624"/>
        <w:rPr>
          <w:rFonts w:hint="eastAsia" w:eastAsia="仿宋_GB2312"/>
          <w:sz w:val="32"/>
          <w:szCs w:val="32"/>
        </w:rPr>
      </w:pPr>
      <w:r>
        <w:rPr>
          <w:rFonts w:hint="eastAsia" w:eastAsia="仿宋_GB2312"/>
          <w:sz w:val="32"/>
          <w:szCs w:val="32"/>
        </w:rPr>
        <w:t>①继续建设</w:t>
      </w:r>
      <w:r>
        <w:rPr>
          <w:rFonts w:eastAsia="仿宋_GB2312"/>
          <w:sz w:val="32"/>
          <w:szCs w:val="32"/>
        </w:rPr>
        <w:t>古树名木保护与复壮工程；</w:t>
      </w:r>
    </w:p>
    <w:p w14:paraId="23E000F1">
      <w:pPr>
        <w:ind w:firstLine="624"/>
        <w:rPr>
          <w:rFonts w:hint="eastAsia" w:eastAsia="仿宋_GB2312"/>
          <w:sz w:val="32"/>
          <w:szCs w:val="32"/>
        </w:rPr>
      </w:pPr>
      <w:r>
        <w:rPr>
          <w:rFonts w:hint="eastAsia" w:eastAsia="仿宋_GB2312"/>
          <w:sz w:val="32"/>
          <w:szCs w:val="32"/>
        </w:rPr>
        <w:t>②继续</w:t>
      </w:r>
      <w:r>
        <w:rPr>
          <w:rFonts w:eastAsia="仿宋_GB2312"/>
          <w:sz w:val="32"/>
          <w:szCs w:val="32"/>
        </w:rPr>
        <w:t>建设有害生物防治工程；</w:t>
      </w:r>
    </w:p>
    <w:p w14:paraId="6390F5F7">
      <w:pPr>
        <w:ind w:firstLine="624"/>
        <w:rPr>
          <w:rFonts w:hint="eastAsia" w:eastAsia="仿宋_GB2312"/>
          <w:sz w:val="32"/>
          <w:szCs w:val="32"/>
        </w:rPr>
      </w:pPr>
      <w:r>
        <w:rPr>
          <w:rFonts w:hint="eastAsia" w:eastAsia="仿宋_GB2312"/>
          <w:sz w:val="32"/>
          <w:szCs w:val="32"/>
        </w:rPr>
        <w:t>③继续</w:t>
      </w:r>
      <w:r>
        <w:rPr>
          <w:rFonts w:eastAsia="仿宋_GB2312"/>
          <w:sz w:val="32"/>
          <w:szCs w:val="32"/>
        </w:rPr>
        <w:t>建设智慧林业；</w:t>
      </w:r>
    </w:p>
    <w:p w14:paraId="4B38EB75">
      <w:pPr>
        <w:ind w:firstLine="624"/>
        <w:rPr>
          <w:rFonts w:hint="eastAsia" w:eastAsia="仿宋_GB2312"/>
          <w:sz w:val="32"/>
          <w:szCs w:val="32"/>
        </w:rPr>
      </w:pPr>
      <w:r>
        <w:rPr>
          <w:rFonts w:hint="eastAsia" w:eastAsia="仿宋_GB2312"/>
          <w:sz w:val="32"/>
          <w:szCs w:val="32"/>
        </w:rPr>
        <w:t>④继续</w:t>
      </w:r>
      <w:r>
        <w:rPr>
          <w:rFonts w:eastAsia="仿宋_GB2312"/>
          <w:sz w:val="32"/>
          <w:szCs w:val="32"/>
        </w:rPr>
        <w:t>建设野生动植物保护工程</w:t>
      </w:r>
      <w:r>
        <w:rPr>
          <w:rFonts w:hint="eastAsia" w:eastAsia="仿宋_GB2312"/>
          <w:sz w:val="32"/>
          <w:szCs w:val="32"/>
        </w:rPr>
        <w:t>；</w:t>
      </w:r>
    </w:p>
    <w:p w14:paraId="61ADC277">
      <w:pPr>
        <w:ind w:firstLine="624"/>
        <w:rPr>
          <w:rFonts w:eastAsia="仿宋_GB2312"/>
          <w:sz w:val="32"/>
          <w:szCs w:val="32"/>
        </w:rPr>
      </w:pPr>
      <w:r>
        <w:rPr>
          <w:rFonts w:hint="eastAsia" w:eastAsia="仿宋_GB2312"/>
          <w:sz w:val="32"/>
          <w:szCs w:val="32"/>
        </w:rPr>
        <w:t>⑤继续建设</w:t>
      </w:r>
      <w:r>
        <w:rPr>
          <w:rFonts w:eastAsia="仿宋_GB2312"/>
          <w:sz w:val="32"/>
          <w:szCs w:val="32"/>
        </w:rPr>
        <w:t>碳汇林业工程。</w:t>
      </w:r>
    </w:p>
    <w:p w14:paraId="620A3CB3">
      <w:pPr>
        <w:pStyle w:val="3"/>
        <w:spacing w:before="0" w:after="0" w:line="240" w:lineRule="auto"/>
        <w:rPr>
          <w:rFonts w:hint="eastAsia" w:ascii="Times New Roman" w:hAnsi="Times New Roman" w:eastAsia="黑体"/>
        </w:rPr>
      </w:pPr>
      <w:bookmarkStart w:id="138" w:name="_Toc20229"/>
      <w:bookmarkStart w:id="139" w:name="_Toc82546109"/>
      <w:r>
        <w:rPr>
          <w:rFonts w:hint="eastAsia" w:ascii="Times New Roman" w:hAnsi="Times New Roman" w:eastAsia="黑体"/>
        </w:rPr>
        <w:t>11</w:t>
      </w:r>
      <w:r>
        <w:rPr>
          <w:rFonts w:ascii="Times New Roman" w:hAnsi="Times New Roman" w:eastAsia="黑体"/>
        </w:rPr>
        <w:t>.4 重点建设工程</w:t>
      </w:r>
      <w:bookmarkEnd w:id="138"/>
      <w:r>
        <w:rPr>
          <w:rFonts w:ascii="Times New Roman" w:hAnsi="Times New Roman" w:eastAsia="黑体"/>
        </w:rPr>
        <w:t>或储备规划项目</w:t>
      </w:r>
      <w:bookmarkEnd w:id="139"/>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5"/>
      </w:tblGrid>
      <w:tr w14:paraId="2A9F7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3DC78754">
            <w:pPr>
              <w:jc w:val="center"/>
              <w:rPr>
                <w:rFonts w:eastAsia="仿宋_GB2312"/>
                <w:b/>
                <w:sz w:val="32"/>
                <w:szCs w:val="32"/>
              </w:rPr>
            </w:pPr>
            <w:r>
              <w:rPr>
                <w:rFonts w:hint="eastAsia" w:eastAsia="仿宋_GB2312"/>
                <w:b/>
                <w:sz w:val="32"/>
                <w:szCs w:val="32"/>
              </w:rPr>
              <w:t>生态保护与修复产业重点工程或储备规划项目</w:t>
            </w:r>
          </w:p>
        </w:tc>
      </w:tr>
      <w:tr w14:paraId="38A2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42662E14">
            <w:pPr>
              <w:rPr>
                <w:rFonts w:hint="eastAsia" w:eastAsia="仿宋_GB2312"/>
                <w:b/>
                <w:sz w:val="32"/>
                <w:szCs w:val="32"/>
              </w:rPr>
            </w:pPr>
            <w:r>
              <w:rPr>
                <w:rFonts w:hint="eastAsia" w:eastAsia="仿宋_GB2312"/>
                <w:b/>
                <w:sz w:val="32"/>
                <w:szCs w:val="32"/>
              </w:rPr>
              <w:t>一、</w:t>
            </w:r>
            <w:r>
              <w:rPr>
                <w:rFonts w:eastAsia="仿宋_GB2312"/>
                <w:b/>
                <w:sz w:val="32"/>
                <w:szCs w:val="32"/>
              </w:rPr>
              <w:t>湿地保护与修复建设工程</w:t>
            </w:r>
          </w:p>
          <w:p w14:paraId="65027F11">
            <w:pPr>
              <w:rPr>
                <w:rFonts w:eastAsia="仿宋_GB2312"/>
                <w:b/>
                <w:sz w:val="32"/>
                <w:szCs w:val="32"/>
              </w:rPr>
            </w:pPr>
            <w:r>
              <w:rPr>
                <w:rFonts w:hint="eastAsia" w:eastAsia="仿宋_GB2312"/>
                <w:b/>
                <w:sz w:val="32"/>
                <w:szCs w:val="32"/>
              </w:rPr>
              <w:t>（一）</w:t>
            </w:r>
            <w:r>
              <w:rPr>
                <w:rFonts w:eastAsia="仿宋_GB2312"/>
                <w:b/>
                <w:sz w:val="32"/>
                <w:szCs w:val="32"/>
              </w:rPr>
              <w:t>湿地资源调查更新</w:t>
            </w:r>
          </w:p>
          <w:p w14:paraId="2BD1AC28">
            <w:pPr>
              <w:ind w:firstLine="640" w:firstLineChars="200"/>
              <w:rPr>
                <w:rFonts w:hint="eastAsia" w:eastAsia="仿宋_GB2312"/>
                <w:sz w:val="32"/>
                <w:szCs w:val="32"/>
              </w:rPr>
            </w:pPr>
            <w:r>
              <w:rPr>
                <w:rFonts w:eastAsia="仿宋_GB2312"/>
                <w:sz w:val="32"/>
                <w:szCs w:val="32"/>
              </w:rPr>
              <w:t>按照《第三次全国国土调查工作分类》，第三次全国国土调查在原有12个一级地类的基础上，增加了“湿地”，编码为“00”，即国土三调明确将湿地作为一级地类，重新进行区划，湿地斑块类型和边界发生了改变，甚至部分湿地斑块的土地利用类型已经发生质的变化。在第三次全国国土调查湿地图斑的基础上开展三亚市湿地资源调查更新及编目工作，发布、出版三亚市湿地资源（年度）名录、资源调查报告及其他相关调查成果和著作。至</w:t>
            </w:r>
            <w:r>
              <w:rPr>
                <w:rFonts w:hint="eastAsia" w:eastAsia="仿宋_GB2312"/>
                <w:sz w:val="32"/>
                <w:szCs w:val="32"/>
              </w:rPr>
              <w:t>2025年，计划</w:t>
            </w:r>
            <w:r>
              <w:rPr>
                <w:rFonts w:eastAsia="仿宋_GB2312"/>
                <w:sz w:val="32"/>
                <w:szCs w:val="32"/>
              </w:rPr>
              <w:t>投资500万元。</w:t>
            </w:r>
          </w:p>
          <w:p w14:paraId="25C65379">
            <w:pPr>
              <w:rPr>
                <w:rFonts w:hint="eastAsia" w:eastAsia="仿宋_GB2312"/>
                <w:b/>
                <w:sz w:val="32"/>
                <w:szCs w:val="32"/>
              </w:rPr>
            </w:pPr>
            <w:r>
              <w:rPr>
                <w:rFonts w:hint="eastAsia" w:eastAsia="仿宋_GB2312"/>
                <w:b/>
                <w:sz w:val="32"/>
                <w:szCs w:val="32"/>
              </w:rPr>
              <w:t>（二）</w:t>
            </w:r>
            <w:r>
              <w:rPr>
                <w:rFonts w:eastAsia="仿宋_GB2312"/>
                <w:b/>
                <w:sz w:val="32"/>
                <w:szCs w:val="32"/>
              </w:rPr>
              <w:t>湿地保护与修复体系</w:t>
            </w:r>
          </w:p>
          <w:p w14:paraId="447D13BC">
            <w:pPr>
              <w:ind w:firstLine="640" w:firstLineChars="200"/>
              <w:rPr>
                <w:rFonts w:hint="eastAsia" w:eastAsia="仿宋_GB2312"/>
                <w:sz w:val="32"/>
                <w:szCs w:val="32"/>
              </w:rPr>
            </w:pPr>
            <w:r>
              <w:rPr>
                <w:rFonts w:eastAsia="仿宋_GB2312"/>
                <w:sz w:val="32"/>
                <w:szCs w:val="32"/>
              </w:rPr>
              <w:t>积极构建以湿地自然保护区、湿地公园、湿地保护小区等为基本格局的湿地保护体系，逐步形成形式多样、结构完整、功能完备、重点突出的湿地生态系统，到2025年，湿地总面积不低于8930.1 hm</w:t>
            </w:r>
            <w:r>
              <w:rPr>
                <w:rFonts w:eastAsia="仿宋_GB2312"/>
                <w:sz w:val="32"/>
                <w:szCs w:val="32"/>
                <w:vertAlign w:val="superscript"/>
              </w:rPr>
              <w:t>2</w:t>
            </w:r>
            <w:r>
              <w:rPr>
                <w:rFonts w:eastAsia="仿宋_GB2312"/>
                <w:sz w:val="32"/>
                <w:szCs w:val="32"/>
              </w:rPr>
              <w:t>，湿地保护率达到37%，投资3000万元；至2035年，健全湿地保护管理组织机构，制定湿地保护条例，完善湿地制度建设，探索湿地生态效益补偿机制与试点，加大对湿地保护与恢复工作的扶持力度</w:t>
            </w:r>
            <w:r>
              <w:rPr>
                <w:rFonts w:hint="eastAsia" w:eastAsia="仿宋_GB2312"/>
                <w:sz w:val="32"/>
                <w:szCs w:val="32"/>
              </w:rPr>
              <w:t>，计划</w:t>
            </w:r>
            <w:r>
              <w:rPr>
                <w:rFonts w:eastAsia="仿宋_GB2312"/>
                <w:sz w:val="32"/>
                <w:szCs w:val="32"/>
              </w:rPr>
              <w:t>投资3000万元</w:t>
            </w:r>
            <w:r>
              <w:rPr>
                <w:rFonts w:hint="eastAsia" w:eastAsia="仿宋_GB2312"/>
                <w:sz w:val="32"/>
                <w:szCs w:val="32"/>
              </w:rPr>
              <w:t>，</w:t>
            </w:r>
            <w:r>
              <w:rPr>
                <w:rFonts w:eastAsia="仿宋_GB2312"/>
                <w:sz w:val="32"/>
                <w:szCs w:val="32"/>
              </w:rPr>
              <w:t>总投资</w:t>
            </w:r>
            <w:r>
              <w:rPr>
                <w:rFonts w:hint="eastAsia" w:eastAsia="仿宋_GB2312"/>
                <w:sz w:val="32"/>
                <w:szCs w:val="32"/>
              </w:rPr>
              <w:t>6000万元。</w:t>
            </w:r>
          </w:p>
          <w:p w14:paraId="0D6AF7C7">
            <w:pPr>
              <w:rPr>
                <w:rFonts w:hint="eastAsia" w:eastAsia="仿宋_GB2312"/>
                <w:b/>
                <w:sz w:val="32"/>
                <w:szCs w:val="32"/>
              </w:rPr>
            </w:pPr>
            <w:r>
              <w:rPr>
                <w:rFonts w:hint="eastAsia" w:eastAsia="仿宋_GB2312"/>
                <w:b/>
                <w:sz w:val="32"/>
                <w:szCs w:val="32"/>
              </w:rPr>
              <w:t>（三）</w:t>
            </w:r>
            <w:r>
              <w:rPr>
                <w:rFonts w:eastAsia="仿宋_GB2312"/>
                <w:b/>
                <w:sz w:val="32"/>
                <w:szCs w:val="32"/>
              </w:rPr>
              <w:t>红树林保护与修复</w:t>
            </w:r>
          </w:p>
          <w:p w14:paraId="5BB05705">
            <w:pPr>
              <w:ind w:firstLine="624"/>
              <w:rPr>
                <w:rFonts w:hint="eastAsia" w:eastAsia="仿宋_GB2312"/>
                <w:sz w:val="32"/>
                <w:szCs w:val="32"/>
              </w:rPr>
            </w:pPr>
            <w:r>
              <w:rPr>
                <w:rFonts w:hint="eastAsia" w:eastAsia="仿宋_GB2312"/>
                <w:b/>
                <w:sz w:val="32"/>
                <w:szCs w:val="32"/>
              </w:rPr>
              <w:t>1、</w:t>
            </w:r>
            <w:r>
              <w:rPr>
                <w:rFonts w:eastAsia="仿宋_GB2312"/>
                <w:b/>
                <w:sz w:val="32"/>
                <w:szCs w:val="32"/>
              </w:rPr>
              <w:t>重要红树林湿地生态系统保护和修复</w:t>
            </w:r>
            <w:r>
              <w:rPr>
                <w:rFonts w:eastAsia="仿宋_GB2312"/>
                <w:sz w:val="32"/>
                <w:szCs w:val="32"/>
              </w:rPr>
              <w:t>。</w:t>
            </w:r>
            <w:r>
              <w:rPr>
                <w:rFonts w:hint="eastAsia" w:eastAsia="仿宋_GB2312"/>
                <w:sz w:val="32"/>
                <w:szCs w:val="32"/>
              </w:rPr>
              <w:t>推进红树林的科学保护与修复，落实《红树林保护修复专项行动计划(2020～2025 年)》，提高三亚市红树林保护管理能力，落</w:t>
            </w:r>
          </w:p>
          <w:p w14:paraId="170750D5">
            <w:pPr>
              <w:rPr>
                <w:rFonts w:eastAsia="仿宋_GB2312"/>
                <w:sz w:val="32"/>
                <w:szCs w:val="32"/>
              </w:rPr>
            </w:pPr>
            <w:r>
              <w:rPr>
                <w:rFonts w:hint="eastAsia" w:eastAsia="仿宋_GB2312"/>
                <w:sz w:val="32"/>
                <w:szCs w:val="32"/>
              </w:rPr>
              <w:t>实红树林保护修复责任。</w:t>
            </w:r>
            <w:r>
              <w:rPr>
                <w:rFonts w:eastAsia="仿宋_GB2312"/>
                <w:sz w:val="32"/>
                <w:szCs w:val="32"/>
              </w:rPr>
              <w:t>保护工程为新建保护管理站3处（铁炉港管理站、青梅港管理站和三亚河管理站）及相关附属设施。修复工程包括修复全市红树林面积206.7 hm</w:t>
            </w:r>
            <w:r>
              <w:rPr>
                <w:rFonts w:eastAsia="仿宋_GB2312"/>
                <w:sz w:val="32"/>
                <w:szCs w:val="32"/>
                <w:vertAlign w:val="superscript"/>
              </w:rPr>
              <w:t>2</w:t>
            </w:r>
            <w:r>
              <w:rPr>
                <w:rFonts w:eastAsia="仿宋_GB2312"/>
                <w:sz w:val="32"/>
                <w:szCs w:val="32"/>
              </w:rPr>
              <w:t>（滩涂地造林11.2 hm</w:t>
            </w:r>
            <w:r>
              <w:rPr>
                <w:rFonts w:eastAsia="仿宋_GB2312"/>
                <w:sz w:val="32"/>
                <w:szCs w:val="32"/>
                <w:vertAlign w:val="superscript"/>
              </w:rPr>
              <w:t>2</w:t>
            </w:r>
            <w:r>
              <w:rPr>
                <w:rFonts w:eastAsia="仿宋_GB2312"/>
                <w:sz w:val="32"/>
                <w:szCs w:val="32"/>
              </w:rPr>
              <w:t>，退塘还林195.5 hm</w:t>
            </w:r>
            <w:r>
              <w:rPr>
                <w:rFonts w:eastAsia="仿宋_GB2312"/>
                <w:sz w:val="32"/>
                <w:szCs w:val="32"/>
                <w:vertAlign w:val="superscript"/>
              </w:rPr>
              <w:t>2</w:t>
            </w:r>
            <w:r>
              <w:rPr>
                <w:rFonts w:eastAsia="仿宋_GB2312"/>
                <w:sz w:val="32"/>
                <w:szCs w:val="32"/>
              </w:rPr>
              <w:t>）和修复现有红树林246.5 hm</w:t>
            </w:r>
            <w:r>
              <w:rPr>
                <w:rFonts w:eastAsia="仿宋_GB2312"/>
                <w:sz w:val="32"/>
                <w:szCs w:val="32"/>
                <w:vertAlign w:val="superscript"/>
              </w:rPr>
              <w:t>2</w:t>
            </w:r>
            <w:r>
              <w:rPr>
                <w:rFonts w:eastAsia="仿宋_GB2312"/>
                <w:sz w:val="32"/>
                <w:szCs w:val="32"/>
              </w:rPr>
              <w:t>，同时开展有害生物防治工作。至</w:t>
            </w:r>
            <w:r>
              <w:rPr>
                <w:rFonts w:hint="eastAsia" w:eastAsia="仿宋_GB2312"/>
                <w:sz w:val="32"/>
                <w:szCs w:val="32"/>
              </w:rPr>
              <w:t>2025年，计划</w:t>
            </w:r>
            <w:r>
              <w:rPr>
                <w:rFonts w:eastAsia="仿宋_GB2312"/>
                <w:sz w:val="32"/>
                <w:szCs w:val="32"/>
              </w:rPr>
              <w:t>投资</w:t>
            </w:r>
            <w:r>
              <w:rPr>
                <w:rFonts w:hint="eastAsia" w:eastAsia="仿宋_GB2312"/>
                <w:sz w:val="32"/>
                <w:szCs w:val="32"/>
              </w:rPr>
              <w:t>10000万元；至2035年，计划投资5000万元，总投资</w:t>
            </w:r>
            <w:r>
              <w:rPr>
                <w:rFonts w:eastAsia="仿宋_GB2312"/>
                <w:sz w:val="32"/>
                <w:szCs w:val="32"/>
              </w:rPr>
              <w:t>15000万</w:t>
            </w:r>
            <w:r>
              <w:rPr>
                <w:rFonts w:hint="eastAsia" w:eastAsia="仿宋_GB2312"/>
                <w:sz w:val="32"/>
                <w:szCs w:val="32"/>
              </w:rPr>
              <w:t>元</w:t>
            </w:r>
            <w:r>
              <w:rPr>
                <w:rFonts w:eastAsia="仿宋_GB2312"/>
                <w:sz w:val="32"/>
                <w:szCs w:val="32"/>
              </w:rPr>
              <w:t>。</w:t>
            </w:r>
          </w:p>
          <w:p w14:paraId="0EB4B214">
            <w:pPr>
              <w:ind w:firstLine="624"/>
              <w:rPr>
                <w:rFonts w:hint="eastAsia" w:eastAsia="仿宋_GB2312"/>
                <w:b/>
                <w:sz w:val="32"/>
                <w:szCs w:val="32"/>
              </w:rPr>
            </w:pPr>
            <w:r>
              <w:rPr>
                <w:rFonts w:hint="eastAsia" w:eastAsia="仿宋_GB2312"/>
                <w:b/>
                <w:sz w:val="32"/>
                <w:szCs w:val="32"/>
              </w:rPr>
              <w:t>2、红树林种苗繁育基地建设。</w:t>
            </w:r>
            <w:r>
              <w:rPr>
                <w:rFonts w:hint="eastAsia" w:eastAsia="仿宋_GB2312"/>
                <w:sz w:val="32"/>
                <w:szCs w:val="32"/>
              </w:rPr>
              <w:t>到2025年，铁炉港红树林种苗繁育基地提质5hm</w:t>
            </w:r>
            <w:r>
              <w:rPr>
                <w:rFonts w:hint="eastAsia" w:eastAsia="仿宋_GB2312"/>
                <w:sz w:val="32"/>
                <w:szCs w:val="32"/>
                <w:vertAlign w:val="superscript"/>
              </w:rPr>
              <w:t>2</w:t>
            </w:r>
            <w:r>
              <w:rPr>
                <w:rFonts w:hint="eastAsia" w:eastAsia="仿宋_GB2312"/>
                <w:sz w:val="32"/>
                <w:szCs w:val="32"/>
              </w:rPr>
              <w:t>，完善基础设施配套建设，计划投资200万元。到2035年，新建红树林种苗繁育基地2处，其中亚龙湾青梅港红树林保护区和崖州区宁远河各1处，面积共13.4 hm</w:t>
            </w:r>
            <w:r>
              <w:rPr>
                <w:rFonts w:hint="eastAsia" w:eastAsia="仿宋_GB2312"/>
                <w:sz w:val="32"/>
                <w:szCs w:val="32"/>
                <w:vertAlign w:val="superscript"/>
              </w:rPr>
              <w:t>2</w:t>
            </w:r>
            <w:r>
              <w:rPr>
                <w:rFonts w:hint="eastAsia" w:eastAsia="仿宋_GB2312"/>
                <w:sz w:val="32"/>
                <w:szCs w:val="32"/>
              </w:rPr>
              <w:t>，计划投资1000万元。总投资1200万元。</w:t>
            </w:r>
          </w:p>
          <w:p w14:paraId="452073AB">
            <w:pPr>
              <w:ind w:firstLine="624"/>
              <w:rPr>
                <w:rFonts w:eastAsia="仿宋_GB2312"/>
                <w:sz w:val="32"/>
                <w:szCs w:val="32"/>
              </w:rPr>
            </w:pPr>
            <w:r>
              <w:rPr>
                <w:rFonts w:hint="eastAsia" w:eastAsia="仿宋_GB2312"/>
                <w:b/>
                <w:sz w:val="32"/>
                <w:szCs w:val="32"/>
              </w:rPr>
              <w:t>3、</w:t>
            </w:r>
            <w:r>
              <w:rPr>
                <w:rFonts w:eastAsia="仿宋_GB2312"/>
                <w:b/>
                <w:sz w:val="32"/>
                <w:szCs w:val="32"/>
              </w:rPr>
              <w:t>建立红树林观测生态站</w:t>
            </w:r>
            <w:r>
              <w:rPr>
                <w:rFonts w:eastAsia="仿宋_GB2312"/>
                <w:sz w:val="32"/>
                <w:szCs w:val="32"/>
              </w:rPr>
              <w:t>。开展生态保护修复基础研究、技术攻关、装备研制、标准规范建设，推进服务于生态保护和修复的国家重点实验室、生态定位观测研究站、国家级科研示范基地等科研平台建设。</w:t>
            </w:r>
            <w:r>
              <w:rPr>
                <w:rFonts w:hint="eastAsia" w:eastAsia="仿宋_GB2312"/>
                <w:sz w:val="32"/>
                <w:szCs w:val="32"/>
              </w:rPr>
              <w:t>建设地点铁炉港红树林自然保护区，至2025年，计划</w:t>
            </w:r>
            <w:r>
              <w:rPr>
                <w:rFonts w:eastAsia="仿宋_GB2312"/>
                <w:sz w:val="32"/>
                <w:szCs w:val="32"/>
              </w:rPr>
              <w:t>投资</w:t>
            </w:r>
            <w:r>
              <w:rPr>
                <w:rFonts w:hint="eastAsia" w:eastAsia="仿宋_GB2312"/>
                <w:sz w:val="32"/>
                <w:szCs w:val="32"/>
              </w:rPr>
              <w:t>5</w:t>
            </w:r>
            <w:r>
              <w:rPr>
                <w:rFonts w:eastAsia="仿宋_GB2312"/>
                <w:sz w:val="32"/>
                <w:szCs w:val="32"/>
              </w:rPr>
              <w:t>000万元。</w:t>
            </w:r>
          </w:p>
          <w:p w14:paraId="09024F20">
            <w:pPr>
              <w:ind w:firstLine="624"/>
              <w:rPr>
                <w:rFonts w:hint="eastAsia" w:eastAsia="仿宋_GB2312"/>
                <w:sz w:val="32"/>
                <w:szCs w:val="32"/>
              </w:rPr>
            </w:pPr>
            <w:r>
              <w:rPr>
                <w:rFonts w:hint="eastAsia" w:eastAsia="仿宋_GB2312"/>
                <w:b/>
                <w:sz w:val="32"/>
                <w:szCs w:val="32"/>
              </w:rPr>
              <w:t>4、</w:t>
            </w:r>
            <w:r>
              <w:rPr>
                <w:rFonts w:eastAsia="仿宋_GB2312"/>
                <w:b/>
                <w:sz w:val="32"/>
                <w:szCs w:val="32"/>
              </w:rPr>
              <w:t>建设铁炉港红树林保护区科普宣教工程</w:t>
            </w:r>
            <w:r>
              <w:rPr>
                <w:rFonts w:eastAsia="仿宋_GB2312"/>
                <w:sz w:val="32"/>
                <w:szCs w:val="32"/>
              </w:rPr>
              <w:t>。依托铁炉港保护管理站的建设，在铁炉港建设自然教育基地，建筑面积600 m</w:t>
            </w:r>
            <w:r>
              <w:rPr>
                <w:rFonts w:eastAsia="仿宋_GB2312"/>
                <w:sz w:val="32"/>
                <w:szCs w:val="32"/>
                <w:vertAlign w:val="superscript"/>
              </w:rPr>
              <w:t>2</w:t>
            </w:r>
            <w:r>
              <w:rPr>
                <w:rFonts w:eastAsia="仿宋_GB2312"/>
                <w:sz w:val="32"/>
                <w:szCs w:val="32"/>
              </w:rPr>
              <w:t>，包括科研监测中心1处、配备宣展设备1套、配套给排水等。</w:t>
            </w:r>
            <w:r>
              <w:rPr>
                <w:rFonts w:hint="eastAsia" w:eastAsia="仿宋_GB2312"/>
                <w:sz w:val="32"/>
                <w:szCs w:val="32"/>
              </w:rPr>
              <w:t>至2025年，计划投资</w:t>
            </w:r>
            <w:r>
              <w:rPr>
                <w:rFonts w:eastAsia="仿宋_GB2312"/>
                <w:sz w:val="32"/>
                <w:szCs w:val="32"/>
              </w:rPr>
              <w:t>3000万</w:t>
            </w:r>
            <w:r>
              <w:rPr>
                <w:rFonts w:hint="eastAsia" w:eastAsia="仿宋_GB2312"/>
                <w:sz w:val="32"/>
                <w:szCs w:val="32"/>
              </w:rPr>
              <w:t>元</w:t>
            </w:r>
            <w:r>
              <w:rPr>
                <w:rFonts w:eastAsia="仿宋_GB2312"/>
                <w:sz w:val="32"/>
                <w:szCs w:val="32"/>
              </w:rPr>
              <w:t>。</w:t>
            </w:r>
          </w:p>
        </w:tc>
      </w:tr>
      <w:tr w14:paraId="71CD5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4215595C">
            <w:pPr>
              <w:rPr>
                <w:rFonts w:hint="eastAsia" w:eastAsia="仿宋_GB2312"/>
                <w:b/>
                <w:sz w:val="32"/>
                <w:szCs w:val="32"/>
              </w:rPr>
            </w:pPr>
            <w:r>
              <w:rPr>
                <w:rFonts w:hint="eastAsia" w:eastAsia="仿宋_GB2312"/>
                <w:b/>
                <w:sz w:val="32"/>
                <w:szCs w:val="32"/>
              </w:rPr>
              <w:t>二、极小种群植物拯救保护</w:t>
            </w:r>
          </w:p>
          <w:p w14:paraId="4811E6BA">
            <w:pPr>
              <w:rPr>
                <w:rFonts w:hint="eastAsia" w:eastAsia="仿宋_GB2312"/>
                <w:sz w:val="32"/>
                <w:szCs w:val="32"/>
              </w:rPr>
            </w:pPr>
            <w:r>
              <w:rPr>
                <w:rFonts w:hint="eastAsia" w:eastAsia="仿宋_GB2312"/>
                <w:b/>
                <w:sz w:val="32"/>
                <w:szCs w:val="32"/>
              </w:rPr>
              <w:t xml:space="preserve">    </w:t>
            </w:r>
            <w:r>
              <w:rPr>
                <w:rFonts w:eastAsia="仿宋_GB2312"/>
                <w:sz w:val="32"/>
                <w:szCs w:val="32"/>
              </w:rPr>
              <w:t>主要是开展</w:t>
            </w:r>
            <w:r>
              <w:rPr>
                <w:rFonts w:hint="eastAsia" w:eastAsia="仿宋_GB2312"/>
                <w:sz w:val="32"/>
                <w:szCs w:val="32"/>
              </w:rPr>
              <w:t>红榄李</w:t>
            </w:r>
            <w:r>
              <w:rPr>
                <w:rFonts w:eastAsia="仿宋_GB2312"/>
                <w:sz w:val="32"/>
                <w:szCs w:val="32"/>
              </w:rPr>
              <w:t>、海南假韶子、海南风吹楠等极小种群植物调查、原生地种群拯救和生境保护。同时开展种群扩繁和野外回归，建立监测点和保护网络，</w:t>
            </w:r>
            <w:r>
              <w:rPr>
                <w:rFonts w:hint="eastAsia" w:eastAsia="仿宋_GB2312"/>
                <w:sz w:val="32"/>
                <w:szCs w:val="32"/>
              </w:rPr>
              <w:t>至2025年，</w:t>
            </w:r>
            <w:r>
              <w:rPr>
                <w:rFonts w:eastAsia="仿宋_GB2312"/>
                <w:sz w:val="32"/>
                <w:szCs w:val="32"/>
              </w:rPr>
              <w:t>计划投资1000万元。</w:t>
            </w:r>
          </w:p>
        </w:tc>
      </w:tr>
      <w:tr w14:paraId="14C0F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6CDA2610">
            <w:pPr>
              <w:rPr>
                <w:rFonts w:hint="eastAsia" w:eastAsia="仿宋_GB2312"/>
                <w:b/>
                <w:sz w:val="32"/>
                <w:szCs w:val="32"/>
              </w:rPr>
            </w:pPr>
            <w:r>
              <w:rPr>
                <w:rFonts w:hint="eastAsia" w:eastAsia="仿宋_GB2312"/>
                <w:b/>
                <w:sz w:val="32"/>
                <w:szCs w:val="32"/>
              </w:rPr>
              <w:t>三、古树名木保护与复壮</w:t>
            </w:r>
          </w:p>
          <w:p w14:paraId="07F31D8A">
            <w:pPr>
              <w:rPr>
                <w:rFonts w:eastAsia="仿宋_GB2312"/>
                <w:sz w:val="32"/>
                <w:szCs w:val="32"/>
              </w:rPr>
            </w:pPr>
            <w:r>
              <w:rPr>
                <w:rFonts w:hint="eastAsia" w:eastAsia="仿宋_GB2312"/>
                <w:b/>
                <w:sz w:val="32"/>
                <w:szCs w:val="32"/>
              </w:rPr>
              <w:t xml:space="preserve">    </w:t>
            </w:r>
            <w:r>
              <w:rPr>
                <w:rFonts w:eastAsia="仿宋_GB2312"/>
                <w:sz w:val="32"/>
                <w:szCs w:val="32"/>
              </w:rPr>
              <w:t>三亚市古树名木共有</w:t>
            </w:r>
            <w:r>
              <w:rPr>
                <w:rFonts w:hint="eastAsia" w:eastAsia="仿宋_GB2312"/>
                <w:sz w:val="32"/>
                <w:szCs w:val="32"/>
              </w:rPr>
              <w:t>1184株，</w:t>
            </w:r>
            <w:r>
              <w:rPr>
                <w:rFonts w:eastAsia="仿宋_GB2312"/>
                <w:sz w:val="32"/>
                <w:szCs w:val="32"/>
              </w:rPr>
              <w:t>生长势为衰弱株的古树名木共有122株，占全市古树名木总数的10.3%，生长势为濒危株的古树名木共有14株，占全市古树名木总数的1.2%。为加强古树名木保护与复壮，分步骤对濒危、衰弱的古树进行复壮，并长期监测（巡护）全市古树名木的生长状况。至2025年对濒危和衰弱的古树进行抢救性的复壮，</w:t>
            </w:r>
            <w:r>
              <w:rPr>
                <w:rFonts w:hint="eastAsia" w:eastAsia="仿宋_GB2312"/>
                <w:sz w:val="32"/>
                <w:szCs w:val="32"/>
              </w:rPr>
              <w:t>计划</w:t>
            </w:r>
            <w:r>
              <w:rPr>
                <w:rFonts w:eastAsia="仿宋_GB2312"/>
                <w:sz w:val="32"/>
                <w:szCs w:val="32"/>
              </w:rPr>
              <w:t>投资2700万元；至2035年，</w:t>
            </w:r>
            <w:r>
              <w:rPr>
                <w:rFonts w:hint="eastAsia" w:eastAsia="仿宋_GB2312"/>
                <w:sz w:val="32"/>
                <w:szCs w:val="32"/>
              </w:rPr>
              <w:t>计划</w:t>
            </w:r>
            <w:r>
              <w:rPr>
                <w:rFonts w:eastAsia="仿宋_GB2312"/>
                <w:sz w:val="32"/>
                <w:szCs w:val="32"/>
              </w:rPr>
              <w:t>投资6000万元</w:t>
            </w:r>
            <w:r>
              <w:rPr>
                <w:rFonts w:hint="eastAsia" w:eastAsia="仿宋_GB2312"/>
                <w:sz w:val="32"/>
                <w:szCs w:val="32"/>
              </w:rPr>
              <w:t>，总投资8700万元。</w:t>
            </w:r>
          </w:p>
        </w:tc>
      </w:tr>
      <w:tr w14:paraId="191F4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49AA20B0">
            <w:pPr>
              <w:rPr>
                <w:rFonts w:hint="eastAsia" w:eastAsia="仿宋_GB2312"/>
                <w:b/>
                <w:sz w:val="32"/>
                <w:szCs w:val="32"/>
              </w:rPr>
            </w:pPr>
            <w:r>
              <w:rPr>
                <w:rFonts w:hint="eastAsia" w:eastAsia="仿宋_GB2312"/>
                <w:b/>
                <w:sz w:val="32"/>
                <w:szCs w:val="32"/>
              </w:rPr>
              <w:t>四、有害生物防治</w:t>
            </w:r>
          </w:p>
          <w:p w14:paraId="1EB4CCBE">
            <w:pPr>
              <w:rPr>
                <w:rFonts w:hint="eastAsia" w:eastAsia="仿宋_GB2312"/>
                <w:sz w:val="32"/>
                <w:szCs w:val="32"/>
              </w:rPr>
            </w:pPr>
            <w:r>
              <w:rPr>
                <w:rFonts w:hint="eastAsia" w:eastAsia="仿宋_GB2312"/>
                <w:b/>
                <w:sz w:val="32"/>
                <w:szCs w:val="32"/>
              </w:rPr>
              <w:t xml:space="preserve">    </w:t>
            </w:r>
            <w:r>
              <w:rPr>
                <w:rFonts w:eastAsia="仿宋_GB2312"/>
                <w:sz w:val="32"/>
                <w:szCs w:val="32"/>
              </w:rPr>
              <w:t>2020年三亚市林业有害生物实际监测面积</w:t>
            </w:r>
            <w:r>
              <w:rPr>
                <w:rFonts w:hint="eastAsia" w:eastAsia="仿宋_GB2312"/>
                <w:sz w:val="32"/>
                <w:szCs w:val="32"/>
              </w:rPr>
              <w:t>4</w:t>
            </w:r>
            <w:r>
              <w:rPr>
                <w:rFonts w:eastAsia="仿宋_GB2312"/>
                <w:sz w:val="32"/>
                <w:szCs w:val="32"/>
              </w:rPr>
              <w:t>万</w:t>
            </w:r>
            <w:r>
              <w:rPr>
                <w:rFonts w:hint="eastAsia" w:eastAsia="仿宋_GB2312"/>
                <w:sz w:val="32"/>
                <w:szCs w:val="32"/>
              </w:rPr>
              <w:t>hm</w:t>
            </w:r>
            <w:r>
              <w:rPr>
                <w:rFonts w:hint="eastAsia" w:eastAsia="仿宋_GB2312"/>
                <w:sz w:val="32"/>
                <w:szCs w:val="32"/>
                <w:vertAlign w:val="superscript"/>
              </w:rPr>
              <w:t>2</w:t>
            </w:r>
            <w:r>
              <w:rPr>
                <w:rFonts w:eastAsia="仿宋_GB2312"/>
                <w:sz w:val="32"/>
                <w:szCs w:val="32"/>
              </w:rPr>
              <w:t>次，监测覆盖率达99%。</w:t>
            </w:r>
            <w:r>
              <w:rPr>
                <w:rFonts w:hint="eastAsia" w:eastAsia="仿宋_GB2312"/>
                <w:sz w:val="32"/>
                <w:szCs w:val="32"/>
              </w:rPr>
              <w:t>三亚市</w:t>
            </w:r>
            <w:r>
              <w:rPr>
                <w:rFonts w:eastAsia="仿宋_GB2312"/>
                <w:sz w:val="32"/>
                <w:szCs w:val="32"/>
              </w:rPr>
              <w:t>主要病虫害为椰心叶甲、椰子织蛾、槟榔黄化病、金钟藤、薇甘菊、螺旋粉虱、凤凰树夜蛾等。积极开展相关有害生物防治工作，到2025年，林业有害生物成灾率控制在</w:t>
            </w:r>
            <w:r>
              <w:rPr>
                <w:rFonts w:hint="eastAsia" w:eastAsia="仿宋_GB2312"/>
                <w:sz w:val="32"/>
                <w:szCs w:val="32"/>
              </w:rPr>
              <w:t>3‰以下，</w:t>
            </w:r>
            <w:r>
              <w:rPr>
                <w:rFonts w:eastAsia="仿宋_GB2312"/>
                <w:sz w:val="32"/>
                <w:szCs w:val="32"/>
              </w:rPr>
              <w:t>计划投资3000万</w:t>
            </w:r>
            <w:r>
              <w:rPr>
                <w:rFonts w:hint="eastAsia" w:eastAsia="仿宋_GB2312"/>
                <w:sz w:val="32"/>
                <w:szCs w:val="32"/>
              </w:rPr>
              <w:t>元</w:t>
            </w:r>
            <w:r>
              <w:rPr>
                <w:rFonts w:eastAsia="仿宋_GB2312"/>
                <w:sz w:val="32"/>
                <w:szCs w:val="32"/>
              </w:rPr>
              <w:t>；到20</w:t>
            </w:r>
            <w:r>
              <w:rPr>
                <w:rFonts w:hint="eastAsia" w:eastAsia="仿宋_GB2312"/>
                <w:sz w:val="32"/>
                <w:szCs w:val="32"/>
              </w:rPr>
              <w:t>3</w:t>
            </w:r>
            <w:r>
              <w:rPr>
                <w:rFonts w:eastAsia="仿宋_GB2312"/>
                <w:sz w:val="32"/>
                <w:szCs w:val="32"/>
              </w:rPr>
              <w:t>5年，计划投资4500万</w:t>
            </w:r>
            <w:r>
              <w:rPr>
                <w:rFonts w:hint="eastAsia" w:eastAsia="仿宋_GB2312"/>
                <w:sz w:val="32"/>
                <w:szCs w:val="32"/>
              </w:rPr>
              <w:t>元，总</w:t>
            </w:r>
            <w:r>
              <w:rPr>
                <w:rFonts w:eastAsia="仿宋_GB2312"/>
                <w:sz w:val="32"/>
                <w:szCs w:val="32"/>
              </w:rPr>
              <w:t>投资7500万</w:t>
            </w:r>
            <w:r>
              <w:rPr>
                <w:rFonts w:hint="eastAsia" w:eastAsia="仿宋_GB2312"/>
                <w:sz w:val="32"/>
                <w:szCs w:val="32"/>
              </w:rPr>
              <w:t>元</w:t>
            </w:r>
            <w:r>
              <w:rPr>
                <w:rFonts w:eastAsia="仿宋_GB2312"/>
                <w:sz w:val="32"/>
                <w:szCs w:val="32"/>
              </w:rPr>
              <w:t>。</w:t>
            </w:r>
          </w:p>
        </w:tc>
      </w:tr>
      <w:tr w14:paraId="38A6C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61387C25">
            <w:pPr>
              <w:rPr>
                <w:rFonts w:hint="eastAsia" w:eastAsia="仿宋_GB2312"/>
                <w:b/>
                <w:sz w:val="32"/>
                <w:szCs w:val="32"/>
              </w:rPr>
            </w:pPr>
            <w:r>
              <w:rPr>
                <w:rFonts w:hint="eastAsia" w:eastAsia="仿宋_GB2312"/>
                <w:b/>
                <w:sz w:val="32"/>
                <w:szCs w:val="32"/>
              </w:rPr>
              <w:t>五、</w:t>
            </w:r>
            <w:r>
              <w:rPr>
                <w:rFonts w:eastAsia="仿宋_GB2312"/>
                <w:b/>
                <w:sz w:val="32"/>
                <w:szCs w:val="32"/>
              </w:rPr>
              <w:t>智慧林业</w:t>
            </w:r>
          </w:p>
          <w:p w14:paraId="4EFF7134">
            <w:pPr>
              <w:ind w:firstLine="624"/>
              <w:rPr>
                <w:rFonts w:hint="eastAsia" w:eastAsia="仿宋_GB2312"/>
                <w:sz w:val="32"/>
                <w:szCs w:val="32"/>
              </w:rPr>
            </w:pPr>
            <w:r>
              <w:rPr>
                <w:rFonts w:eastAsia="仿宋_GB2312"/>
                <w:sz w:val="32"/>
                <w:szCs w:val="32"/>
              </w:rPr>
              <w:t>依托自然资源“一张图”和国土空间信息平台、国家生态保护红线监管平台，打造三亚市“智慧林业”示范项目，建设内容主要是感知监测、网络传输、数据处理、业务应用、项目保障、标准规范共六方面体系的建设。通过建设以育才生态区“智慧林业”为示范</w:t>
            </w:r>
            <w:r>
              <w:rPr>
                <w:rFonts w:hint="eastAsia" w:eastAsia="仿宋_GB2312"/>
                <w:sz w:val="32"/>
                <w:szCs w:val="32"/>
              </w:rPr>
              <w:t>点</w:t>
            </w:r>
            <w:r>
              <w:rPr>
                <w:rFonts w:eastAsia="仿宋_GB2312"/>
                <w:sz w:val="32"/>
                <w:szCs w:val="32"/>
              </w:rPr>
              <w:t>，升级三亚市全区域森林防火监管系统及布局，开展典型业务监管系统区级的试点示范，探索“智慧林业”在三亚市</w:t>
            </w:r>
            <w:r>
              <w:rPr>
                <w:rFonts w:hint="eastAsia" w:eastAsia="仿宋_GB2312"/>
                <w:sz w:val="32"/>
                <w:szCs w:val="32"/>
              </w:rPr>
              <w:t>天然林和公益林保护与管理实施工作中的</w:t>
            </w:r>
            <w:r>
              <w:rPr>
                <w:rFonts w:eastAsia="仿宋_GB2312"/>
                <w:sz w:val="32"/>
                <w:szCs w:val="32"/>
              </w:rPr>
              <w:t>应用，提升林业综合管理效率，增强林业发展质量、促进林业可持续发展。</w:t>
            </w:r>
            <w:r>
              <w:rPr>
                <w:rFonts w:hint="eastAsia" w:eastAsia="仿宋_GB2312"/>
                <w:sz w:val="32"/>
                <w:szCs w:val="32"/>
              </w:rPr>
              <w:t>至2025年，计划</w:t>
            </w:r>
            <w:r>
              <w:rPr>
                <w:rFonts w:eastAsia="仿宋_GB2312"/>
                <w:sz w:val="32"/>
                <w:szCs w:val="32"/>
              </w:rPr>
              <w:t>投资</w:t>
            </w:r>
            <w:r>
              <w:rPr>
                <w:rFonts w:hint="eastAsia" w:eastAsia="仿宋_GB2312"/>
                <w:sz w:val="32"/>
                <w:szCs w:val="32"/>
              </w:rPr>
              <w:t>123</w:t>
            </w:r>
            <w:r>
              <w:rPr>
                <w:rFonts w:eastAsia="仿宋_GB2312"/>
                <w:sz w:val="32"/>
                <w:szCs w:val="32"/>
              </w:rPr>
              <w:t>00万</w:t>
            </w:r>
            <w:r>
              <w:rPr>
                <w:rFonts w:hint="eastAsia" w:eastAsia="仿宋_GB2312"/>
                <w:sz w:val="32"/>
                <w:szCs w:val="32"/>
              </w:rPr>
              <w:t>元</w:t>
            </w:r>
            <w:r>
              <w:rPr>
                <w:rFonts w:eastAsia="仿宋_GB2312"/>
                <w:sz w:val="32"/>
                <w:szCs w:val="32"/>
              </w:rPr>
              <w:t>。</w:t>
            </w:r>
          </w:p>
        </w:tc>
      </w:tr>
      <w:tr w14:paraId="0D1C1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71783C83">
            <w:pPr>
              <w:rPr>
                <w:rFonts w:hint="eastAsia" w:eastAsia="仿宋_GB2312"/>
                <w:b/>
                <w:sz w:val="32"/>
                <w:szCs w:val="32"/>
              </w:rPr>
            </w:pPr>
            <w:r>
              <w:rPr>
                <w:rFonts w:hint="eastAsia" w:eastAsia="仿宋_GB2312"/>
                <w:b/>
                <w:sz w:val="32"/>
                <w:szCs w:val="32"/>
              </w:rPr>
              <w:t>六、</w:t>
            </w:r>
            <w:r>
              <w:rPr>
                <w:rFonts w:eastAsia="仿宋_GB2312"/>
                <w:b/>
                <w:sz w:val="32"/>
                <w:szCs w:val="32"/>
              </w:rPr>
              <w:t>野生动植物保护</w:t>
            </w:r>
          </w:p>
          <w:p w14:paraId="2CB661CE">
            <w:pPr>
              <w:rPr>
                <w:rFonts w:hint="eastAsia" w:eastAsia="仿宋_GB2312"/>
                <w:b/>
                <w:sz w:val="32"/>
                <w:szCs w:val="32"/>
              </w:rPr>
            </w:pPr>
            <w:r>
              <w:rPr>
                <w:rFonts w:hint="eastAsia" w:eastAsia="仿宋_GB2312"/>
                <w:b/>
                <w:sz w:val="32"/>
                <w:szCs w:val="32"/>
              </w:rPr>
              <w:t>（一）</w:t>
            </w:r>
            <w:r>
              <w:rPr>
                <w:rFonts w:eastAsia="仿宋_GB2312"/>
                <w:b/>
                <w:sz w:val="32"/>
                <w:szCs w:val="32"/>
              </w:rPr>
              <w:t>生物多样性资源本底调查</w:t>
            </w:r>
          </w:p>
          <w:p w14:paraId="6BD2EB2F">
            <w:pPr>
              <w:ind w:firstLine="640" w:firstLineChars="200"/>
              <w:rPr>
                <w:rFonts w:hint="eastAsia" w:eastAsia="仿宋_GB2312"/>
                <w:sz w:val="32"/>
                <w:szCs w:val="32"/>
              </w:rPr>
            </w:pPr>
            <w:r>
              <w:rPr>
                <w:rFonts w:eastAsia="仿宋_GB2312"/>
                <w:sz w:val="32"/>
                <w:szCs w:val="32"/>
              </w:rPr>
              <w:t>主要是开展全市生物多样性资源本底调查、关键物种的专项调查。初步建立全市野生动植物物种和重要栖息地系统编目，建立国家重点保护野生动植物资源数据库，实现基础信息查询、综合监管、宣传展示等多重功能</w:t>
            </w:r>
            <w:r>
              <w:rPr>
                <w:rFonts w:hint="eastAsia" w:eastAsia="仿宋_GB2312"/>
                <w:sz w:val="32"/>
                <w:szCs w:val="32"/>
              </w:rPr>
              <w:t>。</w:t>
            </w:r>
            <w:r>
              <w:rPr>
                <w:rFonts w:eastAsia="仿宋_GB2312"/>
                <w:sz w:val="32"/>
                <w:szCs w:val="32"/>
              </w:rPr>
              <w:t>至</w:t>
            </w:r>
            <w:r>
              <w:rPr>
                <w:rFonts w:hint="eastAsia" w:eastAsia="仿宋_GB2312"/>
                <w:sz w:val="32"/>
                <w:szCs w:val="32"/>
              </w:rPr>
              <w:t>2025年，</w:t>
            </w:r>
            <w:r>
              <w:rPr>
                <w:rFonts w:eastAsia="仿宋_GB2312"/>
                <w:sz w:val="32"/>
                <w:szCs w:val="32"/>
              </w:rPr>
              <w:t>计划投资</w:t>
            </w:r>
            <w:r>
              <w:rPr>
                <w:rFonts w:hint="eastAsia" w:eastAsia="仿宋_GB2312"/>
                <w:sz w:val="32"/>
                <w:szCs w:val="32"/>
              </w:rPr>
              <w:t>500万元；至2035年，计划投资1000万元，总</w:t>
            </w:r>
            <w:r>
              <w:rPr>
                <w:rFonts w:eastAsia="仿宋_GB2312"/>
                <w:sz w:val="32"/>
                <w:szCs w:val="32"/>
              </w:rPr>
              <w:t>投资1500万</w:t>
            </w:r>
            <w:r>
              <w:rPr>
                <w:rFonts w:hint="eastAsia" w:eastAsia="仿宋_GB2312"/>
                <w:sz w:val="32"/>
                <w:szCs w:val="32"/>
              </w:rPr>
              <w:t>元</w:t>
            </w:r>
            <w:r>
              <w:rPr>
                <w:rFonts w:eastAsia="仿宋_GB2312"/>
                <w:sz w:val="32"/>
                <w:szCs w:val="32"/>
              </w:rPr>
              <w:t>。</w:t>
            </w:r>
          </w:p>
          <w:p w14:paraId="159551A1">
            <w:pPr>
              <w:rPr>
                <w:rFonts w:hint="eastAsia" w:eastAsia="仿宋_GB2312"/>
                <w:b/>
                <w:sz w:val="32"/>
                <w:szCs w:val="32"/>
              </w:rPr>
            </w:pPr>
            <w:r>
              <w:rPr>
                <w:rFonts w:hint="eastAsia" w:eastAsia="仿宋_GB2312"/>
                <w:b/>
                <w:sz w:val="32"/>
                <w:szCs w:val="32"/>
              </w:rPr>
              <w:t>（二）</w:t>
            </w:r>
            <w:r>
              <w:rPr>
                <w:rFonts w:eastAsia="仿宋_GB2312"/>
                <w:b/>
                <w:sz w:val="32"/>
                <w:szCs w:val="32"/>
              </w:rPr>
              <w:t>生物多样性监测体系</w:t>
            </w:r>
          </w:p>
          <w:p w14:paraId="1C69422A">
            <w:pPr>
              <w:ind w:firstLine="640" w:firstLineChars="200"/>
              <w:rPr>
                <w:rFonts w:hint="eastAsia" w:eastAsia="仿宋_GB2312"/>
                <w:sz w:val="32"/>
                <w:szCs w:val="32"/>
              </w:rPr>
            </w:pPr>
            <w:r>
              <w:rPr>
                <w:rFonts w:eastAsia="仿宋_GB2312"/>
                <w:sz w:val="32"/>
                <w:szCs w:val="32"/>
              </w:rPr>
              <w:t>完善甘什岭自然保护区和抱龙林场森林公园等指标体系和数据采集、传输标准，逐步建立珍稀濒危野生动植物资源野外监测体系，建设国家重点保护野生动植物野外监测站点10处，建设候鸟观测与保护标准化站点4处，建立生物多样性监测信息管理系统1套</w:t>
            </w:r>
            <w:r>
              <w:rPr>
                <w:rFonts w:hint="eastAsia" w:eastAsia="仿宋_GB2312"/>
                <w:sz w:val="32"/>
                <w:szCs w:val="32"/>
              </w:rPr>
              <w:t>。</w:t>
            </w:r>
            <w:r>
              <w:rPr>
                <w:rFonts w:eastAsia="仿宋_GB2312"/>
                <w:sz w:val="32"/>
                <w:szCs w:val="32"/>
              </w:rPr>
              <w:t>至</w:t>
            </w:r>
            <w:r>
              <w:rPr>
                <w:rFonts w:hint="eastAsia" w:eastAsia="仿宋_GB2312"/>
                <w:sz w:val="32"/>
                <w:szCs w:val="32"/>
              </w:rPr>
              <w:t>2025年，</w:t>
            </w:r>
            <w:r>
              <w:rPr>
                <w:rFonts w:eastAsia="仿宋_GB2312"/>
                <w:sz w:val="32"/>
                <w:szCs w:val="32"/>
              </w:rPr>
              <w:t>计划投资</w:t>
            </w:r>
            <w:r>
              <w:rPr>
                <w:rFonts w:hint="eastAsia" w:eastAsia="仿宋_GB2312"/>
                <w:sz w:val="32"/>
                <w:szCs w:val="32"/>
              </w:rPr>
              <w:t>2000万元；至2035年，计划投资1000万元，总</w:t>
            </w:r>
            <w:r>
              <w:rPr>
                <w:rFonts w:eastAsia="仿宋_GB2312"/>
                <w:sz w:val="32"/>
                <w:szCs w:val="32"/>
              </w:rPr>
              <w:t>投资3000万元。</w:t>
            </w:r>
          </w:p>
        </w:tc>
      </w:tr>
      <w:tr w14:paraId="5BC8A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5" w:type="dxa"/>
          </w:tcPr>
          <w:p w14:paraId="091E8810">
            <w:pPr>
              <w:rPr>
                <w:rFonts w:hint="eastAsia" w:eastAsia="仿宋_GB2312"/>
                <w:b/>
                <w:sz w:val="32"/>
                <w:szCs w:val="32"/>
              </w:rPr>
            </w:pPr>
            <w:r>
              <w:rPr>
                <w:rFonts w:hint="eastAsia" w:eastAsia="仿宋_GB2312"/>
                <w:b/>
                <w:sz w:val="32"/>
                <w:szCs w:val="32"/>
              </w:rPr>
              <w:t>七、</w:t>
            </w:r>
            <w:r>
              <w:rPr>
                <w:rFonts w:eastAsia="仿宋_GB2312"/>
                <w:b/>
                <w:sz w:val="32"/>
                <w:szCs w:val="32"/>
              </w:rPr>
              <w:t>林业碳汇</w:t>
            </w:r>
          </w:p>
          <w:p w14:paraId="73567BAA">
            <w:pPr>
              <w:ind w:firstLine="624"/>
              <w:rPr>
                <w:rFonts w:eastAsia="仿宋_GB2312"/>
                <w:sz w:val="32"/>
                <w:szCs w:val="32"/>
              </w:rPr>
            </w:pPr>
            <w:r>
              <w:rPr>
                <w:rFonts w:eastAsia="仿宋_GB2312"/>
                <w:sz w:val="32"/>
                <w:szCs w:val="32"/>
              </w:rPr>
              <w:t>积极做好林业碳汇试点，摸清家底，完成三亚市林业碳汇项目总体规划，推进林业碳汇项目交易，开展林业碳汇样地调查和连续动态监测，完善森林、湿地、木质林产品各类碳库现状及动态数据库，完善林业碳汇技术标准体系，加强林业碳汇发展的能力建设，不断增强林业减缓和适应气候变化能力，提早实现区域“碳中和”，形成一二三产业协调发展循环共赢局面。</w:t>
            </w:r>
          </w:p>
          <w:p w14:paraId="57D32F41">
            <w:pPr>
              <w:ind w:firstLine="640" w:firstLineChars="200"/>
              <w:rPr>
                <w:rFonts w:hint="eastAsia" w:eastAsia="仿宋_GB2312"/>
                <w:sz w:val="32"/>
                <w:szCs w:val="32"/>
              </w:rPr>
            </w:pPr>
            <w:r>
              <w:rPr>
                <w:rFonts w:eastAsia="仿宋_GB2312"/>
                <w:sz w:val="32"/>
                <w:szCs w:val="32"/>
              </w:rPr>
              <w:t>依托“碳达峰”、“碳中和”，建设三亚市林业碳汇交易中心、碳汇计量与监测中</w:t>
            </w:r>
            <w:r>
              <w:rPr>
                <w:rFonts w:hint="eastAsia" w:eastAsia="仿宋_GB2312"/>
                <w:sz w:val="32"/>
                <w:szCs w:val="32"/>
              </w:rPr>
              <w:t>心、</w:t>
            </w:r>
            <w:r>
              <w:rPr>
                <w:rFonts w:eastAsia="仿宋_GB2312"/>
                <w:sz w:val="32"/>
                <w:szCs w:val="32"/>
              </w:rPr>
              <w:t>林业碳汇信息管理系统，开发森林经营碳汇项目面积</w:t>
            </w:r>
            <w:r>
              <w:rPr>
                <w:rFonts w:hint="eastAsia" w:eastAsia="仿宋_GB2312"/>
                <w:sz w:val="32"/>
                <w:szCs w:val="32"/>
              </w:rPr>
              <w:t>5.0</w:t>
            </w:r>
            <w:r>
              <w:rPr>
                <w:rFonts w:eastAsia="仿宋_GB2312"/>
                <w:sz w:val="32"/>
                <w:szCs w:val="32"/>
              </w:rPr>
              <w:t>万hm</w:t>
            </w:r>
            <w:r>
              <w:rPr>
                <w:rFonts w:eastAsia="仿宋_GB2312"/>
                <w:sz w:val="32"/>
                <w:szCs w:val="32"/>
                <w:vertAlign w:val="superscript"/>
              </w:rPr>
              <w:t>2</w:t>
            </w:r>
            <w:r>
              <w:rPr>
                <w:rFonts w:hint="eastAsia" w:eastAsia="仿宋_GB2312"/>
                <w:sz w:val="32"/>
                <w:szCs w:val="32"/>
              </w:rPr>
              <w:t>（来源三亚市公益林面积），</w:t>
            </w:r>
            <w:r>
              <w:rPr>
                <w:rFonts w:eastAsia="仿宋_GB2312"/>
                <w:sz w:val="32"/>
                <w:szCs w:val="32"/>
              </w:rPr>
              <w:t>开展与林业碳汇方法学相适应的碳汇营林技术研究。</w:t>
            </w:r>
            <w:r>
              <w:rPr>
                <w:rFonts w:hint="eastAsia" w:eastAsia="仿宋_GB2312"/>
                <w:sz w:val="32"/>
                <w:szCs w:val="32"/>
              </w:rPr>
              <w:t>至2025年，计划投资60000万元，至2035年，计划投资120000万元，总</w:t>
            </w:r>
            <w:r>
              <w:rPr>
                <w:rFonts w:eastAsia="仿宋_GB2312"/>
                <w:sz w:val="32"/>
                <w:szCs w:val="32"/>
              </w:rPr>
              <w:t>投资</w:t>
            </w:r>
            <w:r>
              <w:rPr>
                <w:rFonts w:hint="eastAsia" w:eastAsia="仿宋_GB2312"/>
                <w:sz w:val="32"/>
                <w:szCs w:val="32"/>
              </w:rPr>
              <w:t>180000万元。</w:t>
            </w:r>
          </w:p>
        </w:tc>
      </w:tr>
    </w:tbl>
    <w:p w14:paraId="3C84F2B6">
      <w:pPr>
        <w:rPr>
          <w:rFonts w:hint="eastAsia" w:eastAsia="仿宋_GB2312"/>
          <w:sz w:val="24"/>
          <w:szCs w:val="32"/>
        </w:rPr>
      </w:pPr>
    </w:p>
    <w:p w14:paraId="535FF354">
      <w:pPr>
        <w:pStyle w:val="3"/>
        <w:spacing w:before="0" w:after="0" w:line="240" w:lineRule="auto"/>
        <w:rPr>
          <w:rFonts w:ascii="Times New Roman" w:hAnsi="Times New Roman" w:eastAsia="黑体"/>
        </w:rPr>
      </w:pPr>
      <w:bookmarkStart w:id="140" w:name="_Toc82546110"/>
      <w:r>
        <w:rPr>
          <w:rFonts w:hint="eastAsia" w:ascii="Times New Roman" w:hAnsi="Times New Roman" w:eastAsia="黑体"/>
        </w:rPr>
        <w:t>11</w:t>
      </w:r>
      <w:r>
        <w:rPr>
          <w:rFonts w:ascii="Times New Roman" w:hAnsi="Times New Roman" w:eastAsia="黑体"/>
        </w:rPr>
        <w:t>.</w:t>
      </w:r>
      <w:r>
        <w:rPr>
          <w:rFonts w:hint="eastAsia" w:ascii="Times New Roman" w:hAnsi="Times New Roman" w:eastAsia="黑体"/>
        </w:rPr>
        <w:t>5</w:t>
      </w:r>
      <w:r>
        <w:rPr>
          <w:rFonts w:ascii="Times New Roman" w:hAnsi="Times New Roman" w:eastAsia="黑体"/>
        </w:rPr>
        <w:t xml:space="preserve"> </w:t>
      </w:r>
      <w:r>
        <w:rPr>
          <w:rFonts w:hint="eastAsia" w:ascii="Times New Roman" w:hAnsi="Times New Roman" w:eastAsia="黑体"/>
        </w:rPr>
        <w:t>投资估算与资金来源</w:t>
      </w:r>
      <w:bookmarkEnd w:id="140"/>
    </w:p>
    <w:p w14:paraId="2306B4BC">
      <w:pPr>
        <w:spacing w:line="360" w:lineRule="auto"/>
        <w:ind w:firstLine="640" w:firstLineChars="200"/>
        <w:jc w:val="left"/>
        <w:rPr>
          <w:rFonts w:eastAsia="仿宋_GB2312"/>
          <w:sz w:val="32"/>
          <w:szCs w:val="32"/>
        </w:rPr>
        <w:sectPr>
          <w:pgSz w:w="11905" w:h="16838"/>
          <w:pgMar w:top="1440" w:right="1803" w:bottom="1440" w:left="1803" w:header="851" w:footer="992" w:gutter="0"/>
          <w:cols w:space="720" w:num="1"/>
          <w:docGrid w:type="lines" w:linePitch="319" w:charSpace="0"/>
        </w:sectPr>
      </w:pPr>
      <w:r>
        <w:rPr>
          <w:rStyle w:val="44"/>
          <w:rFonts w:hint="eastAsia" w:hAnsi="Times New Roman" w:eastAsia="仿宋_GB2312" w:cs="Times New Roman"/>
          <w:sz w:val="32"/>
        </w:rPr>
        <w:t>生态保护与修复</w:t>
      </w:r>
      <w:r>
        <w:rPr>
          <w:rStyle w:val="44"/>
          <w:rFonts w:hint="eastAsia" w:hAnsi="Times New Roman" w:eastAsia="仿宋_GB2312" w:cs="Times New Roman"/>
          <w:sz w:val="32"/>
          <w:szCs w:val="32"/>
        </w:rPr>
        <w:t>产业共有7个重点工程10个规划储备项目，总投资244700万元，</w:t>
      </w:r>
      <w:r>
        <w:rPr>
          <w:rFonts w:hint="eastAsia" w:eastAsia="仿宋_GB2312"/>
          <w:sz w:val="32"/>
          <w:szCs w:val="32"/>
        </w:rPr>
        <w:t>其中2021~</w:t>
      </w:r>
      <w:r>
        <w:rPr>
          <w:rFonts w:eastAsia="仿宋_GB2312"/>
          <w:sz w:val="32"/>
          <w:szCs w:val="32"/>
        </w:rPr>
        <w:t>2025年累计投入资金</w:t>
      </w:r>
      <w:r>
        <w:rPr>
          <w:rFonts w:hint="eastAsia" w:eastAsia="仿宋_GB2312"/>
          <w:sz w:val="32"/>
          <w:szCs w:val="32"/>
        </w:rPr>
        <w:t>103200</w:t>
      </w:r>
      <w:r>
        <w:rPr>
          <w:rFonts w:eastAsia="仿宋_GB2312"/>
          <w:sz w:val="32"/>
          <w:szCs w:val="32"/>
        </w:rPr>
        <w:t>万元，</w:t>
      </w:r>
      <w:r>
        <w:rPr>
          <w:rFonts w:hint="eastAsia" w:eastAsia="仿宋_GB2312"/>
          <w:sz w:val="32"/>
          <w:szCs w:val="32"/>
        </w:rPr>
        <w:t>2026~</w:t>
      </w:r>
      <w:r>
        <w:rPr>
          <w:rFonts w:eastAsia="仿宋_GB2312"/>
          <w:sz w:val="32"/>
          <w:szCs w:val="32"/>
        </w:rPr>
        <w:t>2035年累计投入资金</w:t>
      </w:r>
      <w:r>
        <w:rPr>
          <w:rFonts w:hint="eastAsia" w:eastAsia="仿宋_GB2312"/>
          <w:sz w:val="32"/>
          <w:szCs w:val="32"/>
        </w:rPr>
        <w:t>141500</w:t>
      </w:r>
      <w:r>
        <w:rPr>
          <w:rFonts w:eastAsia="仿宋_GB2312"/>
          <w:sz w:val="32"/>
          <w:szCs w:val="32"/>
        </w:rPr>
        <w:t>万元</w:t>
      </w:r>
      <w:r>
        <w:rPr>
          <w:rFonts w:hint="eastAsia" w:eastAsia="仿宋_GB2312"/>
          <w:sz w:val="32"/>
          <w:szCs w:val="32"/>
        </w:rPr>
        <w:t>，</w:t>
      </w:r>
      <w:r>
        <w:rPr>
          <w:rStyle w:val="44"/>
          <w:rFonts w:hint="eastAsia" w:hAnsi="Times New Roman" w:eastAsia="仿宋_GB2312" w:cs="Times New Roman"/>
          <w:sz w:val="32"/>
          <w:szCs w:val="32"/>
        </w:rPr>
        <w:t>详见表11-1。</w:t>
      </w:r>
    </w:p>
    <w:p w14:paraId="53505442">
      <w:pPr>
        <w:ind w:firstLine="624"/>
        <w:jc w:val="center"/>
        <w:rPr>
          <w:rFonts w:hint="eastAsia" w:eastAsia="黑体"/>
          <w:b/>
          <w:bCs/>
          <w:sz w:val="32"/>
          <w:szCs w:val="32"/>
        </w:rPr>
      </w:pPr>
      <w:r>
        <w:rPr>
          <w:b/>
          <w:sz w:val="28"/>
          <w:szCs w:val="28"/>
        </w:rPr>
        <w:t xml:space="preserve">表 </w:t>
      </w:r>
      <w:r>
        <w:rPr>
          <w:rFonts w:hint="eastAsia"/>
          <w:b/>
          <w:sz w:val="28"/>
          <w:szCs w:val="28"/>
        </w:rPr>
        <w:t>11</w:t>
      </w:r>
      <w:r>
        <w:rPr>
          <w:b/>
          <w:sz w:val="28"/>
          <w:szCs w:val="28"/>
        </w:rPr>
        <w:t>-1  重点生态保护与修复产业规划储备项目一览表</w:t>
      </w:r>
      <w:bookmarkEnd w:id="120"/>
      <w:bookmarkEnd w:id="121"/>
      <w:bookmarkEnd w:id="122"/>
      <w:bookmarkEnd w:id="123"/>
      <w:bookmarkEnd w:id="124"/>
      <w:bookmarkStart w:id="141" w:name="_Toc16859"/>
      <w:bookmarkStart w:id="142" w:name="_Toc29292"/>
      <w:bookmarkStart w:id="143" w:name="_Toc27429"/>
      <w:bookmarkStart w:id="144" w:name="_Toc20816"/>
      <w:bookmarkStart w:id="145" w:name="_Toc26787"/>
    </w:p>
    <w:tbl>
      <w:tblPr>
        <w:tblStyle w:val="18"/>
        <w:tblW w:w="14332" w:type="dxa"/>
        <w:tblInd w:w="93" w:type="dxa"/>
        <w:tblLayout w:type="fixed"/>
        <w:tblCellMar>
          <w:top w:w="0" w:type="dxa"/>
          <w:left w:w="108" w:type="dxa"/>
          <w:bottom w:w="0" w:type="dxa"/>
          <w:right w:w="108" w:type="dxa"/>
        </w:tblCellMar>
      </w:tblPr>
      <w:tblGrid>
        <w:gridCol w:w="707"/>
        <w:gridCol w:w="1176"/>
        <w:gridCol w:w="2668"/>
        <w:gridCol w:w="1339"/>
        <w:gridCol w:w="1560"/>
        <w:gridCol w:w="1600"/>
        <w:gridCol w:w="1738"/>
        <w:gridCol w:w="3544"/>
      </w:tblGrid>
      <w:tr w14:paraId="33E0D69A">
        <w:tblPrEx>
          <w:tblCellMar>
            <w:top w:w="0" w:type="dxa"/>
            <w:left w:w="108" w:type="dxa"/>
            <w:bottom w:w="0" w:type="dxa"/>
            <w:right w:w="108" w:type="dxa"/>
          </w:tblCellMar>
        </w:tblPrEx>
        <w:trPr>
          <w:trHeight w:val="648" w:hRule="atLeast"/>
        </w:trPr>
        <w:tc>
          <w:tcPr>
            <w:tcW w:w="707" w:type="dxa"/>
            <w:tcBorders>
              <w:top w:val="single" w:color="auto" w:sz="4" w:space="0"/>
              <w:left w:val="single" w:color="auto" w:sz="4" w:space="0"/>
              <w:bottom w:val="single" w:color="auto" w:sz="4" w:space="0"/>
              <w:right w:val="single" w:color="auto" w:sz="4" w:space="0"/>
            </w:tcBorders>
            <w:vAlign w:val="center"/>
          </w:tcPr>
          <w:p w14:paraId="4BBD3826">
            <w:pPr>
              <w:widowControl/>
              <w:jc w:val="center"/>
              <w:rPr>
                <w:rFonts w:ascii="宋体" w:hAnsi="宋体" w:cs="宋体"/>
                <w:b/>
                <w:bCs/>
                <w:kern w:val="0"/>
                <w:sz w:val="24"/>
              </w:rPr>
            </w:pPr>
            <w:r>
              <w:rPr>
                <w:rFonts w:hint="eastAsia" w:ascii="宋体" w:hAnsi="宋体" w:cs="宋体"/>
                <w:b/>
                <w:bCs/>
                <w:kern w:val="0"/>
                <w:sz w:val="24"/>
              </w:rPr>
              <w:t>序号</w:t>
            </w:r>
          </w:p>
        </w:tc>
        <w:tc>
          <w:tcPr>
            <w:tcW w:w="1176" w:type="dxa"/>
            <w:tcBorders>
              <w:top w:val="single" w:color="auto" w:sz="4" w:space="0"/>
              <w:left w:val="single" w:color="auto" w:sz="4" w:space="0"/>
              <w:bottom w:val="single" w:color="auto" w:sz="4" w:space="0"/>
              <w:right w:val="single" w:color="auto" w:sz="4" w:space="0"/>
            </w:tcBorders>
            <w:vAlign w:val="center"/>
          </w:tcPr>
          <w:p w14:paraId="351FF148">
            <w:pPr>
              <w:widowControl/>
              <w:jc w:val="center"/>
              <w:rPr>
                <w:rFonts w:ascii="宋体" w:hAnsi="宋体" w:cs="宋体"/>
                <w:b/>
                <w:bCs/>
                <w:kern w:val="0"/>
                <w:sz w:val="24"/>
              </w:rPr>
            </w:pPr>
            <w:r>
              <w:rPr>
                <w:rFonts w:hint="eastAsia" w:ascii="宋体" w:hAnsi="宋体" w:cs="宋体"/>
                <w:b/>
                <w:bCs/>
                <w:kern w:val="0"/>
                <w:sz w:val="24"/>
              </w:rPr>
              <w:t>规划期</w:t>
            </w:r>
          </w:p>
        </w:tc>
        <w:tc>
          <w:tcPr>
            <w:tcW w:w="2668" w:type="dxa"/>
            <w:tcBorders>
              <w:top w:val="single" w:color="auto" w:sz="4" w:space="0"/>
              <w:left w:val="single" w:color="auto" w:sz="4" w:space="0"/>
              <w:bottom w:val="single" w:color="auto" w:sz="4" w:space="0"/>
              <w:right w:val="single" w:color="auto" w:sz="4" w:space="0"/>
            </w:tcBorders>
            <w:vAlign w:val="center"/>
          </w:tcPr>
          <w:p w14:paraId="25782B14">
            <w:pPr>
              <w:widowControl/>
              <w:jc w:val="center"/>
              <w:rPr>
                <w:rFonts w:ascii="宋体" w:hAnsi="宋体" w:cs="宋体"/>
                <w:b/>
                <w:bCs/>
                <w:kern w:val="0"/>
                <w:sz w:val="24"/>
              </w:rPr>
            </w:pPr>
            <w:r>
              <w:rPr>
                <w:rFonts w:hint="eastAsia" w:ascii="宋体" w:hAnsi="宋体" w:cs="宋体"/>
                <w:b/>
                <w:bCs/>
                <w:kern w:val="0"/>
                <w:sz w:val="24"/>
              </w:rPr>
              <w:t>项目名称</w:t>
            </w:r>
          </w:p>
        </w:tc>
        <w:tc>
          <w:tcPr>
            <w:tcW w:w="1339" w:type="dxa"/>
            <w:tcBorders>
              <w:top w:val="single" w:color="auto" w:sz="4" w:space="0"/>
              <w:left w:val="single" w:color="auto" w:sz="4" w:space="0"/>
              <w:bottom w:val="single" w:color="auto" w:sz="4" w:space="0"/>
              <w:right w:val="single" w:color="auto" w:sz="4" w:space="0"/>
            </w:tcBorders>
            <w:vAlign w:val="center"/>
          </w:tcPr>
          <w:p w14:paraId="0E196287">
            <w:pPr>
              <w:widowControl/>
              <w:jc w:val="center"/>
              <w:rPr>
                <w:rFonts w:ascii="宋体" w:hAnsi="宋体" w:cs="宋体"/>
                <w:b/>
                <w:bCs/>
                <w:kern w:val="0"/>
                <w:sz w:val="24"/>
              </w:rPr>
            </w:pPr>
            <w:r>
              <w:rPr>
                <w:rFonts w:hint="eastAsia" w:ascii="宋体" w:hAnsi="宋体" w:cs="宋体"/>
                <w:b/>
                <w:bCs/>
                <w:kern w:val="0"/>
                <w:sz w:val="24"/>
              </w:rPr>
              <w:t>建设规模</w:t>
            </w:r>
          </w:p>
        </w:tc>
        <w:tc>
          <w:tcPr>
            <w:tcW w:w="1560" w:type="dxa"/>
            <w:tcBorders>
              <w:top w:val="single" w:color="auto" w:sz="4" w:space="0"/>
              <w:left w:val="single" w:color="auto" w:sz="4" w:space="0"/>
              <w:bottom w:val="single" w:color="auto" w:sz="4" w:space="0"/>
              <w:right w:val="single" w:color="auto" w:sz="4" w:space="0"/>
            </w:tcBorders>
            <w:vAlign w:val="center"/>
          </w:tcPr>
          <w:p w14:paraId="7EE59AB9">
            <w:pPr>
              <w:widowControl/>
              <w:jc w:val="center"/>
              <w:rPr>
                <w:rFonts w:ascii="宋体" w:hAnsi="宋体" w:cs="宋体"/>
                <w:b/>
                <w:bCs/>
                <w:kern w:val="0"/>
                <w:sz w:val="24"/>
              </w:rPr>
            </w:pPr>
            <w:r>
              <w:rPr>
                <w:rFonts w:hint="eastAsia" w:ascii="宋体" w:hAnsi="宋体" w:cs="宋体"/>
                <w:b/>
                <w:bCs/>
                <w:kern w:val="0"/>
                <w:sz w:val="24"/>
              </w:rPr>
              <w:t>建设性质</w:t>
            </w:r>
          </w:p>
        </w:tc>
        <w:tc>
          <w:tcPr>
            <w:tcW w:w="1600" w:type="dxa"/>
            <w:tcBorders>
              <w:top w:val="single" w:color="auto" w:sz="4" w:space="0"/>
              <w:left w:val="nil"/>
              <w:bottom w:val="single" w:color="auto" w:sz="4" w:space="0"/>
              <w:right w:val="single" w:color="auto" w:sz="4" w:space="0"/>
            </w:tcBorders>
            <w:vAlign w:val="center"/>
          </w:tcPr>
          <w:p w14:paraId="496DA890">
            <w:pPr>
              <w:widowControl/>
              <w:jc w:val="center"/>
              <w:rPr>
                <w:rFonts w:ascii="宋体" w:hAnsi="宋体" w:cs="宋体"/>
                <w:b/>
                <w:bCs/>
                <w:kern w:val="0"/>
                <w:sz w:val="24"/>
              </w:rPr>
            </w:pPr>
            <w:r>
              <w:rPr>
                <w:rFonts w:hint="eastAsia" w:ascii="宋体" w:hAnsi="宋体" w:cs="宋体"/>
                <w:b/>
                <w:bCs/>
                <w:kern w:val="0"/>
                <w:sz w:val="24"/>
              </w:rPr>
              <w:t>投资估算</w:t>
            </w:r>
          </w:p>
          <w:p w14:paraId="0EE871CF">
            <w:pPr>
              <w:jc w:val="center"/>
              <w:rPr>
                <w:rFonts w:ascii="宋体" w:hAnsi="宋体" w:cs="宋体"/>
                <w:b/>
                <w:bCs/>
                <w:kern w:val="0"/>
                <w:sz w:val="24"/>
              </w:rPr>
            </w:pPr>
            <w:r>
              <w:rPr>
                <w:rFonts w:hint="eastAsia" w:ascii="宋体" w:hAnsi="宋体" w:cs="宋体"/>
                <w:b/>
                <w:bCs/>
                <w:kern w:val="0"/>
                <w:sz w:val="24"/>
              </w:rPr>
              <w:t>（万元）</w:t>
            </w:r>
          </w:p>
        </w:tc>
        <w:tc>
          <w:tcPr>
            <w:tcW w:w="1738" w:type="dxa"/>
            <w:tcBorders>
              <w:top w:val="single" w:color="auto" w:sz="4" w:space="0"/>
              <w:left w:val="single" w:color="auto" w:sz="4" w:space="0"/>
              <w:bottom w:val="single" w:color="auto" w:sz="4" w:space="0"/>
              <w:right w:val="single" w:color="auto" w:sz="4" w:space="0"/>
            </w:tcBorders>
            <w:vAlign w:val="center"/>
          </w:tcPr>
          <w:p w14:paraId="0662CF58">
            <w:pPr>
              <w:widowControl/>
              <w:jc w:val="center"/>
              <w:rPr>
                <w:rFonts w:ascii="宋体" w:hAnsi="宋体" w:cs="宋体"/>
                <w:b/>
                <w:bCs/>
                <w:kern w:val="0"/>
                <w:sz w:val="24"/>
              </w:rPr>
            </w:pPr>
            <w:r>
              <w:rPr>
                <w:rFonts w:hint="eastAsia" w:ascii="宋体" w:hAnsi="宋体" w:cs="宋体"/>
                <w:b/>
                <w:bCs/>
                <w:kern w:val="0"/>
                <w:sz w:val="24"/>
              </w:rPr>
              <w:t>资金来源</w:t>
            </w:r>
          </w:p>
        </w:tc>
        <w:tc>
          <w:tcPr>
            <w:tcW w:w="3544" w:type="dxa"/>
            <w:tcBorders>
              <w:top w:val="single" w:color="auto" w:sz="4" w:space="0"/>
              <w:left w:val="single" w:color="auto" w:sz="4" w:space="0"/>
              <w:bottom w:val="single" w:color="auto" w:sz="4" w:space="0"/>
              <w:right w:val="single" w:color="auto" w:sz="4" w:space="0"/>
            </w:tcBorders>
            <w:vAlign w:val="center"/>
          </w:tcPr>
          <w:p w14:paraId="17B91ED7">
            <w:pPr>
              <w:widowControl/>
              <w:jc w:val="center"/>
              <w:rPr>
                <w:rFonts w:ascii="宋体" w:hAnsi="宋体" w:cs="宋体"/>
                <w:b/>
                <w:bCs/>
                <w:kern w:val="0"/>
                <w:sz w:val="24"/>
              </w:rPr>
            </w:pPr>
            <w:r>
              <w:rPr>
                <w:rFonts w:hint="eastAsia" w:ascii="宋体" w:hAnsi="宋体" w:cs="宋体"/>
                <w:b/>
                <w:bCs/>
                <w:kern w:val="0"/>
                <w:sz w:val="24"/>
              </w:rPr>
              <w:t>建设地点</w:t>
            </w:r>
          </w:p>
        </w:tc>
      </w:tr>
      <w:tr w14:paraId="4002A648">
        <w:tblPrEx>
          <w:tblCellMar>
            <w:top w:w="0" w:type="dxa"/>
            <w:left w:w="108" w:type="dxa"/>
            <w:bottom w:w="0" w:type="dxa"/>
            <w:right w:w="108" w:type="dxa"/>
          </w:tblCellMar>
        </w:tblPrEx>
        <w:trPr>
          <w:trHeight w:val="393" w:hRule="atLeast"/>
        </w:trPr>
        <w:tc>
          <w:tcPr>
            <w:tcW w:w="707" w:type="dxa"/>
            <w:tcBorders>
              <w:top w:val="nil"/>
              <w:left w:val="single" w:color="auto" w:sz="4" w:space="0"/>
              <w:bottom w:val="single" w:color="auto" w:sz="4" w:space="0"/>
              <w:right w:val="single" w:color="auto" w:sz="4" w:space="0"/>
            </w:tcBorders>
            <w:vAlign w:val="center"/>
          </w:tcPr>
          <w:p w14:paraId="5395AA23">
            <w:pPr>
              <w:widowControl/>
              <w:jc w:val="center"/>
              <w:rPr>
                <w:rFonts w:ascii="宋体" w:hAnsi="宋体" w:cs="宋体"/>
                <w:b/>
                <w:bCs/>
                <w:kern w:val="0"/>
                <w:sz w:val="24"/>
              </w:rPr>
            </w:pPr>
            <w:r>
              <w:rPr>
                <w:rFonts w:hint="eastAsia" w:ascii="宋体" w:hAnsi="宋体" w:cs="宋体"/>
                <w:b/>
                <w:bCs/>
                <w:kern w:val="0"/>
                <w:sz w:val="24"/>
              </w:rPr>
              <w:t>　</w:t>
            </w:r>
          </w:p>
        </w:tc>
        <w:tc>
          <w:tcPr>
            <w:tcW w:w="1176" w:type="dxa"/>
            <w:tcBorders>
              <w:top w:val="nil"/>
              <w:left w:val="nil"/>
              <w:bottom w:val="single" w:color="auto" w:sz="4" w:space="0"/>
              <w:right w:val="single" w:color="auto" w:sz="4" w:space="0"/>
            </w:tcBorders>
            <w:vAlign w:val="center"/>
          </w:tcPr>
          <w:p w14:paraId="2FACD28A">
            <w:pPr>
              <w:widowControl/>
              <w:jc w:val="center"/>
              <w:rPr>
                <w:rFonts w:ascii="宋体" w:hAnsi="宋体" w:cs="宋体"/>
                <w:b/>
                <w:bCs/>
                <w:kern w:val="0"/>
                <w:sz w:val="24"/>
              </w:rPr>
            </w:pPr>
            <w:r>
              <w:rPr>
                <w:rFonts w:hint="eastAsia" w:ascii="宋体" w:hAnsi="宋体" w:cs="宋体"/>
                <w:b/>
                <w:bCs/>
                <w:kern w:val="0"/>
                <w:sz w:val="24"/>
              </w:rPr>
              <w:t>　</w:t>
            </w:r>
          </w:p>
        </w:tc>
        <w:tc>
          <w:tcPr>
            <w:tcW w:w="2668" w:type="dxa"/>
            <w:tcBorders>
              <w:top w:val="nil"/>
              <w:left w:val="nil"/>
              <w:bottom w:val="single" w:color="auto" w:sz="4" w:space="0"/>
              <w:right w:val="single" w:color="auto" w:sz="4" w:space="0"/>
            </w:tcBorders>
            <w:vAlign w:val="center"/>
          </w:tcPr>
          <w:p w14:paraId="1415B919">
            <w:pPr>
              <w:widowControl/>
              <w:jc w:val="center"/>
              <w:rPr>
                <w:rFonts w:ascii="宋体" w:hAnsi="宋体" w:cs="宋体"/>
                <w:b/>
                <w:bCs/>
                <w:kern w:val="0"/>
                <w:sz w:val="24"/>
              </w:rPr>
            </w:pPr>
            <w:r>
              <w:rPr>
                <w:rFonts w:hint="eastAsia" w:ascii="宋体" w:hAnsi="宋体" w:cs="宋体"/>
                <w:b/>
                <w:bCs/>
                <w:kern w:val="0"/>
                <w:sz w:val="24"/>
              </w:rPr>
              <w:t>总投资</w:t>
            </w:r>
          </w:p>
        </w:tc>
        <w:tc>
          <w:tcPr>
            <w:tcW w:w="1339" w:type="dxa"/>
            <w:tcBorders>
              <w:top w:val="nil"/>
              <w:left w:val="nil"/>
              <w:bottom w:val="single" w:color="auto" w:sz="4" w:space="0"/>
              <w:right w:val="single" w:color="auto" w:sz="4" w:space="0"/>
            </w:tcBorders>
            <w:vAlign w:val="center"/>
          </w:tcPr>
          <w:p w14:paraId="206ABA11">
            <w:pPr>
              <w:widowControl/>
              <w:jc w:val="center"/>
              <w:rPr>
                <w:rFonts w:ascii="宋体" w:hAnsi="宋体" w:cs="宋体"/>
                <w:b/>
                <w:bCs/>
                <w:kern w:val="0"/>
                <w:sz w:val="24"/>
              </w:rPr>
            </w:pPr>
            <w:r>
              <w:rPr>
                <w:rFonts w:hint="eastAsia" w:ascii="宋体" w:hAnsi="宋体" w:cs="宋体"/>
                <w:b/>
                <w:bCs/>
                <w:kern w:val="0"/>
                <w:sz w:val="24"/>
              </w:rPr>
              <w:t>　</w:t>
            </w:r>
          </w:p>
        </w:tc>
        <w:tc>
          <w:tcPr>
            <w:tcW w:w="1560" w:type="dxa"/>
            <w:tcBorders>
              <w:top w:val="single" w:color="auto" w:sz="4" w:space="0"/>
              <w:left w:val="nil"/>
              <w:bottom w:val="single" w:color="auto" w:sz="4" w:space="0"/>
              <w:right w:val="single" w:color="auto" w:sz="4" w:space="0"/>
            </w:tcBorders>
            <w:vAlign w:val="center"/>
          </w:tcPr>
          <w:p w14:paraId="3970EAAE">
            <w:pPr>
              <w:widowControl/>
              <w:jc w:val="center"/>
              <w:rPr>
                <w:rFonts w:ascii="宋体" w:hAnsi="宋体" w:cs="宋体"/>
                <w:b/>
                <w:bCs/>
                <w:kern w:val="0"/>
                <w:sz w:val="24"/>
              </w:rPr>
            </w:pPr>
            <w:r>
              <w:rPr>
                <w:rFonts w:hint="eastAsia" w:ascii="宋体" w:hAnsi="宋体" w:cs="宋体"/>
                <w:b/>
                <w:bCs/>
                <w:kern w:val="0"/>
                <w:sz w:val="24"/>
              </w:rPr>
              <w:t>　</w:t>
            </w:r>
          </w:p>
        </w:tc>
        <w:tc>
          <w:tcPr>
            <w:tcW w:w="1600" w:type="dxa"/>
            <w:tcBorders>
              <w:top w:val="single" w:color="auto" w:sz="4" w:space="0"/>
              <w:left w:val="nil"/>
              <w:bottom w:val="single" w:color="auto" w:sz="4" w:space="0"/>
              <w:right w:val="single" w:color="auto" w:sz="4" w:space="0"/>
            </w:tcBorders>
            <w:vAlign w:val="center"/>
          </w:tcPr>
          <w:p w14:paraId="3BE7DA25">
            <w:pPr>
              <w:jc w:val="center"/>
              <w:rPr>
                <w:b/>
                <w:bCs/>
                <w:sz w:val="24"/>
              </w:rPr>
            </w:pPr>
            <w:r>
              <w:rPr>
                <w:rFonts w:hint="eastAsia"/>
                <w:b/>
                <w:bCs/>
                <w:sz w:val="24"/>
              </w:rPr>
              <w:t>244700</w:t>
            </w:r>
          </w:p>
        </w:tc>
        <w:tc>
          <w:tcPr>
            <w:tcW w:w="1738" w:type="dxa"/>
            <w:tcBorders>
              <w:top w:val="single" w:color="auto" w:sz="4" w:space="0"/>
              <w:left w:val="nil"/>
              <w:bottom w:val="single" w:color="auto" w:sz="4" w:space="0"/>
              <w:right w:val="single" w:color="auto" w:sz="4" w:space="0"/>
            </w:tcBorders>
            <w:vAlign w:val="center"/>
          </w:tcPr>
          <w:p w14:paraId="48A89B7A">
            <w:pPr>
              <w:widowControl/>
              <w:jc w:val="center"/>
              <w:rPr>
                <w:rFonts w:ascii="宋体" w:hAnsi="宋体" w:cs="宋体"/>
                <w:b/>
                <w:bCs/>
                <w:kern w:val="0"/>
                <w:sz w:val="24"/>
              </w:rPr>
            </w:pPr>
            <w:r>
              <w:rPr>
                <w:rFonts w:hint="eastAsia" w:ascii="宋体" w:hAnsi="宋体" w:cs="宋体"/>
                <w:b/>
                <w:bCs/>
                <w:kern w:val="0"/>
                <w:sz w:val="24"/>
              </w:rPr>
              <w:t>　</w:t>
            </w:r>
          </w:p>
        </w:tc>
        <w:tc>
          <w:tcPr>
            <w:tcW w:w="3544" w:type="dxa"/>
            <w:tcBorders>
              <w:top w:val="nil"/>
              <w:left w:val="nil"/>
              <w:bottom w:val="single" w:color="auto" w:sz="4" w:space="0"/>
              <w:right w:val="single" w:color="auto" w:sz="4" w:space="0"/>
            </w:tcBorders>
            <w:vAlign w:val="center"/>
          </w:tcPr>
          <w:p w14:paraId="07616F97">
            <w:pPr>
              <w:widowControl/>
              <w:jc w:val="center"/>
              <w:rPr>
                <w:rFonts w:ascii="宋体" w:hAnsi="宋体" w:cs="宋体"/>
                <w:b/>
                <w:bCs/>
                <w:kern w:val="0"/>
                <w:sz w:val="24"/>
              </w:rPr>
            </w:pPr>
            <w:r>
              <w:rPr>
                <w:rFonts w:hint="eastAsia" w:ascii="宋体" w:hAnsi="宋体" w:cs="宋体"/>
                <w:b/>
                <w:bCs/>
                <w:kern w:val="0"/>
                <w:sz w:val="24"/>
              </w:rPr>
              <w:t>　</w:t>
            </w:r>
          </w:p>
        </w:tc>
      </w:tr>
      <w:tr w14:paraId="186CBC6B">
        <w:tblPrEx>
          <w:tblCellMar>
            <w:top w:w="0" w:type="dxa"/>
            <w:left w:w="108" w:type="dxa"/>
            <w:bottom w:w="0" w:type="dxa"/>
            <w:right w:w="108" w:type="dxa"/>
          </w:tblCellMar>
        </w:tblPrEx>
        <w:trPr>
          <w:trHeight w:val="375" w:hRule="atLeast"/>
        </w:trPr>
        <w:tc>
          <w:tcPr>
            <w:tcW w:w="707" w:type="dxa"/>
            <w:vMerge w:val="restart"/>
            <w:tcBorders>
              <w:top w:val="nil"/>
              <w:left w:val="single" w:color="auto" w:sz="4" w:space="0"/>
              <w:bottom w:val="single" w:color="auto" w:sz="4" w:space="0"/>
              <w:right w:val="single" w:color="auto" w:sz="4" w:space="0"/>
            </w:tcBorders>
            <w:vAlign w:val="center"/>
          </w:tcPr>
          <w:p w14:paraId="40B1FB5D">
            <w:pPr>
              <w:widowControl/>
              <w:jc w:val="center"/>
              <w:rPr>
                <w:kern w:val="0"/>
                <w:sz w:val="24"/>
              </w:rPr>
            </w:pPr>
            <w:r>
              <w:rPr>
                <w:kern w:val="0"/>
                <w:sz w:val="24"/>
              </w:rPr>
              <w:t>1</w:t>
            </w:r>
          </w:p>
        </w:tc>
        <w:tc>
          <w:tcPr>
            <w:tcW w:w="1176" w:type="dxa"/>
            <w:vMerge w:val="restart"/>
            <w:tcBorders>
              <w:top w:val="nil"/>
              <w:left w:val="single" w:color="auto" w:sz="4" w:space="0"/>
              <w:bottom w:val="single" w:color="auto" w:sz="4" w:space="0"/>
              <w:right w:val="single" w:color="auto" w:sz="4" w:space="0"/>
            </w:tcBorders>
            <w:vAlign w:val="center"/>
          </w:tcPr>
          <w:p w14:paraId="0704E526">
            <w:pPr>
              <w:widowControl/>
              <w:jc w:val="center"/>
              <w:rPr>
                <w:rFonts w:ascii="宋体" w:hAnsi="宋体" w:cs="宋体"/>
                <w:kern w:val="0"/>
                <w:sz w:val="24"/>
              </w:rPr>
            </w:pPr>
            <w:r>
              <w:rPr>
                <w:rFonts w:hint="eastAsia" w:ascii="宋体" w:hAnsi="宋体" w:cs="宋体"/>
                <w:kern w:val="0"/>
                <w:sz w:val="24"/>
              </w:rPr>
              <w:t>近期</w:t>
            </w:r>
            <w:r>
              <w:rPr>
                <w:kern w:val="0"/>
                <w:sz w:val="24"/>
              </w:rPr>
              <w:t>(2021</w:t>
            </w:r>
            <w:r>
              <w:rPr>
                <w:rFonts w:hint="eastAsia" w:ascii="宋体" w:hAnsi="宋体" w:cs="宋体"/>
                <w:kern w:val="0"/>
                <w:sz w:val="24"/>
              </w:rPr>
              <w:t>～</w:t>
            </w:r>
            <w:r>
              <w:rPr>
                <w:kern w:val="0"/>
                <w:sz w:val="24"/>
              </w:rPr>
              <w:t>2025</w:t>
            </w:r>
            <w:r>
              <w:rPr>
                <w:rFonts w:hint="eastAsia" w:ascii="宋体" w:hAnsi="宋体" w:cs="宋体"/>
                <w:kern w:val="0"/>
                <w:sz w:val="24"/>
              </w:rPr>
              <w:t>年</w:t>
            </w:r>
            <w:r>
              <w:rPr>
                <w:kern w:val="0"/>
                <w:sz w:val="24"/>
              </w:rPr>
              <w:t>)</w:t>
            </w:r>
          </w:p>
        </w:tc>
        <w:tc>
          <w:tcPr>
            <w:tcW w:w="2668" w:type="dxa"/>
            <w:tcBorders>
              <w:top w:val="nil"/>
              <w:left w:val="nil"/>
              <w:bottom w:val="single" w:color="auto" w:sz="4" w:space="0"/>
              <w:right w:val="single" w:color="auto" w:sz="4" w:space="0"/>
            </w:tcBorders>
            <w:vAlign w:val="center"/>
          </w:tcPr>
          <w:p w14:paraId="61D7856B">
            <w:pPr>
              <w:widowControl/>
              <w:jc w:val="center"/>
              <w:rPr>
                <w:rFonts w:ascii="宋体" w:hAnsi="宋体" w:cs="宋体"/>
                <w:kern w:val="0"/>
                <w:sz w:val="24"/>
              </w:rPr>
            </w:pPr>
            <w:r>
              <w:rPr>
                <w:rFonts w:hint="eastAsia" w:ascii="宋体" w:hAnsi="宋体" w:cs="宋体"/>
                <w:kern w:val="0"/>
                <w:sz w:val="24"/>
              </w:rPr>
              <w:t>湿地保护与修复建设</w:t>
            </w:r>
          </w:p>
        </w:tc>
        <w:tc>
          <w:tcPr>
            <w:tcW w:w="1339" w:type="dxa"/>
            <w:tcBorders>
              <w:top w:val="nil"/>
              <w:left w:val="nil"/>
              <w:bottom w:val="single" w:color="auto" w:sz="4" w:space="0"/>
              <w:right w:val="single" w:color="auto" w:sz="4" w:space="0"/>
            </w:tcBorders>
            <w:vAlign w:val="center"/>
          </w:tcPr>
          <w:p w14:paraId="242656EE">
            <w:pPr>
              <w:widowControl/>
              <w:jc w:val="center"/>
              <w:rPr>
                <w:kern w:val="0"/>
                <w:sz w:val="24"/>
              </w:rPr>
            </w:pPr>
          </w:p>
        </w:tc>
        <w:tc>
          <w:tcPr>
            <w:tcW w:w="1560" w:type="dxa"/>
            <w:tcBorders>
              <w:top w:val="nil"/>
              <w:left w:val="nil"/>
              <w:bottom w:val="single" w:color="auto" w:sz="4" w:space="0"/>
              <w:right w:val="single" w:color="auto" w:sz="4" w:space="0"/>
            </w:tcBorders>
            <w:vAlign w:val="center"/>
          </w:tcPr>
          <w:p w14:paraId="6DE1A201">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0410ED63">
            <w:pPr>
              <w:jc w:val="center"/>
              <w:rPr>
                <w:sz w:val="24"/>
              </w:rPr>
            </w:pPr>
            <w:r>
              <w:rPr>
                <w:sz w:val="24"/>
              </w:rPr>
              <w:t>21700</w:t>
            </w:r>
          </w:p>
        </w:tc>
        <w:tc>
          <w:tcPr>
            <w:tcW w:w="1738" w:type="dxa"/>
            <w:tcBorders>
              <w:top w:val="nil"/>
              <w:left w:val="nil"/>
              <w:bottom w:val="single" w:color="auto" w:sz="4" w:space="0"/>
              <w:right w:val="single" w:color="auto" w:sz="4" w:space="0"/>
            </w:tcBorders>
            <w:vAlign w:val="center"/>
          </w:tcPr>
          <w:p w14:paraId="186FAD88">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0F610796">
            <w:pPr>
              <w:widowControl/>
              <w:jc w:val="center"/>
              <w:rPr>
                <w:rFonts w:ascii="宋体" w:hAnsi="宋体" w:cs="宋体"/>
                <w:kern w:val="0"/>
                <w:sz w:val="24"/>
              </w:rPr>
            </w:pPr>
            <w:r>
              <w:rPr>
                <w:rFonts w:hint="eastAsia" w:ascii="宋体" w:hAnsi="宋体" w:cs="宋体"/>
                <w:kern w:val="0"/>
                <w:sz w:val="24"/>
              </w:rPr>
              <w:t>红树林保护区</w:t>
            </w:r>
          </w:p>
        </w:tc>
      </w:tr>
      <w:tr w14:paraId="169C00D3">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1E850DD2">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716FE68F">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6CED01C5">
            <w:pPr>
              <w:widowControl/>
              <w:jc w:val="center"/>
              <w:rPr>
                <w:rFonts w:ascii="宋体" w:hAnsi="宋体" w:cs="宋体"/>
                <w:kern w:val="0"/>
                <w:sz w:val="24"/>
              </w:rPr>
            </w:pPr>
            <w:r>
              <w:rPr>
                <w:rFonts w:hint="eastAsia" w:ascii="宋体" w:hAnsi="宋体" w:cs="宋体"/>
                <w:kern w:val="0"/>
                <w:sz w:val="24"/>
              </w:rPr>
              <w:t>极小种群植物拯救</w:t>
            </w:r>
          </w:p>
        </w:tc>
        <w:tc>
          <w:tcPr>
            <w:tcW w:w="1339" w:type="dxa"/>
            <w:tcBorders>
              <w:top w:val="nil"/>
              <w:left w:val="nil"/>
              <w:bottom w:val="single" w:color="auto" w:sz="4" w:space="0"/>
              <w:right w:val="single" w:color="auto" w:sz="4" w:space="0"/>
            </w:tcBorders>
            <w:vAlign w:val="center"/>
          </w:tcPr>
          <w:p w14:paraId="5B69CC4A">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04CF181D">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17DCD339">
            <w:pPr>
              <w:jc w:val="center"/>
              <w:rPr>
                <w:sz w:val="24"/>
              </w:rPr>
            </w:pPr>
            <w:r>
              <w:rPr>
                <w:sz w:val="24"/>
              </w:rPr>
              <w:t>1000</w:t>
            </w:r>
          </w:p>
        </w:tc>
        <w:tc>
          <w:tcPr>
            <w:tcW w:w="1738" w:type="dxa"/>
            <w:tcBorders>
              <w:top w:val="nil"/>
              <w:left w:val="nil"/>
              <w:bottom w:val="single" w:color="auto" w:sz="4" w:space="0"/>
              <w:right w:val="single" w:color="auto" w:sz="4" w:space="0"/>
            </w:tcBorders>
            <w:vAlign w:val="center"/>
          </w:tcPr>
          <w:p w14:paraId="0D9FFE83">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4DF3A209">
            <w:pPr>
              <w:widowControl/>
              <w:jc w:val="center"/>
              <w:rPr>
                <w:rFonts w:ascii="宋体" w:hAnsi="宋体" w:cs="宋体"/>
                <w:kern w:val="0"/>
                <w:sz w:val="24"/>
              </w:rPr>
            </w:pPr>
            <w:r>
              <w:rPr>
                <w:rFonts w:hint="eastAsia" w:ascii="宋体" w:hAnsi="宋体" w:cs="宋体"/>
                <w:kern w:val="0"/>
                <w:sz w:val="24"/>
              </w:rPr>
              <w:t>市林科院</w:t>
            </w:r>
          </w:p>
        </w:tc>
      </w:tr>
      <w:tr w14:paraId="3A3FCA55">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79D8520D">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7AD0ADC9">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32A7FBF8">
            <w:pPr>
              <w:widowControl/>
              <w:jc w:val="center"/>
              <w:rPr>
                <w:rFonts w:ascii="宋体" w:hAnsi="宋体" w:cs="宋体"/>
                <w:kern w:val="0"/>
                <w:sz w:val="24"/>
              </w:rPr>
            </w:pPr>
            <w:r>
              <w:rPr>
                <w:rFonts w:hint="eastAsia" w:ascii="宋体" w:hAnsi="宋体" w:cs="宋体"/>
                <w:kern w:val="0"/>
                <w:sz w:val="24"/>
              </w:rPr>
              <w:t>古树名木保护与复壮</w:t>
            </w:r>
          </w:p>
        </w:tc>
        <w:tc>
          <w:tcPr>
            <w:tcW w:w="1339" w:type="dxa"/>
            <w:tcBorders>
              <w:top w:val="nil"/>
              <w:left w:val="nil"/>
              <w:bottom w:val="single" w:color="auto" w:sz="4" w:space="0"/>
              <w:right w:val="single" w:color="auto" w:sz="4" w:space="0"/>
            </w:tcBorders>
            <w:vAlign w:val="center"/>
          </w:tcPr>
          <w:p w14:paraId="717A2DFC">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77431507">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638AB0BE">
            <w:pPr>
              <w:jc w:val="center"/>
              <w:rPr>
                <w:sz w:val="24"/>
              </w:rPr>
            </w:pPr>
            <w:r>
              <w:rPr>
                <w:sz w:val="24"/>
              </w:rPr>
              <w:t>2700</w:t>
            </w:r>
          </w:p>
        </w:tc>
        <w:tc>
          <w:tcPr>
            <w:tcW w:w="1738" w:type="dxa"/>
            <w:tcBorders>
              <w:top w:val="nil"/>
              <w:left w:val="nil"/>
              <w:bottom w:val="single" w:color="auto" w:sz="4" w:space="0"/>
              <w:right w:val="single" w:color="auto" w:sz="4" w:space="0"/>
            </w:tcBorders>
            <w:vAlign w:val="center"/>
          </w:tcPr>
          <w:p w14:paraId="5AAB44F6">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77816655">
            <w:pPr>
              <w:widowControl/>
              <w:jc w:val="center"/>
              <w:rPr>
                <w:rFonts w:ascii="宋体" w:hAnsi="宋体" w:cs="宋体"/>
                <w:kern w:val="0"/>
                <w:sz w:val="24"/>
              </w:rPr>
            </w:pPr>
            <w:r>
              <w:rPr>
                <w:rFonts w:hint="eastAsia" w:ascii="宋体" w:hAnsi="宋体" w:cs="宋体"/>
                <w:kern w:val="0"/>
                <w:sz w:val="24"/>
              </w:rPr>
              <w:t>全市范围</w:t>
            </w:r>
          </w:p>
        </w:tc>
      </w:tr>
      <w:tr w14:paraId="78D4DDE9">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3C41F7AB">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49C73E53">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7BAEE2DF">
            <w:pPr>
              <w:widowControl/>
              <w:jc w:val="center"/>
              <w:rPr>
                <w:rFonts w:ascii="宋体" w:hAnsi="宋体" w:cs="宋体"/>
                <w:kern w:val="0"/>
                <w:sz w:val="24"/>
              </w:rPr>
            </w:pPr>
            <w:r>
              <w:rPr>
                <w:rFonts w:hint="eastAsia" w:ascii="宋体" w:hAnsi="宋体" w:cs="宋体"/>
                <w:kern w:val="0"/>
                <w:sz w:val="24"/>
              </w:rPr>
              <w:t>有害生物防治</w:t>
            </w:r>
          </w:p>
        </w:tc>
        <w:tc>
          <w:tcPr>
            <w:tcW w:w="1339" w:type="dxa"/>
            <w:tcBorders>
              <w:top w:val="nil"/>
              <w:left w:val="nil"/>
              <w:bottom w:val="single" w:color="auto" w:sz="4" w:space="0"/>
              <w:right w:val="single" w:color="auto" w:sz="4" w:space="0"/>
            </w:tcBorders>
            <w:vAlign w:val="center"/>
          </w:tcPr>
          <w:p w14:paraId="7F42745A">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33769DE7">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68946E79">
            <w:pPr>
              <w:jc w:val="center"/>
              <w:rPr>
                <w:sz w:val="24"/>
              </w:rPr>
            </w:pPr>
            <w:r>
              <w:rPr>
                <w:sz w:val="24"/>
              </w:rPr>
              <w:t>3000</w:t>
            </w:r>
          </w:p>
        </w:tc>
        <w:tc>
          <w:tcPr>
            <w:tcW w:w="1738" w:type="dxa"/>
            <w:tcBorders>
              <w:top w:val="nil"/>
              <w:left w:val="nil"/>
              <w:bottom w:val="single" w:color="auto" w:sz="4" w:space="0"/>
              <w:right w:val="single" w:color="auto" w:sz="4" w:space="0"/>
            </w:tcBorders>
            <w:vAlign w:val="center"/>
          </w:tcPr>
          <w:p w14:paraId="215F03B5">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551DF1DF">
            <w:pPr>
              <w:widowControl/>
              <w:jc w:val="center"/>
              <w:rPr>
                <w:rFonts w:ascii="宋体" w:hAnsi="宋体" w:cs="宋体"/>
                <w:kern w:val="0"/>
                <w:sz w:val="24"/>
              </w:rPr>
            </w:pPr>
            <w:r>
              <w:rPr>
                <w:rFonts w:hint="eastAsia" w:ascii="宋体" w:hAnsi="宋体" w:cs="宋体"/>
                <w:kern w:val="0"/>
                <w:sz w:val="24"/>
              </w:rPr>
              <w:t>全市范围</w:t>
            </w:r>
          </w:p>
        </w:tc>
      </w:tr>
      <w:tr w14:paraId="47ADC7DF">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1952350C">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01C9DB84">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37F6F560">
            <w:pPr>
              <w:widowControl/>
              <w:jc w:val="center"/>
              <w:rPr>
                <w:rFonts w:ascii="宋体" w:hAnsi="宋体" w:cs="宋体"/>
                <w:kern w:val="0"/>
                <w:sz w:val="24"/>
              </w:rPr>
            </w:pPr>
            <w:r>
              <w:rPr>
                <w:rFonts w:hint="eastAsia" w:ascii="宋体" w:hAnsi="宋体" w:cs="宋体"/>
                <w:kern w:val="0"/>
                <w:sz w:val="24"/>
              </w:rPr>
              <w:t>智慧林业</w:t>
            </w:r>
          </w:p>
        </w:tc>
        <w:tc>
          <w:tcPr>
            <w:tcW w:w="1339" w:type="dxa"/>
            <w:tcBorders>
              <w:top w:val="nil"/>
              <w:left w:val="nil"/>
              <w:bottom w:val="single" w:color="auto" w:sz="4" w:space="0"/>
              <w:right w:val="single" w:color="auto" w:sz="4" w:space="0"/>
            </w:tcBorders>
            <w:vAlign w:val="center"/>
          </w:tcPr>
          <w:p w14:paraId="183033FA">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0C46CEF9">
            <w:pPr>
              <w:widowControl/>
              <w:jc w:val="center"/>
              <w:rPr>
                <w:rFonts w:ascii="宋体" w:hAnsi="宋体" w:cs="宋体"/>
                <w:kern w:val="0"/>
                <w:sz w:val="24"/>
              </w:rPr>
            </w:pPr>
            <w:r>
              <w:rPr>
                <w:rFonts w:hint="eastAsia" w:ascii="宋体" w:hAnsi="宋体" w:cs="宋体"/>
                <w:kern w:val="0"/>
                <w:sz w:val="24"/>
              </w:rPr>
              <w:t>新建</w:t>
            </w:r>
            <w:r>
              <w:rPr>
                <w:kern w:val="0"/>
                <w:sz w:val="24"/>
              </w:rPr>
              <w:t xml:space="preserve"> </w:t>
            </w:r>
          </w:p>
        </w:tc>
        <w:tc>
          <w:tcPr>
            <w:tcW w:w="1600" w:type="dxa"/>
            <w:tcBorders>
              <w:top w:val="nil"/>
              <w:left w:val="nil"/>
              <w:bottom w:val="single" w:color="auto" w:sz="4" w:space="0"/>
              <w:right w:val="single" w:color="auto" w:sz="4" w:space="0"/>
            </w:tcBorders>
            <w:vAlign w:val="center"/>
          </w:tcPr>
          <w:p w14:paraId="137ECF12">
            <w:pPr>
              <w:jc w:val="center"/>
              <w:rPr>
                <w:sz w:val="24"/>
              </w:rPr>
            </w:pPr>
            <w:r>
              <w:rPr>
                <w:sz w:val="24"/>
              </w:rPr>
              <w:t>12300</w:t>
            </w:r>
          </w:p>
        </w:tc>
        <w:tc>
          <w:tcPr>
            <w:tcW w:w="1738" w:type="dxa"/>
            <w:tcBorders>
              <w:top w:val="nil"/>
              <w:left w:val="nil"/>
              <w:bottom w:val="single" w:color="auto" w:sz="4" w:space="0"/>
              <w:right w:val="single" w:color="auto" w:sz="4" w:space="0"/>
            </w:tcBorders>
            <w:vAlign w:val="center"/>
          </w:tcPr>
          <w:p w14:paraId="02DAAA41">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19C22262">
            <w:pPr>
              <w:widowControl/>
              <w:jc w:val="center"/>
              <w:rPr>
                <w:rFonts w:ascii="宋体" w:hAnsi="宋体" w:cs="宋体"/>
                <w:kern w:val="0"/>
                <w:sz w:val="24"/>
              </w:rPr>
            </w:pPr>
            <w:r>
              <w:rPr>
                <w:rFonts w:hint="eastAsia" w:ascii="宋体" w:hAnsi="宋体" w:cs="宋体"/>
                <w:kern w:val="0"/>
                <w:sz w:val="24"/>
              </w:rPr>
              <w:t>全市范围</w:t>
            </w:r>
          </w:p>
        </w:tc>
      </w:tr>
      <w:tr w14:paraId="1C1E1FD6">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70D97E51">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62CFCE21">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5923A69F">
            <w:pPr>
              <w:widowControl/>
              <w:jc w:val="center"/>
              <w:rPr>
                <w:rFonts w:ascii="宋体" w:hAnsi="宋体" w:cs="宋体"/>
                <w:kern w:val="0"/>
                <w:sz w:val="24"/>
              </w:rPr>
            </w:pPr>
            <w:r>
              <w:rPr>
                <w:rFonts w:hint="eastAsia" w:ascii="宋体" w:hAnsi="宋体" w:cs="宋体"/>
                <w:kern w:val="0"/>
                <w:sz w:val="24"/>
              </w:rPr>
              <w:t>野生动植物保护</w:t>
            </w:r>
          </w:p>
        </w:tc>
        <w:tc>
          <w:tcPr>
            <w:tcW w:w="1339" w:type="dxa"/>
            <w:tcBorders>
              <w:top w:val="nil"/>
              <w:left w:val="nil"/>
              <w:bottom w:val="single" w:color="auto" w:sz="4" w:space="0"/>
              <w:right w:val="single" w:color="auto" w:sz="4" w:space="0"/>
            </w:tcBorders>
            <w:vAlign w:val="center"/>
          </w:tcPr>
          <w:p w14:paraId="47BC0B69">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140E9955">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0F1D11B9">
            <w:pPr>
              <w:jc w:val="center"/>
              <w:rPr>
                <w:sz w:val="24"/>
              </w:rPr>
            </w:pPr>
            <w:r>
              <w:rPr>
                <w:rFonts w:hint="eastAsia"/>
                <w:sz w:val="24"/>
              </w:rPr>
              <w:t>2</w:t>
            </w:r>
            <w:r>
              <w:rPr>
                <w:sz w:val="24"/>
              </w:rPr>
              <w:t>500</w:t>
            </w:r>
          </w:p>
        </w:tc>
        <w:tc>
          <w:tcPr>
            <w:tcW w:w="1738" w:type="dxa"/>
            <w:tcBorders>
              <w:top w:val="nil"/>
              <w:left w:val="nil"/>
              <w:bottom w:val="single" w:color="auto" w:sz="4" w:space="0"/>
              <w:right w:val="single" w:color="auto" w:sz="4" w:space="0"/>
            </w:tcBorders>
            <w:vAlign w:val="center"/>
          </w:tcPr>
          <w:p w14:paraId="693D9064">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79D93047">
            <w:pPr>
              <w:widowControl/>
              <w:jc w:val="center"/>
              <w:rPr>
                <w:rFonts w:ascii="宋体" w:hAnsi="宋体" w:cs="宋体"/>
                <w:kern w:val="0"/>
                <w:sz w:val="24"/>
              </w:rPr>
            </w:pPr>
            <w:r>
              <w:rPr>
                <w:rFonts w:hint="eastAsia" w:ascii="宋体" w:hAnsi="宋体" w:cs="宋体"/>
                <w:kern w:val="0"/>
                <w:sz w:val="24"/>
              </w:rPr>
              <w:t>全市范围</w:t>
            </w:r>
          </w:p>
        </w:tc>
      </w:tr>
      <w:tr w14:paraId="20E7991A">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4AB81AF3">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13EEBDB0">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48EFC182">
            <w:pPr>
              <w:widowControl/>
              <w:jc w:val="center"/>
              <w:rPr>
                <w:rFonts w:ascii="宋体" w:hAnsi="宋体" w:cs="宋体"/>
                <w:kern w:val="0"/>
                <w:sz w:val="24"/>
              </w:rPr>
            </w:pPr>
            <w:r>
              <w:rPr>
                <w:rFonts w:hint="eastAsia" w:ascii="宋体" w:hAnsi="宋体" w:cs="宋体"/>
                <w:kern w:val="0"/>
                <w:sz w:val="24"/>
              </w:rPr>
              <w:t>林业碳汇</w:t>
            </w:r>
          </w:p>
        </w:tc>
        <w:tc>
          <w:tcPr>
            <w:tcW w:w="1339" w:type="dxa"/>
            <w:tcBorders>
              <w:top w:val="nil"/>
              <w:left w:val="nil"/>
              <w:bottom w:val="single" w:color="auto" w:sz="4" w:space="0"/>
              <w:right w:val="single" w:color="auto" w:sz="4" w:space="0"/>
            </w:tcBorders>
            <w:vAlign w:val="center"/>
          </w:tcPr>
          <w:p w14:paraId="30DF7763">
            <w:pPr>
              <w:widowControl/>
              <w:jc w:val="center"/>
              <w:rPr>
                <w:kern w:val="0"/>
                <w:sz w:val="24"/>
              </w:rPr>
            </w:pPr>
            <w:r>
              <w:rPr>
                <w:kern w:val="0"/>
                <w:sz w:val="24"/>
              </w:rPr>
              <w:t>5万hm</w:t>
            </w:r>
            <w:r>
              <w:rPr>
                <w:kern w:val="0"/>
                <w:sz w:val="24"/>
                <w:vertAlign w:val="superscript"/>
              </w:rPr>
              <w:t>2</w:t>
            </w:r>
          </w:p>
        </w:tc>
        <w:tc>
          <w:tcPr>
            <w:tcW w:w="1560" w:type="dxa"/>
            <w:tcBorders>
              <w:top w:val="nil"/>
              <w:left w:val="nil"/>
              <w:bottom w:val="single" w:color="auto" w:sz="4" w:space="0"/>
              <w:right w:val="single" w:color="auto" w:sz="4" w:space="0"/>
            </w:tcBorders>
            <w:vAlign w:val="center"/>
          </w:tcPr>
          <w:p w14:paraId="07F3DEAB">
            <w:pPr>
              <w:widowControl/>
              <w:jc w:val="center"/>
              <w:rPr>
                <w:rFonts w:ascii="宋体" w:hAnsi="宋体" w:cs="宋体"/>
                <w:kern w:val="0"/>
                <w:sz w:val="24"/>
              </w:rPr>
            </w:pPr>
            <w:r>
              <w:rPr>
                <w:rFonts w:hint="eastAsia" w:ascii="宋体" w:hAnsi="宋体" w:cs="宋体"/>
                <w:kern w:val="0"/>
                <w:sz w:val="24"/>
              </w:rPr>
              <w:t>新建</w:t>
            </w:r>
            <w:r>
              <w:rPr>
                <w:kern w:val="0"/>
                <w:sz w:val="24"/>
              </w:rPr>
              <w:t xml:space="preserve"> </w:t>
            </w:r>
          </w:p>
        </w:tc>
        <w:tc>
          <w:tcPr>
            <w:tcW w:w="1600" w:type="dxa"/>
            <w:tcBorders>
              <w:top w:val="nil"/>
              <w:left w:val="nil"/>
              <w:bottom w:val="single" w:color="auto" w:sz="4" w:space="0"/>
              <w:right w:val="single" w:color="auto" w:sz="4" w:space="0"/>
            </w:tcBorders>
            <w:vAlign w:val="center"/>
          </w:tcPr>
          <w:p w14:paraId="31B20776">
            <w:pPr>
              <w:jc w:val="center"/>
              <w:rPr>
                <w:sz w:val="24"/>
              </w:rPr>
            </w:pPr>
            <w:r>
              <w:rPr>
                <w:sz w:val="24"/>
              </w:rPr>
              <w:t>60000</w:t>
            </w:r>
          </w:p>
        </w:tc>
        <w:tc>
          <w:tcPr>
            <w:tcW w:w="1738" w:type="dxa"/>
            <w:tcBorders>
              <w:top w:val="nil"/>
              <w:left w:val="nil"/>
              <w:bottom w:val="single" w:color="auto" w:sz="4" w:space="0"/>
              <w:right w:val="single" w:color="auto" w:sz="4" w:space="0"/>
            </w:tcBorders>
            <w:vAlign w:val="center"/>
          </w:tcPr>
          <w:p w14:paraId="15D4FC55">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26E100C7">
            <w:pPr>
              <w:widowControl/>
              <w:jc w:val="center"/>
              <w:rPr>
                <w:rFonts w:ascii="宋体" w:hAnsi="宋体" w:cs="宋体"/>
                <w:kern w:val="0"/>
                <w:sz w:val="24"/>
              </w:rPr>
            </w:pPr>
            <w:r>
              <w:rPr>
                <w:rFonts w:hint="eastAsia" w:ascii="宋体" w:hAnsi="宋体" w:cs="宋体"/>
                <w:kern w:val="0"/>
                <w:sz w:val="24"/>
              </w:rPr>
              <w:t>全市范围</w:t>
            </w:r>
          </w:p>
        </w:tc>
      </w:tr>
      <w:tr w14:paraId="2B06F811">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6FE946DF">
            <w:pPr>
              <w:widowControl/>
              <w:jc w:val="left"/>
              <w:rPr>
                <w:kern w:val="0"/>
                <w:sz w:val="24"/>
              </w:rPr>
            </w:pPr>
          </w:p>
        </w:tc>
        <w:tc>
          <w:tcPr>
            <w:tcW w:w="3844" w:type="dxa"/>
            <w:gridSpan w:val="2"/>
            <w:tcBorders>
              <w:top w:val="single" w:color="auto" w:sz="4" w:space="0"/>
              <w:left w:val="nil"/>
              <w:bottom w:val="single" w:color="auto" w:sz="4" w:space="0"/>
              <w:right w:val="single" w:color="auto" w:sz="4" w:space="0"/>
            </w:tcBorders>
            <w:vAlign w:val="center"/>
          </w:tcPr>
          <w:p w14:paraId="6350BD57">
            <w:pPr>
              <w:widowControl/>
              <w:jc w:val="center"/>
              <w:rPr>
                <w:rFonts w:ascii="宋体" w:hAnsi="宋体" w:cs="宋体"/>
                <w:b/>
                <w:bCs/>
                <w:kern w:val="0"/>
                <w:sz w:val="24"/>
              </w:rPr>
            </w:pPr>
            <w:r>
              <w:rPr>
                <w:rFonts w:hint="eastAsia" w:ascii="宋体" w:hAnsi="宋体" w:cs="宋体"/>
                <w:b/>
                <w:bCs/>
                <w:kern w:val="0"/>
                <w:sz w:val="24"/>
              </w:rPr>
              <w:t>小计</w:t>
            </w:r>
          </w:p>
        </w:tc>
        <w:tc>
          <w:tcPr>
            <w:tcW w:w="1339" w:type="dxa"/>
            <w:tcBorders>
              <w:top w:val="nil"/>
              <w:left w:val="nil"/>
              <w:bottom w:val="single" w:color="auto" w:sz="4" w:space="0"/>
              <w:right w:val="single" w:color="auto" w:sz="4" w:space="0"/>
            </w:tcBorders>
            <w:vAlign w:val="center"/>
          </w:tcPr>
          <w:p w14:paraId="2B7C94D7">
            <w:pPr>
              <w:widowControl/>
              <w:jc w:val="center"/>
              <w:rPr>
                <w:b/>
                <w:bCs/>
                <w:kern w:val="0"/>
                <w:sz w:val="24"/>
              </w:rPr>
            </w:pPr>
            <w:r>
              <w:rPr>
                <w:b/>
                <w:bCs/>
                <w:kern w:val="0"/>
                <w:sz w:val="24"/>
              </w:rPr>
              <w:t>　</w:t>
            </w:r>
          </w:p>
        </w:tc>
        <w:tc>
          <w:tcPr>
            <w:tcW w:w="1560" w:type="dxa"/>
            <w:tcBorders>
              <w:top w:val="nil"/>
              <w:left w:val="nil"/>
              <w:bottom w:val="single" w:color="auto" w:sz="4" w:space="0"/>
              <w:right w:val="single" w:color="auto" w:sz="4" w:space="0"/>
            </w:tcBorders>
            <w:vAlign w:val="center"/>
          </w:tcPr>
          <w:p w14:paraId="6566B499">
            <w:pPr>
              <w:widowControl/>
              <w:jc w:val="center"/>
              <w:rPr>
                <w:rFonts w:ascii="宋体" w:hAnsi="宋体" w:cs="宋体"/>
                <w:kern w:val="0"/>
                <w:sz w:val="24"/>
              </w:rPr>
            </w:pPr>
            <w:r>
              <w:rPr>
                <w:rFonts w:hint="eastAsia" w:ascii="宋体" w:hAnsi="宋体" w:cs="宋体"/>
                <w:kern w:val="0"/>
                <w:sz w:val="24"/>
              </w:rPr>
              <w:t>　</w:t>
            </w:r>
          </w:p>
        </w:tc>
        <w:tc>
          <w:tcPr>
            <w:tcW w:w="1600" w:type="dxa"/>
            <w:tcBorders>
              <w:top w:val="nil"/>
              <w:left w:val="nil"/>
              <w:bottom w:val="single" w:color="auto" w:sz="4" w:space="0"/>
              <w:right w:val="single" w:color="auto" w:sz="4" w:space="0"/>
            </w:tcBorders>
            <w:vAlign w:val="center"/>
          </w:tcPr>
          <w:p w14:paraId="302B5023">
            <w:pPr>
              <w:widowControl/>
              <w:jc w:val="center"/>
              <w:rPr>
                <w:b/>
                <w:bCs/>
                <w:kern w:val="0"/>
                <w:sz w:val="24"/>
              </w:rPr>
            </w:pPr>
            <w:r>
              <w:rPr>
                <w:rFonts w:hint="eastAsia"/>
                <w:b/>
                <w:bCs/>
                <w:sz w:val="24"/>
              </w:rPr>
              <w:t>103200</w:t>
            </w:r>
          </w:p>
        </w:tc>
        <w:tc>
          <w:tcPr>
            <w:tcW w:w="1738" w:type="dxa"/>
            <w:tcBorders>
              <w:top w:val="nil"/>
              <w:left w:val="nil"/>
              <w:bottom w:val="single" w:color="auto" w:sz="4" w:space="0"/>
              <w:right w:val="single" w:color="auto" w:sz="4" w:space="0"/>
            </w:tcBorders>
            <w:vAlign w:val="center"/>
          </w:tcPr>
          <w:p w14:paraId="08AE208A">
            <w:pPr>
              <w:jc w:val="center"/>
              <w:rPr>
                <w:b/>
                <w:bCs/>
                <w:sz w:val="24"/>
              </w:rPr>
            </w:pPr>
          </w:p>
        </w:tc>
        <w:tc>
          <w:tcPr>
            <w:tcW w:w="3544" w:type="dxa"/>
            <w:tcBorders>
              <w:top w:val="nil"/>
              <w:left w:val="nil"/>
              <w:bottom w:val="single" w:color="auto" w:sz="4" w:space="0"/>
              <w:right w:val="single" w:color="auto" w:sz="4" w:space="0"/>
            </w:tcBorders>
            <w:vAlign w:val="center"/>
          </w:tcPr>
          <w:p w14:paraId="1B230F19">
            <w:pPr>
              <w:widowControl/>
              <w:jc w:val="center"/>
              <w:rPr>
                <w:rFonts w:ascii="宋体" w:hAnsi="宋体" w:cs="宋体"/>
                <w:kern w:val="0"/>
                <w:sz w:val="24"/>
              </w:rPr>
            </w:pPr>
            <w:r>
              <w:rPr>
                <w:rFonts w:hint="eastAsia" w:ascii="宋体" w:hAnsi="宋体" w:cs="宋体"/>
                <w:kern w:val="0"/>
                <w:sz w:val="24"/>
              </w:rPr>
              <w:t>　</w:t>
            </w:r>
          </w:p>
        </w:tc>
      </w:tr>
      <w:tr w14:paraId="41437CCC">
        <w:tblPrEx>
          <w:tblCellMar>
            <w:top w:w="0" w:type="dxa"/>
            <w:left w:w="108" w:type="dxa"/>
            <w:bottom w:w="0" w:type="dxa"/>
            <w:right w:w="108" w:type="dxa"/>
          </w:tblCellMar>
        </w:tblPrEx>
        <w:trPr>
          <w:trHeight w:val="315" w:hRule="atLeast"/>
        </w:trPr>
        <w:tc>
          <w:tcPr>
            <w:tcW w:w="707" w:type="dxa"/>
            <w:vMerge w:val="restart"/>
            <w:tcBorders>
              <w:top w:val="nil"/>
              <w:left w:val="single" w:color="auto" w:sz="4" w:space="0"/>
              <w:bottom w:val="single" w:color="auto" w:sz="4" w:space="0"/>
              <w:right w:val="single" w:color="auto" w:sz="4" w:space="0"/>
            </w:tcBorders>
            <w:vAlign w:val="center"/>
          </w:tcPr>
          <w:p w14:paraId="456770AD">
            <w:pPr>
              <w:widowControl/>
              <w:jc w:val="center"/>
              <w:rPr>
                <w:kern w:val="0"/>
                <w:sz w:val="24"/>
              </w:rPr>
            </w:pPr>
            <w:r>
              <w:rPr>
                <w:kern w:val="0"/>
                <w:sz w:val="24"/>
              </w:rPr>
              <w:t>2</w:t>
            </w:r>
          </w:p>
        </w:tc>
        <w:tc>
          <w:tcPr>
            <w:tcW w:w="1176" w:type="dxa"/>
            <w:vMerge w:val="restart"/>
            <w:tcBorders>
              <w:top w:val="nil"/>
              <w:left w:val="single" w:color="auto" w:sz="4" w:space="0"/>
              <w:bottom w:val="single" w:color="auto" w:sz="4" w:space="0"/>
              <w:right w:val="single" w:color="auto" w:sz="4" w:space="0"/>
            </w:tcBorders>
            <w:vAlign w:val="center"/>
          </w:tcPr>
          <w:p w14:paraId="2C5A8826">
            <w:pPr>
              <w:widowControl/>
              <w:jc w:val="center"/>
              <w:rPr>
                <w:rFonts w:ascii="宋体" w:hAnsi="宋体" w:cs="宋体"/>
                <w:kern w:val="0"/>
                <w:sz w:val="24"/>
              </w:rPr>
            </w:pPr>
            <w:r>
              <w:rPr>
                <w:rFonts w:hint="eastAsia" w:ascii="宋体" w:hAnsi="宋体" w:cs="宋体"/>
                <w:kern w:val="0"/>
                <w:sz w:val="24"/>
              </w:rPr>
              <w:t>中长期（</w:t>
            </w:r>
            <w:r>
              <w:rPr>
                <w:kern w:val="0"/>
                <w:sz w:val="24"/>
              </w:rPr>
              <w:t>2026</w:t>
            </w:r>
            <w:r>
              <w:rPr>
                <w:rFonts w:hint="eastAsia" w:ascii="宋体" w:hAnsi="宋体" w:cs="宋体"/>
                <w:kern w:val="0"/>
                <w:sz w:val="24"/>
              </w:rPr>
              <w:t>～</w:t>
            </w:r>
            <w:r>
              <w:rPr>
                <w:kern w:val="0"/>
                <w:sz w:val="24"/>
              </w:rPr>
              <w:t>2035</w:t>
            </w:r>
            <w:r>
              <w:rPr>
                <w:rFonts w:hint="eastAsia" w:ascii="宋体" w:hAnsi="宋体" w:cs="宋体"/>
                <w:kern w:val="0"/>
                <w:sz w:val="24"/>
              </w:rPr>
              <w:t>年）</w:t>
            </w:r>
          </w:p>
        </w:tc>
        <w:tc>
          <w:tcPr>
            <w:tcW w:w="2668" w:type="dxa"/>
            <w:tcBorders>
              <w:top w:val="nil"/>
              <w:left w:val="nil"/>
              <w:bottom w:val="single" w:color="auto" w:sz="4" w:space="0"/>
              <w:right w:val="single" w:color="auto" w:sz="4" w:space="0"/>
            </w:tcBorders>
            <w:vAlign w:val="center"/>
          </w:tcPr>
          <w:p w14:paraId="2825D17A">
            <w:pPr>
              <w:widowControl/>
              <w:jc w:val="center"/>
              <w:rPr>
                <w:rFonts w:ascii="宋体" w:hAnsi="宋体" w:cs="宋体"/>
                <w:kern w:val="0"/>
                <w:sz w:val="24"/>
              </w:rPr>
            </w:pPr>
            <w:r>
              <w:rPr>
                <w:rFonts w:hint="eastAsia" w:ascii="宋体" w:hAnsi="宋体" w:cs="宋体"/>
                <w:kern w:val="0"/>
                <w:sz w:val="24"/>
              </w:rPr>
              <w:t>湿地保护与修复建设</w:t>
            </w:r>
          </w:p>
        </w:tc>
        <w:tc>
          <w:tcPr>
            <w:tcW w:w="1339" w:type="dxa"/>
            <w:tcBorders>
              <w:top w:val="nil"/>
              <w:left w:val="nil"/>
              <w:bottom w:val="single" w:color="auto" w:sz="4" w:space="0"/>
              <w:right w:val="single" w:color="auto" w:sz="4" w:space="0"/>
            </w:tcBorders>
            <w:vAlign w:val="center"/>
          </w:tcPr>
          <w:p w14:paraId="4DE20D96">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74300C48">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7254095C">
            <w:pPr>
              <w:jc w:val="center"/>
              <w:rPr>
                <w:sz w:val="24"/>
              </w:rPr>
            </w:pPr>
            <w:r>
              <w:rPr>
                <w:rFonts w:hint="eastAsia"/>
                <w:sz w:val="24"/>
              </w:rPr>
              <w:t>9000</w:t>
            </w:r>
          </w:p>
        </w:tc>
        <w:tc>
          <w:tcPr>
            <w:tcW w:w="1738" w:type="dxa"/>
            <w:tcBorders>
              <w:top w:val="nil"/>
              <w:left w:val="nil"/>
              <w:bottom w:val="single" w:color="auto" w:sz="4" w:space="0"/>
              <w:right w:val="single" w:color="auto" w:sz="4" w:space="0"/>
            </w:tcBorders>
            <w:vAlign w:val="center"/>
          </w:tcPr>
          <w:p w14:paraId="1CF7FB25">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706A837E">
            <w:pPr>
              <w:widowControl/>
              <w:jc w:val="center"/>
              <w:rPr>
                <w:rFonts w:ascii="宋体" w:hAnsi="宋体" w:cs="宋体"/>
                <w:kern w:val="0"/>
                <w:sz w:val="24"/>
              </w:rPr>
            </w:pPr>
            <w:r>
              <w:rPr>
                <w:rFonts w:hint="eastAsia" w:ascii="宋体" w:hAnsi="宋体" w:cs="宋体"/>
                <w:kern w:val="0"/>
                <w:sz w:val="24"/>
              </w:rPr>
              <w:t>全市范围</w:t>
            </w:r>
          </w:p>
        </w:tc>
      </w:tr>
      <w:tr w14:paraId="03393255">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55177A0C">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00B1F355">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45D0B69B">
            <w:pPr>
              <w:widowControl/>
              <w:jc w:val="center"/>
              <w:rPr>
                <w:rFonts w:ascii="宋体" w:hAnsi="宋体" w:cs="宋体"/>
                <w:kern w:val="0"/>
                <w:sz w:val="24"/>
              </w:rPr>
            </w:pPr>
            <w:r>
              <w:rPr>
                <w:rFonts w:hint="eastAsia" w:ascii="宋体" w:hAnsi="宋体" w:cs="宋体"/>
                <w:kern w:val="0"/>
                <w:sz w:val="24"/>
              </w:rPr>
              <w:t>古树名木保护与复壮</w:t>
            </w:r>
          </w:p>
        </w:tc>
        <w:tc>
          <w:tcPr>
            <w:tcW w:w="1339" w:type="dxa"/>
            <w:tcBorders>
              <w:top w:val="nil"/>
              <w:left w:val="nil"/>
              <w:bottom w:val="single" w:color="auto" w:sz="4" w:space="0"/>
              <w:right w:val="single" w:color="auto" w:sz="4" w:space="0"/>
            </w:tcBorders>
            <w:vAlign w:val="center"/>
          </w:tcPr>
          <w:p w14:paraId="72FA3106">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03379AE2">
            <w:pPr>
              <w:widowControl/>
              <w:jc w:val="center"/>
              <w:rPr>
                <w:rFonts w:ascii="宋体" w:hAnsi="宋体" w:cs="宋体"/>
                <w:kern w:val="0"/>
                <w:sz w:val="24"/>
              </w:rPr>
            </w:pPr>
            <w:r>
              <w:rPr>
                <w:rFonts w:hint="eastAsia" w:ascii="宋体" w:hAnsi="宋体" w:cs="宋体"/>
                <w:kern w:val="0"/>
                <w:sz w:val="24"/>
              </w:rPr>
              <w:t>续建</w:t>
            </w:r>
          </w:p>
        </w:tc>
        <w:tc>
          <w:tcPr>
            <w:tcW w:w="1600" w:type="dxa"/>
            <w:tcBorders>
              <w:top w:val="nil"/>
              <w:left w:val="nil"/>
              <w:bottom w:val="single" w:color="auto" w:sz="4" w:space="0"/>
              <w:right w:val="single" w:color="auto" w:sz="4" w:space="0"/>
            </w:tcBorders>
            <w:vAlign w:val="center"/>
          </w:tcPr>
          <w:p w14:paraId="073D9291">
            <w:pPr>
              <w:jc w:val="center"/>
              <w:rPr>
                <w:sz w:val="24"/>
              </w:rPr>
            </w:pPr>
            <w:r>
              <w:rPr>
                <w:sz w:val="24"/>
              </w:rPr>
              <w:t>6000</w:t>
            </w:r>
          </w:p>
        </w:tc>
        <w:tc>
          <w:tcPr>
            <w:tcW w:w="1738" w:type="dxa"/>
            <w:tcBorders>
              <w:top w:val="nil"/>
              <w:left w:val="nil"/>
              <w:bottom w:val="single" w:color="auto" w:sz="4" w:space="0"/>
              <w:right w:val="single" w:color="auto" w:sz="4" w:space="0"/>
            </w:tcBorders>
            <w:vAlign w:val="center"/>
          </w:tcPr>
          <w:p w14:paraId="602C7C93">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25B3F135">
            <w:pPr>
              <w:widowControl/>
              <w:jc w:val="center"/>
              <w:rPr>
                <w:rFonts w:ascii="宋体" w:hAnsi="宋体" w:cs="宋体"/>
                <w:kern w:val="0"/>
                <w:sz w:val="24"/>
              </w:rPr>
            </w:pPr>
            <w:r>
              <w:rPr>
                <w:rFonts w:hint="eastAsia" w:ascii="宋体" w:hAnsi="宋体" w:cs="宋体"/>
                <w:kern w:val="0"/>
                <w:sz w:val="24"/>
              </w:rPr>
              <w:t>全市范围</w:t>
            </w:r>
          </w:p>
        </w:tc>
      </w:tr>
      <w:tr w14:paraId="0EDE26F3">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444CA392">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4B2BF6D3">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70A8E4E0">
            <w:pPr>
              <w:widowControl/>
              <w:jc w:val="center"/>
              <w:rPr>
                <w:rFonts w:ascii="宋体" w:hAnsi="宋体" w:cs="宋体"/>
                <w:kern w:val="0"/>
                <w:sz w:val="24"/>
              </w:rPr>
            </w:pPr>
            <w:r>
              <w:rPr>
                <w:rFonts w:hint="eastAsia" w:ascii="宋体" w:hAnsi="宋体" w:cs="宋体"/>
                <w:kern w:val="0"/>
                <w:sz w:val="24"/>
              </w:rPr>
              <w:t>有害生物防治</w:t>
            </w:r>
          </w:p>
        </w:tc>
        <w:tc>
          <w:tcPr>
            <w:tcW w:w="1339" w:type="dxa"/>
            <w:tcBorders>
              <w:top w:val="nil"/>
              <w:left w:val="nil"/>
              <w:bottom w:val="single" w:color="auto" w:sz="4" w:space="0"/>
              <w:right w:val="single" w:color="auto" w:sz="4" w:space="0"/>
            </w:tcBorders>
            <w:vAlign w:val="center"/>
          </w:tcPr>
          <w:p w14:paraId="1A61589E">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239166F6">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1C27C2BC">
            <w:pPr>
              <w:jc w:val="center"/>
              <w:rPr>
                <w:sz w:val="24"/>
              </w:rPr>
            </w:pPr>
            <w:r>
              <w:rPr>
                <w:sz w:val="24"/>
              </w:rPr>
              <w:t>4500</w:t>
            </w:r>
          </w:p>
        </w:tc>
        <w:tc>
          <w:tcPr>
            <w:tcW w:w="1738" w:type="dxa"/>
            <w:tcBorders>
              <w:top w:val="nil"/>
              <w:left w:val="nil"/>
              <w:bottom w:val="single" w:color="auto" w:sz="4" w:space="0"/>
              <w:right w:val="single" w:color="auto" w:sz="4" w:space="0"/>
            </w:tcBorders>
            <w:vAlign w:val="center"/>
          </w:tcPr>
          <w:p w14:paraId="3C667832">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421DDE18">
            <w:pPr>
              <w:widowControl/>
              <w:jc w:val="center"/>
              <w:rPr>
                <w:rFonts w:ascii="宋体" w:hAnsi="宋体" w:cs="宋体"/>
                <w:kern w:val="0"/>
                <w:sz w:val="24"/>
              </w:rPr>
            </w:pPr>
            <w:r>
              <w:rPr>
                <w:rFonts w:hint="eastAsia" w:ascii="宋体" w:hAnsi="宋体" w:cs="宋体"/>
                <w:kern w:val="0"/>
                <w:sz w:val="24"/>
              </w:rPr>
              <w:t>全市范围</w:t>
            </w:r>
          </w:p>
        </w:tc>
      </w:tr>
      <w:tr w14:paraId="5C0529B7">
        <w:tblPrEx>
          <w:tblCellMar>
            <w:top w:w="0" w:type="dxa"/>
            <w:left w:w="108" w:type="dxa"/>
            <w:bottom w:w="0" w:type="dxa"/>
            <w:right w:w="108" w:type="dxa"/>
          </w:tblCellMar>
        </w:tblPrEx>
        <w:trPr>
          <w:trHeight w:val="855" w:hRule="atLeast"/>
        </w:trPr>
        <w:tc>
          <w:tcPr>
            <w:tcW w:w="707" w:type="dxa"/>
            <w:vMerge w:val="continue"/>
            <w:tcBorders>
              <w:top w:val="nil"/>
              <w:left w:val="single" w:color="auto" w:sz="4" w:space="0"/>
              <w:bottom w:val="single" w:color="auto" w:sz="4" w:space="0"/>
              <w:right w:val="single" w:color="auto" w:sz="4" w:space="0"/>
            </w:tcBorders>
            <w:vAlign w:val="center"/>
          </w:tcPr>
          <w:p w14:paraId="7B88DECA">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4CD7D328">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0ECC9567">
            <w:pPr>
              <w:widowControl/>
              <w:jc w:val="center"/>
              <w:rPr>
                <w:rFonts w:ascii="宋体" w:hAnsi="宋体" w:cs="宋体"/>
                <w:kern w:val="0"/>
                <w:sz w:val="24"/>
              </w:rPr>
            </w:pPr>
            <w:r>
              <w:rPr>
                <w:rFonts w:hint="eastAsia" w:ascii="宋体" w:hAnsi="宋体" w:cs="宋体"/>
                <w:kern w:val="0"/>
                <w:sz w:val="24"/>
              </w:rPr>
              <w:t>野生动植物保护</w:t>
            </w:r>
          </w:p>
        </w:tc>
        <w:tc>
          <w:tcPr>
            <w:tcW w:w="1339" w:type="dxa"/>
            <w:tcBorders>
              <w:top w:val="nil"/>
              <w:left w:val="nil"/>
              <w:bottom w:val="single" w:color="auto" w:sz="4" w:space="0"/>
              <w:right w:val="single" w:color="auto" w:sz="4" w:space="0"/>
            </w:tcBorders>
            <w:vAlign w:val="center"/>
          </w:tcPr>
          <w:p w14:paraId="598C4B29">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vAlign w:val="center"/>
          </w:tcPr>
          <w:p w14:paraId="762C4D51">
            <w:pPr>
              <w:widowControl/>
              <w:jc w:val="center"/>
              <w:rPr>
                <w:rFonts w:ascii="宋体" w:hAnsi="宋体" w:cs="宋体"/>
                <w:kern w:val="0"/>
                <w:sz w:val="24"/>
              </w:rPr>
            </w:pPr>
            <w:r>
              <w:rPr>
                <w:rFonts w:hint="eastAsia" w:ascii="宋体" w:hAnsi="宋体" w:cs="宋体"/>
                <w:kern w:val="0"/>
                <w:sz w:val="24"/>
              </w:rPr>
              <w:t>提质</w:t>
            </w:r>
          </w:p>
        </w:tc>
        <w:tc>
          <w:tcPr>
            <w:tcW w:w="1600" w:type="dxa"/>
            <w:tcBorders>
              <w:top w:val="nil"/>
              <w:left w:val="nil"/>
              <w:bottom w:val="single" w:color="auto" w:sz="4" w:space="0"/>
              <w:right w:val="single" w:color="auto" w:sz="4" w:space="0"/>
            </w:tcBorders>
            <w:vAlign w:val="center"/>
          </w:tcPr>
          <w:p w14:paraId="1C9F0C12">
            <w:pPr>
              <w:jc w:val="center"/>
              <w:rPr>
                <w:sz w:val="24"/>
              </w:rPr>
            </w:pPr>
            <w:r>
              <w:rPr>
                <w:rFonts w:hint="eastAsia"/>
                <w:sz w:val="24"/>
              </w:rPr>
              <w:t>2</w:t>
            </w:r>
            <w:r>
              <w:rPr>
                <w:sz w:val="24"/>
              </w:rPr>
              <w:t>000</w:t>
            </w:r>
          </w:p>
        </w:tc>
        <w:tc>
          <w:tcPr>
            <w:tcW w:w="1738" w:type="dxa"/>
            <w:tcBorders>
              <w:top w:val="nil"/>
              <w:left w:val="nil"/>
              <w:bottom w:val="single" w:color="auto" w:sz="4" w:space="0"/>
              <w:right w:val="single" w:color="auto" w:sz="4" w:space="0"/>
            </w:tcBorders>
            <w:vAlign w:val="center"/>
          </w:tcPr>
          <w:p w14:paraId="1C9EDAE5">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15403A31">
            <w:pPr>
              <w:widowControl/>
              <w:jc w:val="center"/>
              <w:rPr>
                <w:rFonts w:ascii="宋体" w:hAnsi="宋体" w:cs="宋体"/>
                <w:kern w:val="0"/>
                <w:sz w:val="24"/>
              </w:rPr>
            </w:pPr>
            <w:r>
              <w:rPr>
                <w:rFonts w:hint="eastAsia" w:ascii="宋体" w:hAnsi="宋体" w:cs="宋体"/>
                <w:kern w:val="0"/>
                <w:sz w:val="24"/>
              </w:rPr>
              <w:t>全市范围、自然保护区、森林公园、交通干线和重要河流两侧</w:t>
            </w:r>
          </w:p>
        </w:tc>
      </w:tr>
      <w:tr w14:paraId="6CD35F42">
        <w:tblPrEx>
          <w:tblCellMar>
            <w:top w:w="0" w:type="dxa"/>
            <w:left w:w="108" w:type="dxa"/>
            <w:bottom w:w="0" w:type="dxa"/>
            <w:right w:w="108" w:type="dxa"/>
          </w:tblCellMar>
        </w:tblPrEx>
        <w:trPr>
          <w:trHeight w:val="315" w:hRule="atLeast"/>
        </w:trPr>
        <w:tc>
          <w:tcPr>
            <w:tcW w:w="707" w:type="dxa"/>
            <w:vMerge w:val="continue"/>
            <w:tcBorders>
              <w:top w:val="nil"/>
              <w:left w:val="single" w:color="auto" w:sz="4" w:space="0"/>
              <w:bottom w:val="single" w:color="auto" w:sz="4" w:space="0"/>
              <w:right w:val="single" w:color="auto" w:sz="4" w:space="0"/>
            </w:tcBorders>
            <w:vAlign w:val="center"/>
          </w:tcPr>
          <w:p w14:paraId="4D1E28FF">
            <w:pPr>
              <w:widowControl/>
              <w:jc w:val="left"/>
              <w:rPr>
                <w:kern w:val="0"/>
                <w:sz w:val="24"/>
              </w:rPr>
            </w:pPr>
          </w:p>
        </w:tc>
        <w:tc>
          <w:tcPr>
            <w:tcW w:w="1176" w:type="dxa"/>
            <w:vMerge w:val="continue"/>
            <w:tcBorders>
              <w:top w:val="nil"/>
              <w:left w:val="single" w:color="auto" w:sz="4" w:space="0"/>
              <w:bottom w:val="single" w:color="auto" w:sz="4" w:space="0"/>
              <w:right w:val="single" w:color="auto" w:sz="4" w:space="0"/>
            </w:tcBorders>
            <w:vAlign w:val="center"/>
          </w:tcPr>
          <w:p w14:paraId="19179E79">
            <w:pPr>
              <w:widowControl/>
              <w:jc w:val="left"/>
              <w:rPr>
                <w:rFonts w:ascii="宋体" w:hAnsi="宋体" w:cs="宋体"/>
                <w:kern w:val="0"/>
                <w:sz w:val="24"/>
              </w:rPr>
            </w:pPr>
          </w:p>
        </w:tc>
        <w:tc>
          <w:tcPr>
            <w:tcW w:w="2668" w:type="dxa"/>
            <w:tcBorders>
              <w:top w:val="nil"/>
              <w:left w:val="nil"/>
              <w:bottom w:val="single" w:color="auto" w:sz="4" w:space="0"/>
              <w:right w:val="single" w:color="auto" w:sz="4" w:space="0"/>
            </w:tcBorders>
            <w:vAlign w:val="center"/>
          </w:tcPr>
          <w:p w14:paraId="3A2747A6">
            <w:pPr>
              <w:widowControl/>
              <w:jc w:val="center"/>
              <w:rPr>
                <w:rFonts w:ascii="宋体" w:hAnsi="宋体" w:cs="宋体"/>
                <w:kern w:val="0"/>
                <w:sz w:val="24"/>
              </w:rPr>
            </w:pPr>
            <w:r>
              <w:rPr>
                <w:rFonts w:hint="eastAsia" w:ascii="宋体" w:hAnsi="宋体" w:cs="宋体"/>
                <w:kern w:val="0"/>
                <w:sz w:val="24"/>
              </w:rPr>
              <w:t>林业碳汇</w:t>
            </w:r>
          </w:p>
        </w:tc>
        <w:tc>
          <w:tcPr>
            <w:tcW w:w="1339" w:type="dxa"/>
            <w:tcBorders>
              <w:top w:val="nil"/>
              <w:left w:val="nil"/>
              <w:bottom w:val="single" w:color="auto" w:sz="4" w:space="0"/>
              <w:right w:val="single" w:color="auto" w:sz="4" w:space="0"/>
            </w:tcBorders>
            <w:vAlign w:val="center"/>
          </w:tcPr>
          <w:p w14:paraId="0FF46DEB">
            <w:pPr>
              <w:widowControl/>
              <w:jc w:val="center"/>
              <w:rPr>
                <w:kern w:val="0"/>
                <w:sz w:val="24"/>
              </w:rPr>
            </w:pPr>
            <w:r>
              <w:rPr>
                <w:kern w:val="0"/>
                <w:sz w:val="24"/>
              </w:rPr>
              <w:t>5万hm</w:t>
            </w:r>
            <w:r>
              <w:rPr>
                <w:kern w:val="0"/>
                <w:sz w:val="24"/>
                <w:vertAlign w:val="superscript"/>
              </w:rPr>
              <w:t>2</w:t>
            </w:r>
          </w:p>
        </w:tc>
        <w:tc>
          <w:tcPr>
            <w:tcW w:w="1560" w:type="dxa"/>
            <w:tcBorders>
              <w:top w:val="nil"/>
              <w:left w:val="nil"/>
              <w:bottom w:val="single" w:color="auto" w:sz="4" w:space="0"/>
              <w:right w:val="single" w:color="auto" w:sz="4" w:space="0"/>
            </w:tcBorders>
            <w:vAlign w:val="center"/>
          </w:tcPr>
          <w:p w14:paraId="2F299635">
            <w:pPr>
              <w:widowControl/>
              <w:jc w:val="center"/>
              <w:rPr>
                <w:rFonts w:ascii="宋体" w:hAnsi="宋体" w:cs="宋体"/>
                <w:kern w:val="0"/>
                <w:sz w:val="24"/>
              </w:rPr>
            </w:pPr>
            <w:r>
              <w:rPr>
                <w:rFonts w:hint="eastAsia" w:ascii="宋体" w:hAnsi="宋体" w:cs="宋体"/>
                <w:kern w:val="0"/>
                <w:sz w:val="24"/>
              </w:rPr>
              <w:t>续建</w:t>
            </w:r>
            <w:r>
              <w:rPr>
                <w:kern w:val="0"/>
                <w:sz w:val="24"/>
              </w:rPr>
              <w:t xml:space="preserve"> </w:t>
            </w:r>
          </w:p>
        </w:tc>
        <w:tc>
          <w:tcPr>
            <w:tcW w:w="1600" w:type="dxa"/>
            <w:tcBorders>
              <w:top w:val="nil"/>
              <w:left w:val="nil"/>
              <w:bottom w:val="single" w:color="auto" w:sz="4" w:space="0"/>
              <w:right w:val="single" w:color="auto" w:sz="4" w:space="0"/>
            </w:tcBorders>
            <w:vAlign w:val="center"/>
          </w:tcPr>
          <w:p w14:paraId="69742DD1">
            <w:pPr>
              <w:jc w:val="center"/>
              <w:rPr>
                <w:sz w:val="24"/>
              </w:rPr>
            </w:pPr>
            <w:r>
              <w:rPr>
                <w:sz w:val="24"/>
              </w:rPr>
              <w:t>120000</w:t>
            </w:r>
          </w:p>
        </w:tc>
        <w:tc>
          <w:tcPr>
            <w:tcW w:w="1738" w:type="dxa"/>
            <w:tcBorders>
              <w:top w:val="nil"/>
              <w:left w:val="nil"/>
              <w:bottom w:val="single" w:color="auto" w:sz="4" w:space="0"/>
              <w:right w:val="single" w:color="auto" w:sz="4" w:space="0"/>
            </w:tcBorders>
            <w:vAlign w:val="center"/>
          </w:tcPr>
          <w:p w14:paraId="290E9E78">
            <w:pPr>
              <w:widowControl/>
              <w:jc w:val="center"/>
              <w:rPr>
                <w:rFonts w:ascii="宋体" w:hAnsi="宋体" w:cs="宋体"/>
                <w:kern w:val="0"/>
                <w:sz w:val="24"/>
              </w:rPr>
            </w:pPr>
            <w:r>
              <w:rPr>
                <w:rFonts w:hint="eastAsia" w:ascii="宋体" w:hAnsi="宋体" w:cs="宋体"/>
                <w:kern w:val="0"/>
                <w:sz w:val="24"/>
              </w:rPr>
              <w:t>政府投资</w:t>
            </w:r>
            <w:r>
              <w:rPr>
                <w:kern w:val="0"/>
                <w:sz w:val="24"/>
              </w:rPr>
              <w:t xml:space="preserve"> </w:t>
            </w:r>
          </w:p>
        </w:tc>
        <w:tc>
          <w:tcPr>
            <w:tcW w:w="3544" w:type="dxa"/>
            <w:tcBorders>
              <w:top w:val="nil"/>
              <w:left w:val="nil"/>
              <w:bottom w:val="single" w:color="auto" w:sz="4" w:space="0"/>
              <w:right w:val="single" w:color="auto" w:sz="4" w:space="0"/>
            </w:tcBorders>
            <w:vAlign w:val="center"/>
          </w:tcPr>
          <w:p w14:paraId="30E21884">
            <w:pPr>
              <w:widowControl/>
              <w:jc w:val="center"/>
              <w:rPr>
                <w:rFonts w:ascii="宋体" w:hAnsi="宋体" w:cs="宋体"/>
                <w:kern w:val="0"/>
                <w:sz w:val="24"/>
              </w:rPr>
            </w:pPr>
            <w:r>
              <w:rPr>
                <w:rFonts w:hint="eastAsia" w:ascii="宋体" w:hAnsi="宋体" w:cs="宋体"/>
                <w:kern w:val="0"/>
                <w:sz w:val="24"/>
              </w:rPr>
              <w:t>全市范围</w:t>
            </w:r>
          </w:p>
        </w:tc>
      </w:tr>
      <w:tr w14:paraId="6CDECC7C">
        <w:tblPrEx>
          <w:tblCellMar>
            <w:top w:w="0" w:type="dxa"/>
            <w:left w:w="108" w:type="dxa"/>
            <w:bottom w:w="0" w:type="dxa"/>
            <w:right w:w="108" w:type="dxa"/>
          </w:tblCellMar>
        </w:tblPrEx>
        <w:trPr>
          <w:trHeight w:val="179" w:hRule="atLeast"/>
        </w:trPr>
        <w:tc>
          <w:tcPr>
            <w:tcW w:w="707" w:type="dxa"/>
            <w:vMerge w:val="continue"/>
            <w:tcBorders>
              <w:top w:val="nil"/>
              <w:left w:val="single" w:color="auto" w:sz="4" w:space="0"/>
              <w:bottom w:val="single" w:color="auto" w:sz="4" w:space="0"/>
              <w:right w:val="single" w:color="auto" w:sz="4" w:space="0"/>
            </w:tcBorders>
            <w:vAlign w:val="center"/>
          </w:tcPr>
          <w:p w14:paraId="03FA68FB">
            <w:pPr>
              <w:widowControl/>
              <w:jc w:val="left"/>
              <w:rPr>
                <w:kern w:val="0"/>
                <w:sz w:val="24"/>
              </w:rPr>
            </w:pPr>
          </w:p>
        </w:tc>
        <w:tc>
          <w:tcPr>
            <w:tcW w:w="3844" w:type="dxa"/>
            <w:gridSpan w:val="2"/>
            <w:tcBorders>
              <w:top w:val="single" w:color="auto" w:sz="4" w:space="0"/>
              <w:left w:val="nil"/>
              <w:bottom w:val="single" w:color="auto" w:sz="4" w:space="0"/>
              <w:right w:val="single" w:color="auto" w:sz="4" w:space="0"/>
            </w:tcBorders>
            <w:noWrap/>
            <w:vAlign w:val="center"/>
          </w:tcPr>
          <w:p w14:paraId="389A1E5B">
            <w:pPr>
              <w:widowControl/>
              <w:jc w:val="center"/>
              <w:rPr>
                <w:rFonts w:ascii="宋体" w:hAnsi="宋体" w:cs="宋体"/>
                <w:b/>
                <w:bCs/>
                <w:kern w:val="0"/>
                <w:sz w:val="24"/>
              </w:rPr>
            </w:pPr>
            <w:r>
              <w:rPr>
                <w:rFonts w:hint="eastAsia" w:ascii="宋体" w:hAnsi="宋体" w:cs="宋体"/>
                <w:b/>
                <w:bCs/>
                <w:kern w:val="0"/>
                <w:sz w:val="24"/>
              </w:rPr>
              <w:t>小计</w:t>
            </w:r>
          </w:p>
        </w:tc>
        <w:tc>
          <w:tcPr>
            <w:tcW w:w="1339" w:type="dxa"/>
            <w:tcBorders>
              <w:top w:val="nil"/>
              <w:left w:val="nil"/>
              <w:bottom w:val="single" w:color="auto" w:sz="4" w:space="0"/>
              <w:right w:val="single" w:color="auto" w:sz="4" w:space="0"/>
            </w:tcBorders>
            <w:vAlign w:val="center"/>
          </w:tcPr>
          <w:p w14:paraId="0B8B533E">
            <w:pPr>
              <w:widowControl/>
              <w:jc w:val="center"/>
              <w:rPr>
                <w:kern w:val="0"/>
                <w:sz w:val="24"/>
              </w:rPr>
            </w:pPr>
            <w:r>
              <w:rPr>
                <w:kern w:val="0"/>
                <w:sz w:val="24"/>
              </w:rPr>
              <w:t>—</w:t>
            </w:r>
          </w:p>
        </w:tc>
        <w:tc>
          <w:tcPr>
            <w:tcW w:w="1560" w:type="dxa"/>
            <w:tcBorders>
              <w:top w:val="nil"/>
              <w:left w:val="nil"/>
              <w:bottom w:val="single" w:color="auto" w:sz="4" w:space="0"/>
              <w:right w:val="single" w:color="auto" w:sz="4" w:space="0"/>
            </w:tcBorders>
            <w:noWrap/>
            <w:vAlign w:val="center"/>
          </w:tcPr>
          <w:p w14:paraId="7B051E41">
            <w:pPr>
              <w:widowControl/>
              <w:jc w:val="left"/>
              <w:rPr>
                <w:rFonts w:ascii="宋体" w:hAnsi="宋体" w:cs="宋体"/>
                <w:kern w:val="0"/>
                <w:sz w:val="24"/>
              </w:rPr>
            </w:pPr>
            <w:r>
              <w:rPr>
                <w:rFonts w:hint="eastAsia" w:ascii="宋体" w:hAnsi="宋体" w:cs="宋体"/>
                <w:kern w:val="0"/>
                <w:sz w:val="24"/>
              </w:rPr>
              <w:t>　</w:t>
            </w:r>
          </w:p>
        </w:tc>
        <w:tc>
          <w:tcPr>
            <w:tcW w:w="1600" w:type="dxa"/>
            <w:tcBorders>
              <w:top w:val="nil"/>
              <w:left w:val="nil"/>
              <w:bottom w:val="single" w:color="auto" w:sz="4" w:space="0"/>
              <w:right w:val="single" w:color="auto" w:sz="4" w:space="0"/>
            </w:tcBorders>
            <w:noWrap/>
            <w:vAlign w:val="center"/>
          </w:tcPr>
          <w:p w14:paraId="0E668E51">
            <w:pPr>
              <w:widowControl/>
              <w:jc w:val="center"/>
              <w:rPr>
                <w:b/>
                <w:bCs/>
                <w:kern w:val="0"/>
                <w:sz w:val="24"/>
              </w:rPr>
            </w:pPr>
            <w:r>
              <w:rPr>
                <w:rFonts w:hint="eastAsia"/>
                <w:b/>
                <w:bCs/>
                <w:kern w:val="0"/>
                <w:sz w:val="24"/>
              </w:rPr>
              <w:t>141500</w:t>
            </w:r>
          </w:p>
        </w:tc>
        <w:tc>
          <w:tcPr>
            <w:tcW w:w="1738" w:type="dxa"/>
            <w:tcBorders>
              <w:top w:val="nil"/>
              <w:left w:val="nil"/>
              <w:bottom w:val="single" w:color="auto" w:sz="4" w:space="0"/>
              <w:right w:val="single" w:color="auto" w:sz="4" w:space="0"/>
            </w:tcBorders>
            <w:noWrap/>
            <w:vAlign w:val="center"/>
          </w:tcPr>
          <w:p w14:paraId="0F6E5FB8">
            <w:pPr>
              <w:jc w:val="center"/>
              <w:rPr>
                <w:b/>
                <w:bCs/>
                <w:sz w:val="24"/>
              </w:rPr>
            </w:pPr>
          </w:p>
        </w:tc>
        <w:tc>
          <w:tcPr>
            <w:tcW w:w="3544" w:type="dxa"/>
            <w:tcBorders>
              <w:top w:val="nil"/>
              <w:left w:val="nil"/>
              <w:bottom w:val="single" w:color="auto" w:sz="4" w:space="0"/>
              <w:right w:val="single" w:color="auto" w:sz="4" w:space="0"/>
            </w:tcBorders>
            <w:noWrap/>
            <w:vAlign w:val="center"/>
          </w:tcPr>
          <w:p w14:paraId="185AC25B">
            <w:pPr>
              <w:widowControl/>
              <w:jc w:val="left"/>
              <w:rPr>
                <w:rFonts w:ascii="宋体" w:hAnsi="宋体" w:cs="宋体"/>
                <w:kern w:val="0"/>
                <w:sz w:val="24"/>
              </w:rPr>
            </w:pPr>
            <w:r>
              <w:rPr>
                <w:rFonts w:hint="eastAsia" w:ascii="宋体" w:hAnsi="宋体" w:cs="宋体"/>
                <w:kern w:val="0"/>
                <w:sz w:val="24"/>
              </w:rPr>
              <w:t>　</w:t>
            </w:r>
          </w:p>
        </w:tc>
      </w:tr>
    </w:tbl>
    <w:p w14:paraId="3A57B06D">
      <w:pPr>
        <w:rPr>
          <w:rFonts w:hint="eastAsia" w:ascii="仿宋_GB2312" w:eastAsia="仿宋_GB2312"/>
          <w:b/>
          <w:sz w:val="24"/>
        </w:rPr>
      </w:pPr>
    </w:p>
    <w:p w14:paraId="51181758">
      <w:pPr>
        <w:rPr>
          <w:rFonts w:eastAsia="黑体"/>
          <w:b/>
          <w:bCs/>
          <w:sz w:val="32"/>
          <w:szCs w:val="32"/>
        </w:rPr>
        <w:sectPr>
          <w:pgSz w:w="16838" w:h="11905" w:orient="landscape"/>
          <w:pgMar w:top="1803" w:right="1440" w:bottom="1803" w:left="1440" w:header="851" w:footer="992" w:gutter="0"/>
          <w:cols w:space="720" w:num="1"/>
          <w:docGrid w:type="lines" w:linePitch="319" w:charSpace="0"/>
        </w:sectPr>
      </w:pPr>
      <w:r>
        <w:rPr>
          <w:rFonts w:hint="eastAsia" w:ascii="仿宋_GB2312" w:eastAsia="仿宋_GB2312"/>
          <w:b/>
          <w:sz w:val="24"/>
        </w:rPr>
        <w:t>注：</w:t>
      </w:r>
      <w:r>
        <w:rPr>
          <w:rFonts w:hint="eastAsia" w:ascii="仿宋_GB2312" w:eastAsia="仿宋_GB2312"/>
          <w:sz w:val="24"/>
        </w:rPr>
        <w:t>政府投资根据地方财力和批复资金为建设投资依据，社会投资根据市场和企业实际投入为建设投资依据。</w:t>
      </w:r>
    </w:p>
    <w:bookmarkEnd w:id="141"/>
    <w:bookmarkEnd w:id="142"/>
    <w:bookmarkEnd w:id="143"/>
    <w:bookmarkEnd w:id="144"/>
    <w:bookmarkEnd w:id="145"/>
    <w:p w14:paraId="24446B54">
      <w:pPr>
        <w:pStyle w:val="15"/>
        <w:spacing w:before="0"/>
        <w:rPr>
          <w:rFonts w:ascii="黑体" w:hAnsi="黑体" w:eastAsia="黑体"/>
          <w:sz w:val="36"/>
        </w:rPr>
      </w:pPr>
      <w:bookmarkStart w:id="146" w:name="_Toc13121"/>
      <w:bookmarkStart w:id="147" w:name="_Toc9451"/>
      <w:bookmarkStart w:id="148" w:name="_Toc22563"/>
      <w:bookmarkStart w:id="149" w:name="_Toc30700"/>
      <w:bookmarkStart w:id="150" w:name="_Toc13690"/>
      <w:bookmarkStart w:id="151" w:name="_Toc14583"/>
      <w:bookmarkStart w:id="152" w:name="_Toc82546111"/>
      <w:bookmarkStart w:id="153" w:name="_Toc9013"/>
      <w:bookmarkStart w:id="154" w:name="_Toc10314"/>
      <w:bookmarkStart w:id="155" w:name="_Toc3085"/>
      <w:r>
        <w:rPr>
          <w:rFonts w:ascii="黑体" w:hAnsi="黑体" w:eastAsia="黑体"/>
          <w:sz w:val="36"/>
        </w:rPr>
        <w:t>第十</w:t>
      </w:r>
      <w:r>
        <w:rPr>
          <w:rFonts w:hint="eastAsia" w:ascii="黑体" w:hAnsi="黑体" w:eastAsia="黑体"/>
          <w:sz w:val="36"/>
        </w:rPr>
        <w:t>二</w:t>
      </w:r>
      <w:r>
        <w:rPr>
          <w:rFonts w:ascii="黑体" w:hAnsi="黑体" w:eastAsia="黑体"/>
          <w:sz w:val="36"/>
        </w:rPr>
        <w:t>章 投资</w:t>
      </w:r>
      <w:bookmarkEnd w:id="146"/>
      <w:r>
        <w:rPr>
          <w:rFonts w:ascii="黑体" w:hAnsi="黑体" w:eastAsia="黑体"/>
          <w:sz w:val="36"/>
        </w:rPr>
        <w:t>估算与资金筹措</w:t>
      </w:r>
      <w:bookmarkEnd w:id="147"/>
      <w:bookmarkEnd w:id="148"/>
      <w:bookmarkEnd w:id="149"/>
      <w:bookmarkEnd w:id="150"/>
      <w:bookmarkEnd w:id="151"/>
      <w:bookmarkEnd w:id="152"/>
      <w:bookmarkEnd w:id="153"/>
      <w:bookmarkEnd w:id="154"/>
      <w:bookmarkEnd w:id="155"/>
    </w:p>
    <w:p w14:paraId="6FD63F9E">
      <w:pPr>
        <w:pStyle w:val="3"/>
        <w:spacing w:before="319" w:beforeLines="100" w:after="0" w:line="240" w:lineRule="auto"/>
        <w:rPr>
          <w:rFonts w:ascii="Times New Roman" w:hAnsi="Times New Roman" w:eastAsia="黑体"/>
        </w:rPr>
      </w:pPr>
      <w:bookmarkStart w:id="156" w:name="_Toc25008"/>
      <w:bookmarkStart w:id="157" w:name="_Toc82546112"/>
      <w:bookmarkStart w:id="158" w:name="_Toc29253"/>
      <w:bookmarkStart w:id="159" w:name="_Toc19742"/>
      <w:bookmarkStart w:id="160" w:name="_Toc2397"/>
      <w:bookmarkStart w:id="161" w:name="_Toc10011"/>
      <w:bookmarkStart w:id="162" w:name="_Toc13107"/>
      <w:bookmarkStart w:id="163" w:name="_Toc14220"/>
      <w:bookmarkStart w:id="164" w:name="_Toc19463"/>
      <w:r>
        <w:rPr>
          <w:rFonts w:ascii="Times New Roman" w:hAnsi="Times New Roman" w:eastAsia="黑体"/>
        </w:rPr>
        <w:t>1</w:t>
      </w:r>
      <w:r>
        <w:rPr>
          <w:rFonts w:hint="eastAsia" w:ascii="Times New Roman" w:hAnsi="Times New Roman" w:eastAsia="黑体"/>
        </w:rPr>
        <w:t>2</w:t>
      </w:r>
      <w:r>
        <w:rPr>
          <w:rFonts w:ascii="Times New Roman" w:hAnsi="Times New Roman" w:eastAsia="黑体"/>
        </w:rPr>
        <w:t>.1 估算范围</w:t>
      </w:r>
      <w:bookmarkEnd w:id="156"/>
      <w:bookmarkEnd w:id="157"/>
      <w:bookmarkEnd w:id="158"/>
      <w:bookmarkEnd w:id="159"/>
      <w:bookmarkEnd w:id="160"/>
      <w:bookmarkEnd w:id="161"/>
      <w:bookmarkEnd w:id="162"/>
      <w:bookmarkEnd w:id="163"/>
      <w:bookmarkEnd w:id="164"/>
    </w:p>
    <w:p w14:paraId="095382E4">
      <w:pPr>
        <w:spacing w:line="360" w:lineRule="auto"/>
        <w:ind w:firstLine="640" w:firstLineChars="200"/>
        <w:rPr>
          <w:rFonts w:eastAsia="仿宋_GB2312"/>
          <w:sz w:val="32"/>
          <w:szCs w:val="32"/>
        </w:rPr>
      </w:pPr>
      <w:r>
        <w:rPr>
          <w:rFonts w:eastAsia="仿宋_GB2312"/>
          <w:sz w:val="32"/>
          <w:szCs w:val="32"/>
        </w:rPr>
        <w:t>本投资估算范围为三亚市林业</w:t>
      </w:r>
      <w:r>
        <w:rPr>
          <w:rFonts w:hint="eastAsia" w:eastAsia="仿宋_GB2312"/>
          <w:sz w:val="32"/>
          <w:szCs w:val="32"/>
        </w:rPr>
        <w:t>产业</w:t>
      </w:r>
      <w:r>
        <w:rPr>
          <w:rFonts w:eastAsia="仿宋_GB2312"/>
          <w:sz w:val="32"/>
          <w:szCs w:val="32"/>
        </w:rPr>
        <w:t>发展</w:t>
      </w:r>
      <w:r>
        <w:rPr>
          <w:rFonts w:hint="eastAsia" w:eastAsia="仿宋_GB2312"/>
          <w:sz w:val="32"/>
          <w:szCs w:val="32"/>
        </w:rPr>
        <w:t>规划</w:t>
      </w:r>
      <w:r>
        <w:rPr>
          <w:rFonts w:eastAsia="仿宋_GB2312"/>
          <w:sz w:val="32"/>
          <w:szCs w:val="32"/>
        </w:rPr>
        <w:t>（2021</w:t>
      </w:r>
      <w:r>
        <w:rPr>
          <w:rFonts w:hint="eastAsia" w:eastAsia="仿宋_GB2312"/>
          <w:sz w:val="32"/>
          <w:szCs w:val="32"/>
        </w:rPr>
        <w:t>~</w:t>
      </w:r>
      <w:r>
        <w:rPr>
          <w:rFonts w:eastAsia="仿宋_GB2312"/>
          <w:sz w:val="32"/>
          <w:szCs w:val="32"/>
        </w:rPr>
        <w:t>2035年）内森林旅游与森林康养产业、林木种苗与花卉产业、用材林产业、经济林产业、林下经济产业</w:t>
      </w:r>
      <w:r>
        <w:rPr>
          <w:rFonts w:hint="eastAsia" w:eastAsia="仿宋_GB2312"/>
          <w:sz w:val="32"/>
          <w:szCs w:val="32"/>
        </w:rPr>
        <w:t>、</w:t>
      </w:r>
      <w:r>
        <w:rPr>
          <w:rFonts w:eastAsia="仿宋_GB2312"/>
          <w:sz w:val="32"/>
          <w:szCs w:val="32"/>
        </w:rPr>
        <w:t>生态保护与修复产业6个</w:t>
      </w:r>
      <w:r>
        <w:rPr>
          <w:rFonts w:hint="eastAsia" w:eastAsia="仿宋_GB2312"/>
          <w:sz w:val="32"/>
          <w:szCs w:val="32"/>
        </w:rPr>
        <w:t>方面</w:t>
      </w:r>
      <w:r>
        <w:rPr>
          <w:rFonts w:eastAsia="仿宋_GB2312"/>
          <w:sz w:val="32"/>
          <w:szCs w:val="32"/>
        </w:rPr>
        <w:t>。</w:t>
      </w:r>
    </w:p>
    <w:p w14:paraId="63D12D48">
      <w:pPr>
        <w:pStyle w:val="3"/>
        <w:spacing w:before="0" w:after="0" w:line="240" w:lineRule="auto"/>
        <w:rPr>
          <w:rFonts w:ascii="Times New Roman" w:hAnsi="Times New Roman" w:eastAsia="黑体"/>
        </w:rPr>
      </w:pPr>
      <w:bookmarkStart w:id="165" w:name="_Toc704"/>
      <w:bookmarkStart w:id="166" w:name="_Toc13804"/>
      <w:bookmarkStart w:id="167" w:name="_Toc28510"/>
      <w:bookmarkStart w:id="168" w:name="_Toc25549"/>
      <w:bookmarkStart w:id="169" w:name="_Toc28750"/>
      <w:bookmarkStart w:id="170" w:name="_Toc9295"/>
      <w:bookmarkStart w:id="171" w:name="_Toc22644"/>
      <w:bookmarkStart w:id="172" w:name="_Toc82546113"/>
      <w:bookmarkStart w:id="173" w:name="_Toc4647"/>
      <w:r>
        <w:rPr>
          <w:rFonts w:ascii="Times New Roman" w:hAnsi="Times New Roman" w:eastAsia="黑体"/>
        </w:rPr>
        <w:t>1</w:t>
      </w:r>
      <w:r>
        <w:rPr>
          <w:rFonts w:hint="eastAsia" w:ascii="Times New Roman" w:hAnsi="Times New Roman" w:eastAsia="黑体"/>
        </w:rPr>
        <w:t>2</w:t>
      </w:r>
      <w:r>
        <w:rPr>
          <w:rFonts w:ascii="Times New Roman" w:hAnsi="Times New Roman" w:eastAsia="黑体"/>
        </w:rPr>
        <w:t>.2 估算依据</w:t>
      </w:r>
      <w:bookmarkEnd w:id="165"/>
      <w:bookmarkEnd w:id="166"/>
      <w:bookmarkEnd w:id="167"/>
      <w:bookmarkEnd w:id="168"/>
      <w:bookmarkEnd w:id="169"/>
      <w:bookmarkEnd w:id="170"/>
      <w:bookmarkEnd w:id="171"/>
      <w:bookmarkEnd w:id="172"/>
      <w:bookmarkEnd w:id="173"/>
    </w:p>
    <w:p w14:paraId="6AC315CB">
      <w:pPr>
        <w:spacing w:line="360" w:lineRule="auto"/>
        <w:ind w:firstLine="640" w:firstLineChars="200"/>
        <w:rPr>
          <w:rFonts w:eastAsia="仿宋_GB2312"/>
          <w:sz w:val="32"/>
          <w:szCs w:val="32"/>
        </w:rPr>
      </w:pPr>
      <w:r>
        <w:rPr>
          <w:rFonts w:eastAsia="仿宋_GB2312"/>
          <w:sz w:val="32"/>
          <w:szCs w:val="32"/>
        </w:rPr>
        <w:t>(1)国家和地方的相应政策、法规。</w:t>
      </w:r>
    </w:p>
    <w:p w14:paraId="59280980">
      <w:pPr>
        <w:spacing w:line="360" w:lineRule="auto"/>
        <w:ind w:firstLine="640" w:firstLineChars="200"/>
        <w:rPr>
          <w:rFonts w:eastAsia="仿宋_GB2312"/>
          <w:sz w:val="32"/>
          <w:szCs w:val="32"/>
        </w:rPr>
      </w:pPr>
      <w:r>
        <w:rPr>
          <w:rFonts w:eastAsia="仿宋_GB2312"/>
          <w:sz w:val="32"/>
          <w:szCs w:val="32"/>
        </w:rPr>
        <w:t>(2)三亚相关行业技术经济指标。</w:t>
      </w:r>
    </w:p>
    <w:p w14:paraId="70015DE5">
      <w:pPr>
        <w:spacing w:line="360" w:lineRule="auto"/>
        <w:ind w:firstLine="640" w:firstLineChars="200"/>
        <w:rPr>
          <w:rFonts w:eastAsia="仿宋_GB2312"/>
          <w:sz w:val="32"/>
          <w:szCs w:val="32"/>
        </w:rPr>
      </w:pPr>
      <w:r>
        <w:rPr>
          <w:rFonts w:eastAsia="仿宋_GB2312"/>
          <w:sz w:val="32"/>
          <w:szCs w:val="32"/>
        </w:rPr>
        <w:t>(3)现行市场价格。</w:t>
      </w:r>
    </w:p>
    <w:p w14:paraId="7F7C17B1">
      <w:pPr>
        <w:spacing w:line="360" w:lineRule="auto"/>
        <w:ind w:firstLine="640" w:firstLineChars="200"/>
        <w:rPr>
          <w:rFonts w:eastAsia="仿宋_GB2312"/>
          <w:sz w:val="32"/>
          <w:szCs w:val="32"/>
        </w:rPr>
      </w:pPr>
      <w:r>
        <w:rPr>
          <w:rFonts w:eastAsia="仿宋_GB2312"/>
          <w:sz w:val="32"/>
          <w:szCs w:val="32"/>
        </w:rPr>
        <w:t>(4)社会平均用工量。</w:t>
      </w:r>
    </w:p>
    <w:p w14:paraId="56A5EB18">
      <w:pPr>
        <w:pStyle w:val="3"/>
        <w:spacing w:before="0" w:after="0" w:line="240" w:lineRule="auto"/>
        <w:rPr>
          <w:rFonts w:ascii="Times New Roman" w:hAnsi="Times New Roman" w:eastAsia="黑体"/>
        </w:rPr>
      </w:pPr>
      <w:bookmarkStart w:id="174" w:name="_Toc22185"/>
      <w:bookmarkStart w:id="175" w:name="_Toc30545"/>
      <w:bookmarkStart w:id="176" w:name="_Toc13472"/>
      <w:bookmarkStart w:id="177" w:name="_Toc1969"/>
      <w:bookmarkStart w:id="178" w:name="_Toc17151"/>
      <w:bookmarkStart w:id="179" w:name="_Toc82546114"/>
      <w:bookmarkStart w:id="180" w:name="_Toc24337"/>
      <w:bookmarkStart w:id="181" w:name="_Toc5461"/>
      <w:bookmarkStart w:id="182" w:name="_Toc29885"/>
      <w:r>
        <w:rPr>
          <w:rFonts w:ascii="Times New Roman" w:hAnsi="Times New Roman" w:eastAsia="黑体"/>
        </w:rPr>
        <w:t>1</w:t>
      </w:r>
      <w:r>
        <w:rPr>
          <w:rFonts w:hint="eastAsia" w:ascii="Times New Roman" w:hAnsi="Times New Roman" w:eastAsia="黑体"/>
        </w:rPr>
        <w:t>2</w:t>
      </w:r>
      <w:r>
        <w:rPr>
          <w:rFonts w:ascii="Times New Roman" w:hAnsi="Times New Roman" w:eastAsia="黑体"/>
        </w:rPr>
        <w:t>.3 估算结果</w:t>
      </w:r>
      <w:bookmarkEnd w:id="174"/>
      <w:bookmarkEnd w:id="175"/>
      <w:bookmarkEnd w:id="176"/>
      <w:bookmarkEnd w:id="177"/>
      <w:bookmarkEnd w:id="178"/>
      <w:bookmarkEnd w:id="179"/>
      <w:bookmarkEnd w:id="180"/>
      <w:bookmarkEnd w:id="181"/>
      <w:bookmarkEnd w:id="182"/>
    </w:p>
    <w:p w14:paraId="3638D30F">
      <w:pPr>
        <w:ind w:firstLine="640" w:firstLineChars="200"/>
        <w:jc w:val="left"/>
        <w:rPr>
          <w:rFonts w:eastAsia="仿宋_GB2312"/>
          <w:sz w:val="32"/>
          <w:szCs w:val="32"/>
        </w:rPr>
      </w:pPr>
      <w:r>
        <w:rPr>
          <w:rFonts w:eastAsia="仿宋_GB2312"/>
          <w:sz w:val="32"/>
          <w:szCs w:val="32"/>
        </w:rPr>
        <w:t>经估算，三亚市林业产业发展规划（2021-2035</w:t>
      </w:r>
      <w:r>
        <w:rPr>
          <w:rFonts w:hint="eastAsia" w:eastAsia="仿宋_GB2312"/>
          <w:sz w:val="32"/>
          <w:szCs w:val="32"/>
        </w:rPr>
        <w:t>年），15年计划总投资1784300万元。其中</w:t>
      </w:r>
      <w:r>
        <w:rPr>
          <w:rFonts w:eastAsia="仿宋_GB2312"/>
          <w:sz w:val="32"/>
          <w:szCs w:val="32"/>
        </w:rPr>
        <w:t>2021~2025</w:t>
      </w:r>
      <w:r>
        <w:rPr>
          <w:rFonts w:hint="eastAsia" w:eastAsia="仿宋_GB2312"/>
          <w:sz w:val="32"/>
          <w:szCs w:val="32"/>
        </w:rPr>
        <w:t>年累计投入资金730850万元，</w:t>
      </w:r>
      <w:r>
        <w:rPr>
          <w:rFonts w:eastAsia="仿宋_GB2312"/>
          <w:sz w:val="32"/>
          <w:szCs w:val="32"/>
        </w:rPr>
        <w:t>2026~2035</w:t>
      </w:r>
      <w:r>
        <w:rPr>
          <w:rFonts w:hint="eastAsia" w:eastAsia="仿宋_GB2312"/>
          <w:sz w:val="32"/>
          <w:szCs w:val="32"/>
        </w:rPr>
        <w:t>年累计投入资金1053450万元。各专项产业投资如下：</w:t>
      </w:r>
    </w:p>
    <w:p w14:paraId="3D05AA09">
      <w:pPr>
        <w:ind w:firstLine="640" w:firstLineChars="200"/>
        <w:jc w:val="left"/>
        <w:rPr>
          <w:rFonts w:eastAsia="仿宋_GB2312"/>
          <w:sz w:val="32"/>
          <w:szCs w:val="32"/>
        </w:rPr>
      </w:pPr>
      <w:r>
        <w:rPr>
          <w:rFonts w:eastAsia="仿宋_GB2312"/>
          <w:sz w:val="32"/>
          <w:szCs w:val="32"/>
        </w:rPr>
        <w:t>（1</w:t>
      </w:r>
      <w:r>
        <w:rPr>
          <w:rFonts w:hint="eastAsia" w:eastAsia="仿宋_GB2312"/>
          <w:sz w:val="32"/>
          <w:szCs w:val="32"/>
        </w:rPr>
        <w:t>）森林旅游与康养产业投资967900万元，占总投资的54.25</w:t>
      </w:r>
      <w:r>
        <w:rPr>
          <w:rFonts w:eastAsia="仿宋_GB2312"/>
          <w:sz w:val="32"/>
          <w:szCs w:val="32"/>
        </w:rPr>
        <w:t>%</w:t>
      </w:r>
      <w:r>
        <w:rPr>
          <w:rFonts w:hint="eastAsia" w:eastAsia="仿宋_GB2312"/>
          <w:sz w:val="32"/>
          <w:szCs w:val="32"/>
        </w:rPr>
        <w:t>；</w:t>
      </w:r>
    </w:p>
    <w:p w14:paraId="1D58EEF8">
      <w:pPr>
        <w:ind w:firstLine="640" w:firstLineChars="200"/>
        <w:jc w:val="left"/>
        <w:rPr>
          <w:rFonts w:eastAsia="仿宋_GB2312"/>
          <w:sz w:val="32"/>
          <w:szCs w:val="32"/>
        </w:rPr>
      </w:pPr>
      <w:r>
        <w:rPr>
          <w:rFonts w:eastAsia="仿宋_GB2312"/>
          <w:sz w:val="32"/>
          <w:szCs w:val="32"/>
        </w:rPr>
        <w:t>（2</w:t>
      </w:r>
      <w:r>
        <w:rPr>
          <w:rFonts w:hint="eastAsia" w:eastAsia="仿宋_GB2312"/>
          <w:sz w:val="32"/>
          <w:szCs w:val="32"/>
        </w:rPr>
        <w:t>）林木种苗与花卉产业投资333000万元，占总投资的18.66</w:t>
      </w:r>
      <w:r>
        <w:rPr>
          <w:rFonts w:eastAsia="仿宋_GB2312"/>
          <w:sz w:val="32"/>
          <w:szCs w:val="32"/>
        </w:rPr>
        <w:t xml:space="preserve"> %</w:t>
      </w:r>
      <w:r>
        <w:rPr>
          <w:rFonts w:hint="eastAsia" w:eastAsia="仿宋_GB2312"/>
          <w:sz w:val="32"/>
          <w:szCs w:val="32"/>
        </w:rPr>
        <w:t>；</w:t>
      </w:r>
    </w:p>
    <w:p w14:paraId="77D44F72">
      <w:pPr>
        <w:ind w:firstLine="640" w:firstLineChars="200"/>
        <w:jc w:val="left"/>
        <w:rPr>
          <w:rFonts w:eastAsia="仿宋_GB2312"/>
          <w:sz w:val="32"/>
          <w:szCs w:val="32"/>
        </w:rPr>
      </w:pPr>
      <w:r>
        <w:rPr>
          <w:rFonts w:eastAsia="仿宋_GB2312"/>
          <w:sz w:val="32"/>
          <w:szCs w:val="32"/>
        </w:rPr>
        <w:t>（3</w:t>
      </w:r>
      <w:r>
        <w:rPr>
          <w:rFonts w:hint="eastAsia" w:eastAsia="仿宋_GB2312"/>
          <w:sz w:val="32"/>
          <w:szCs w:val="32"/>
        </w:rPr>
        <w:t>）用材林产业投资86000万元，占总投资的4.82</w:t>
      </w:r>
      <w:r>
        <w:rPr>
          <w:rFonts w:eastAsia="仿宋_GB2312"/>
          <w:sz w:val="32"/>
          <w:szCs w:val="32"/>
        </w:rPr>
        <w:t>%</w:t>
      </w:r>
      <w:r>
        <w:rPr>
          <w:rFonts w:hint="eastAsia" w:eastAsia="仿宋_GB2312"/>
          <w:sz w:val="32"/>
          <w:szCs w:val="32"/>
        </w:rPr>
        <w:t>；</w:t>
      </w:r>
    </w:p>
    <w:p w14:paraId="26F8C0D3">
      <w:pPr>
        <w:ind w:firstLine="640" w:firstLineChars="200"/>
        <w:jc w:val="left"/>
        <w:rPr>
          <w:rFonts w:eastAsia="仿宋_GB2312"/>
          <w:sz w:val="32"/>
          <w:szCs w:val="32"/>
        </w:rPr>
      </w:pPr>
      <w:r>
        <w:rPr>
          <w:rFonts w:eastAsia="仿宋_GB2312"/>
          <w:sz w:val="32"/>
          <w:szCs w:val="32"/>
        </w:rPr>
        <w:t>（4</w:t>
      </w:r>
      <w:r>
        <w:rPr>
          <w:rFonts w:hint="eastAsia" w:eastAsia="仿宋_GB2312"/>
          <w:sz w:val="32"/>
          <w:szCs w:val="32"/>
        </w:rPr>
        <w:t>）经济林产业投资123500万元，占总投资的6.92</w:t>
      </w:r>
      <w:r>
        <w:rPr>
          <w:rFonts w:eastAsia="仿宋_GB2312"/>
          <w:sz w:val="32"/>
          <w:szCs w:val="32"/>
        </w:rPr>
        <w:t>%</w:t>
      </w:r>
      <w:r>
        <w:rPr>
          <w:rFonts w:hint="eastAsia" w:eastAsia="仿宋_GB2312"/>
          <w:sz w:val="32"/>
          <w:szCs w:val="32"/>
        </w:rPr>
        <w:t>；</w:t>
      </w:r>
    </w:p>
    <w:p w14:paraId="300A3499">
      <w:pPr>
        <w:ind w:firstLine="640" w:firstLineChars="200"/>
        <w:jc w:val="left"/>
        <w:rPr>
          <w:rFonts w:eastAsia="仿宋_GB2312"/>
          <w:sz w:val="32"/>
          <w:szCs w:val="32"/>
        </w:rPr>
      </w:pPr>
      <w:r>
        <w:rPr>
          <w:rFonts w:eastAsia="仿宋_GB2312"/>
          <w:sz w:val="32"/>
          <w:szCs w:val="32"/>
        </w:rPr>
        <w:t>（5</w:t>
      </w:r>
      <w:r>
        <w:rPr>
          <w:rFonts w:hint="eastAsia" w:eastAsia="仿宋_GB2312"/>
          <w:sz w:val="32"/>
          <w:szCs w:val="32"/>
        </w:rPr>
        <w:t>）林下经济产业投资29200万元，占总投资的1.64</w:t>
      </w:r>
      <w:r>
        <w:rPr>
          <w:rFonts w:eastAsia="仿宋_GB2312"/>
          <w:sz w:val="32"/>
          <w:szCs w:val="32"/>
        </w:rPr>
        <w:t>%</w:t>
      </w:r>
      <w:r>
        <w:rPr>
          <w:rFonts w:hint="eastAsia" w:eastAsia="仿宋_GB2312"/>
          <w:sz w:val="32"/>
          <w:szCs w:val="32"/>
        </w:rPr>
        <w:t>；</w:t>
      </w:r>
    </w:p>
    <w:p w14:paraId="1290922C">
      <w:pPr>
        <w:ind w:firstLine="640" w:firstLineChars="200"/>
        <w:jc w:val="left"/>
        <w:rPr>
          <w:rFonts w:eastAsia="仿宋_GB2312"/>
          <w:sz w:val="32"/>
          <w:szCs w:val="32"/>
        </w:rPr>
      </w:pPr>
      <w:r>
        <w:rPr>
          <w:rFonts w:eastAsia="仿宋_GB2312"/>
          <w:sz w:val="32"/>
          <w:szCs w:val="32"/>
        </w:rPr>
        <w:t>（6</w:t>
      </w:r>
      <w:r>
        <w:rPr>
          <w:rFonts w:hint="eastAsia" w:eastAsia="仿宋_GB2312"/>
          <w:sz w:val="32"/>
          <w:szCs w:val="32"/>
        </w:rPr>
        <w:t>）生态保护与修复产业投资244700万元，占总投资的13.71</w:t>
      </w:r>
      <w:r>
        <w:rPr>
          <w:rFonts w:eastAsia="仿宋_GB2312"/>
          <w:sz w:val="32"/>
          <w:szCs w:val="32"/>
        </w:rPr>
        <w:t>%</w:t>
      </w:r>
      <w:r>
        <w:rPr>
          <w:rFonts w:hint="eastAsia" w:eastAsia="仿宋_GB2312"/>
          <w:sz w:val="32"/>
          <w:szCs w:val="32"/>
        </w:rPr>
        <w:t>。</w:t>
      </w:r>
      <w:r>
        <w:rPr>
          <w:rFonts w:eastAsia="仿宋_GB2312"/>
          <w:sz w:val="32"/>
          <w:szCs w:val="32"/>
        </w:rPr>
        <w:t>详见</w:t>
      </w:r>
      <w:r>
        <w:rPr>
          <w:rFonts w:hint="eastAsia" w:eastAsia="仿宋_GB2312"/>
          <w:sz w:val="32"/>
          <w:szCs w:val="32"/>
        </w:rPr>
        <w:t>附表3</w:t>
      </w:r>
      <w:r>
        <w:rPr>
          <w:rFonts w:eastAsia="仿宋_GB2312"/>
          <w:sz w:val="32"/>
          <w:szCs w:val="32"/>
        </w:rPr>
        <w:t>。</w:t>
      </w:r>
    </w:p>
    <w:p w14:paraId="4F446B7D">
      <w:pPr>
        <w:pStyle w:val="3"/>
        <w:spacing w:before="0" w:after="0" w:line="240" w:lineRule="auto"/>
        <w:rPr>
          <w:rFonts w:ascii="Times New Roman" w:hAnsi="Times New Roman" w:eastAsia="黑体"/>
        </w:rPr>
      </w:pPr>
      <w:bookmarkStart w:id="183" w:name="_Toc29247"/>
      <w:bookmarkStart w:id="184" w:name="_Toc11170"/>
      <w:bookmarkStart w:id="185" w:name="_Toc5558"/>
      <w:bookmarkStart w:id="186" w:name="_Toc30842"/>
      <w:bookmarkStart w:id="187" w:name="_Toc82546115"/>
      <w:bookmarkStart w:id="188" w:name="_Toc15529"/>
      <w:bookmarkStart w:id="189" w:name="_Toc26873"/>
      <w:bookmarkStart w:id="190" w:name="_Toc13979"/>
      <w:bookmarkStart w:id="191" w:name="_Toc13624"/>
      <w:r>
        <w:rPr>
          <w:rFonts w:ascii="Times New Roman" w:hAnsi="Times New Roman" w:eastAsia="黑体"/>
        </w:rPr>
        <w:t>1</w:t>
      </w:r>
      <w:r>
        <w:rPr>
          <w:rFonts w:hint="eastAsia" w:ascii="Times New Roman" w:hAnsi="Times New Roman" w:eastAsia="黑体"/>
        </w:rPr>
        <w:t>2</w:t>
      </w:r>
      <w:r>
        <w:rPr>
          <w:rFonts w:ascii="Times New Roman" w:hAnsi="Times New Roman" w:eastAsia="黑体"/>
        </w:rPr>
        <w:t>.4 资金筹措</w:t>
      </w:r>
      <w:bookmarkEnd w:id="183"/>
      <w:bookmarkEnd w:id="184"/>
      <w:bookmarkEnd w:id="185"/>
      <w:bookmarkEnd w:id="186"/>
      <w:bookmarkEnd w:id="187"/>
      <w:bookmarkEnd w:id="188"/>
      <w:bookmarkEnd w:id="189"/>
      <w:bookmarkEnd w:id="190"/>
      <w:bookmarkEnd w:id="191"/>
    </w:p>
    <w:p w14:paraId="0EDC7B85">
      <w:pPr>
        <w:ind w:firstLine="640" w:firstLineChars="200"/>
        <w:rPr>
          <w:rFonts w:eastAsia="仿宋_GB2312"/>
          <w:kern w:val="0"/>
          <w:sz w:val="32"/>
          <w:szCs w:val="32"/>
        </w:rPr>
      </w:pPr>
      <w:r>
        <w:rPr>
          <w:rFonts w:eastAsia="仿宋_GB2312"/>
          <w:kern w:val="0"/>
          <w:sz w:val="32"/>
          <w:szCs w:val="32"/>
        </w:rPr>
        <w:t>本着“政府引导、市场运作、社会参与”的原则筹措资金，强化政府对资金、技术、市场、服务等要素资源的宏观调控和管理，产业资金以企业自筹为主，政府通过安排重点产业发展专项资金、争取国家林业贷款贴息补助等方式进行扶持。政府资金主要用于基础设施、科技支撑体系等公益性项目的建设。</w:t>
      </w:r>
    </w:p>
    <w:p w14:paraId="3B7B6061">
      <w:pPr>
        <w:ind w:firstLine="640" w:firstLineChars="200"/>
        <w:rPr>
          <w:rFonts w:eastAsia="仿宋_GB2312"/>
          <w:sz w:val="32"/>
          <w:szCs w:val="32"/>
        </w:rPr>
      </w:pPr>
      <w:r>
        <w:rPr>
          <w:rFonts w:eastAsia="仿宋_GB2312"/>
          <w:sz w:val="32"/>
          <w:szCs w:val="32"/>
        </w:rPr>
        <w:t>（1）自有资金。根据农业合作社筹资，建立自己投入资金和资产，激发农民发挥优势和潜能，形成规模和产业化。</w:t>
      </w:r>
    </w:p>
    <w:p w14:paraId="072D3286">
      <w:pPr>
        <w:ind w:firstLine="640" w:firstLineChars="200"/>
        <w:rPr>
          <w:rFonts w:eastAsia="仿宋_GB2312"/>
          <w:sz w:val="32"/>
          <w:szCs w:val="32"/>
        </w:rPr>
      </w:pPr>
      <w:r>
        <w:rPr>
          <w:rFonts w:eastAsia="仿宋_GB2312"/>
          <w:sz w:val="32"/>
          <w:szCs w:val="32"/>
        </w:rPr>
        <w:t>（2）接受捐赠。通过注入技术培训、渠道连接，形成产销一体化等。</w:t>
      </w:r>
    </w:p>
    <w:p w14:paraId="6BF7E484">
      <w:pPr>
        <w:ind w:firstLine="640" w:firstLineChars="200"/>
        <w:rPr>
          <w:rFonts w:eastAsia="仿宋_GB2312"/>
          <w:sz w:val="32"/>
          <w:szCs w:val="32"/>
        </w:rPr>
      </w:pPr>
      <w:r>
        <w:rPr>
          <w:rFonts w:eastAsia="仿宋_GB2312"/>
          <w:sz w:val="32"/>
          <w:szCs w:val="32"/>
        </w:rPr>
        <w:t>（3）发行股票。对龙头企业重点培养，逐步上市，持有人对公司有有限的所有权</w:t>
      </w:r>
      <w:r>
        <w:rPr>
          <w:rFonts w:hint="eastAsia" w:eastAsia="仿宋_GB2312"/>
          <w:sz w:val="32"/>
          <w:szCs w:val="32"/>
        </w:rPr>
        <w:t>，</w:t>
      </w:r>
      <w:r>
        <w:rPr>
          <w:rFonts w:eastAsia="仿宋_GB2312"/>
          <w:sz w:val="32"/>
          <w:szCs w:val="32"/>
        </w:rPr>
        <w:t>公司筹集资金要付出成本。</w:t>
      </w:r>
    </w:p>
    <w:p w14:paraId="200691BE">
      <w:pPr>
        <w:ind w:firstLine="640" w:firstLineChars="200"/>
        <w:rPr>
          <w:rFonts w:eastAsia="黑体"/>
          <w:b/>
          <w:bCs/>
          <w:sz w:val="36"/>
          <w:szCs w:val="36"/>
        </w:rPr>
      </w:pPr>
      <w:r>
        <w:rPr>
          <w:rFonts w:eastAsia="仿宋_GB2312"/>
          <w:sz w:val="32"/>
          <w:szCs w:val="32"/>
        </w:rPr>
        <w:t>（4）对外借款。就是向金融机构或非金融部门借入资金,通过村委会的引导，结合企业和农户的需求，形成企林农一体化，形成融资，发展林业产业。</w:t>
      </w:r>
      <w:bookmarkStart w:id="192" w:name="_Toc27666"/>
    </w:p>
    <w:p w14:paraId="3711EE2E">
      <w:pPr>
        <w:spacing w:line="360" w:lineRule="auto"/>
        <w:ind w:firstLine="723" w:firstLineChars="200"/>
        <w:jc w:val="center"/>
        <w:outlineLvl w:val="0"/>
        <w:rPr>
          <w:rFonts w:eastAsia="黑体"/>
          <w:b/>
          <w:bCs/>
          <w:sz w:val="36"/>
          <w:szCs w:val="36"/>
        </w:rPr>
        <w:sectPr>
          <w:footerReference r:id="rId6" w:type="default"/>
          <w:pgSz w:w="11905" w:h="16838"/>
          <w:pgMar w:top="1440" w:right="1803" w:bottom="1440" w:left="1803" w:header="851" w:footer="992" w:gutter="0"/>
          <w:cols w:space="720" w:num="1"/>
          <w:docGrid w:type="lines" w:linePitch="319" w:charSpace="0"/>
        </w:sectPr>
      </w:pPr>
      <w:bookmarkStart w:id="193" w:name="_Toc18765"/>
      <w:bookmarkStart w:id="194" w:name="_Toc7691"/>
      <w:bookmarkStart w:id="195" w:name="_Toc28727"/>
      <w:bookmarkStart w:id="196" w:name="_Toc20091"/>
      <w:bookmarkStart w:id="197" w:name="_Toc21171"/>
    </w:p>
    <w:p w14:paraId="45EB317A">
      <w:pPr>
        <w:pStyle w:val="15"/>
        <w:spacing w:before="0"/>
        <w:rPr>
          <w:rFonts w:ascii="黑体" w:hAnsi="黑体" w:eastAsia="黑体"/>
          <w:sz w:val="36"/>
        </w:rPr>
      </w:pPr>
      <w:bookmarkStart w:id="198" w:name="_Toc82546116"/>
      <w:bookmarkStart w:id="199" w:name="_Toc12778"/>
      <w:bookmarkStart w:id="200" w:name="_Toc10304"/>
      <w:bookmarkStart w:id="201" w:name="_Toc19894"/>
      <w:r>
        <w:rPr>
          <w:rFonts w:ascii="黑体" w:hAnsi="黑体" w:eastAsia="黑体"/>
          <w:sz w:val="36"/>
        </w:rPr>
        <w:t>第十</w:t>
      </w:r>
      <w:r>
        <w:rPr>
          <w:rFonts w:hint="eastAsia" w:ascii="黑体" w:hAnsi="黑体" w:eastAsia="黑体"/>
          <w:sz w:val="36"/>
        </w:rPr>
        <w:t>三</w:t>
      </w:r>
      <w:r>
        <w:rPr>
          <w:rFonts w:ascii="黑体" w:hAnsi="黑体" w:eastAsia="黑体"/>
          <w:sz w:val="36"/>
        </w:rPr>
        <w:t>章 保障措施</w:t>
      </w:r>
      <w:bookmarkEnd w:id="192"/>
      <w:bookmarkEnd w:id="193"/>
      <w:bookmarkEnd w:id="194"/>
      <w:bookmarkEnd w:id="195"/>
      <w:bookmarkEnd w:id="196"/>
      <w:bookmarkEnd w:id="197"/>
      <w:bookmarkEnd w:id="198"/>
      <w:bookmarkEnd w:id="199"/>
      <w:bookmarkEnd w:id="200"/>
      <w:bookmarkEnd w:id="201"/>
    </w:p>
    <w:p w14:paraId="6AD5FC32">
      <w:pPr>
        <w:spacing w:before="319" w:beforeLines="100"/>
        <w:ind w:firstLine="640" w:firstLineChars="200"/>
        <w:rPr>
          <w:rFonts w:eastAsia="仿宋_GB2312"/>
          <w:sz w:val="32"/>
          <w:szCs w:val="32"/>
        </w:rPr>
      </w:pPr>
      <w:r>
        <w:rPr>
          <w:rFonts w:eastAsia="仿宋_GB2312"/>
          <w:sz w:val="32"/>
          <w:szCs w:val="32"/>
        </w:rPr>
        <w:t>按照中共海南省委《关于制定国民经济和社会发展第十四个五年规划和二</w:t>
      </w:r>
      <w:r>
        <w:rPr>
          <w:sz w:val="32"/>
          <w:szCs w:val="32"/>
        </w:rPr>
        <w:t>〇</w:t>
      </w:r>
      <w:r>
        <w:rPr>
          <w:rFonts w:eastAsia="仿宋_GB2312"/>
          <w:sz w:val="32"/>
          <w:szCs w:val="32"/>
        </w:rPr>
        <w:t>三五年远景目标</w:t>
      </w:r>
      <w:r>
        <w:rPr>
          <w:rFonts w:hint="eastAsia" w:eastAsia="仿宋_GB2312"/>
          <w:sz w:val="32"/>
          <w:szCs w:val="32"/>
        </w:rPr>
        <w:t>纲要</w:t>
      </w:r>
      <w:r>
        <w:rPr>
          <w:rFonts w:eastAsia="仿宋_GB2312"/>
          <w:sz w:val="32"/>
          <w:szCs w:val="32"/>
        </w:rPr>
        <w:t>》、《海南省林业发展“十四五”规划》和中共三亚市委《关于制定国民经济和社会发展第十四个五年规划和二</w:t>
      </w:r>
      <w:r>
        <w:rPr>
          <w:sz w:val="32"/>
          <w:szCs w:val="32"/>
        </w:rPr>
        <w:t>〇</w:t>
      </w:r>
      <w:r>
        <w:rPr>
          <w:rFonts w:eastAsia="仿宋_GB2312"/>
          <w:sz w:val="32"/>
          <w:szCs w:val="32"/>
        </w:rPr>
        <w:t>三五年远景目标</w:t>
      </w:r>
      <w:r>
        <w:rPr>
          <w:rFonts w:hint="eastAsia" w:eastAsia="仿宋_GB2312"/>
          <w:sz w:val="32"/>
          <w:szCs w:val="32"/>
        </w:rPr>
        <w:t>纲要</w:t>
      </w:r>
      <w:r>
        <w:rPr>
          <w:rFonts w:eastAsia="仿宋_GB2312"/>
          <w:sz w:val="32"/>
          <w:szCs w:val="32"/>
        </w:rPr>
        <w:t>》等相关林业发展的目标和要求，充分发挥市场对企业的引导作用，强化政府对资金、技术、市场、服务、科技、交易等要素资源的宏观调控和配置，营造良好的营商发展环境，全面提升产业水平，促进我省林业产业持续健康发展。</w:t>
      </w:r>
    </w:p>
    <w:p w14:paraId="2E38F311">
      <w:pPr>
        <w:pStyle w:val="3"/>
        <w:spacing w:before="0" w:after="0" w:line="240" w:lineRule="auto"/>
        <w:rPr>
          <w:rFonts w:hint="eastAsia" w:ascii="Times New Roman" w:hAnsi="Times New Roman" w:eastAsia="黑体"/>
        </w:rPr>
      </w:pPr>
      <w:bookmarkStart w:id="202" w:name="_Toc82546117"/>
      <w:bookmarkStart w:id="203" w:name="_Toc15932"/>
      <w:bookmarkStart w:id="204" w:name="_Toc29899"/>
      <w:bookmarkStart w:id="205" w:name="_Toc19099"/>
      <w:bookmarkStart w:id="206" w:name="_Toc14472"/>
      <w:bookmarkStart w:id="207" w:name="_Toc24490"/>
      <w:bookmarkStart w:id="208" w:name="_Toc11203"/>
      <w:bookmarkStart w:id="209" w:name="_Toc3172"/>
      <w:bookmarkStart w:id="210" w:name="_Toc25822"/>
      <w:bookmarkStart w:id="211" w:name="_Toc1081"/>
      <w:r>
        <w:rPr>
          <w:rFonts w:ascii="Times New Roman" w:hAnsi="Times New Roman" w:eastAsia="黑体"/>
        </w:rPr>
        <w:t>1</w:t>
      </w:r>
      <w:r>
        <w:rPr>
          <w:rFonts w:hint="eastAsia" w:ascii="Times New Roman" w:hAnsi="Times New Roman" w:eastAsia="黑体"/>
        </w:rPr>
        <w:t>3</w:t>
      </w:r>
      <w:r>
        <w:rPr>
          <w:rFonts w:ascii="Times New Roman" w:hAnsi="Times New Roman" w:eastAsia="黑体"/>
        </w:rPr>
        <w:t>.1 组织保障</w:t>
      </w:r>
      <w:bookmarkEnd w:id="202"/>
    </w:p>
    <w:p w14:paraId="59D1920A">
      <w:pPr>
        <w:ind w:firstLine="640" w:firstLineChars="200"/>
        <w:rPr>
          <w:rFonts w:hint="eastAsia" w:ascii="仿宋_GB2312" w:eastAsia="仿宋_GB2312"/>
          <w:sz w:val="32"/>
        </w:rPr>
      </w:pPr>
      <w:r>
        <w:rPr>
          <w:rFonts w:hint="eastAsia" w:ascii="仿宋_GB2312" w:eastAsia="仿宋_GB2312"/>
          <w:sz w:val="32"/>
        </w:rPr>
        <w:t>为保障林业产业各专项规划能顺利落地实施，推动三亚林业产业快速发展，三亚市各区特别是林木种苗与花卉产业、森林旅游与康养、交易市场、主题公园、生态保护与修复、林下经济示范区的重点区域，各区政府要切实加强组织领导，统筹三亚市发展和改革委员会、三亚市财政局、三亚市农业农村局、三亚市科技工业信息化局、三亚市林业局等相关部门力量，成立各区林业产业发展工作领导机构，及时解决林业产业发展中遇到的问题。各相关部门要分工协作，各司其职，各负其责。</w:t>
      </w:r>
    </w:p>
    <w:p w14:paraId="57DC72AE">
      <w:pPr>
        <w:pStyle w:val="3"/>
        <w:spacing w:before="0" w:after="0" w:line="240" w:lineRule="auto"/>
        <w:rPr>
          <w:rFonts w:hint="eastAsia" w:ascii="Times New Roman" w:hAnsi="Times New Roman" w:eastAsia="黑体"/>
        </w:rPr>
      </w:pPr>
      <w:bookmarkStart w:id="212" w:name="_Toc82546118"/>
      <w:r>
        <w:rPr>
          <w:rFonts w:ascii="Times New Roman" w:hAnsi="Times New Roman" w:eastAsia="黑体"/>
        </w:rPr>
        <w:t>1</w:t>
      </w:r>
      <w:r>
        <w:rPr>
          <w:rFonts w:hint="eastAsia" w:ascii="Times New Roman" w:hAnsi="Times New Roman" w:eastAsia="黑体"/>
        </w:rPr>
        <w:t>3</w:t>
      </w:r>
      <w:r>
        <w:rPr>
          <w:rFonts w:ascii="Times New Roman" w:hAnsi="Times New Roman" w:eastAsia="黑体"/>
        </w:rPr>
        <w:t>.</w:t>
      </w:r>
      <w:r>
        <w:rPr>
          <w:rFonts w:hint="eastAsia" w:ascii="Times New Roman" w:hAnsi="Times New Roman" w:eastAsia="黑体"/>
        </w:rPr>
        <w:t>2</w:t>
      </w:r>
      <w:r>
        <w:rPr>
          <w:rFonts w:ascii="Times New Roman" w:hAnsi="Times New Roman" w:eastAsia="黑体"/>
        </w:rPr>
        <w:t>政策保障</w:t>
      </w:r>
      <w:bookmarkEnd w:id="212"/>
    </w:p>
    <w:p w14:paraId="3F287060">
      <w:pPr>
        <w:ind w:firstLine="640" w:firstLineChars="200"/>
        <w:rPr>
          <w:rFonts w:eastAsia="仿宋_GB2312"/>
          <w:sz w:val="32"/>
        </w:rPr>
      </w:pPr>
      <w:r>
        <w:rPr>
          <w:rFonts w:eastAsia="仿宋_GB2312"/>
          <w:sz w:val="32"/>
        </w:rPr>
        <w:t>贯彻落实习近平总书记“4</w:t>
      </w:r>
      <w:r>
        <w:rPr>
          <w:sz w:val="32"/>
        </w:rPr>
        <w:t>•</w:t>
      </w:r>
      <w:r>
        <w:rPr>
          <w:rFonts w:eastAsia="仿宋_GB2312"/>
          <w:sz w:val="32"/>
        </w:rPr>
        <w:t>13”重要讲话、中央12号文件、国家生态文明试验区以及生态保护、国土空间管制、国家公园建设等相关政策，积极争取国家政策支持，推进落地实施、建立完善林业生态各项补偿制度，制定各项惠民机制。市政府建立健全森林生态补偿基金制度，逐步完善重点公益林森林生态效益补偿标准，推进林业改革补贴政策、生态产品价值实现等生态补偿机制，加大林业资金投入力度。抓住自由贸易港先行先试的机遇条件，积极推广以工代赈方式开展林业各项工程建设，在稳步推进生态建设的基础上，进一步巩固脱贫成果。</w:t>
      </w:r>
    </w:p>
    <w:p w14:paraId="0D6BF3B0">
      <w:pPr>
        <w:pStyle w:val="3"/>
        <w:spacing w:before="0" w:after="0" w:line="240" w:lineRule="auto"/>
        <w:rPr>
          <w:rFonts w:hint="eastAsia" w:ascii="Times New Roman" w:hAnsi="Times New Roman" w:eastAsia="黑体"/>
        </w:rPr>
      </w:pPr>
      <w:bookmarkStart w:id="213" w:name="_Toc82546119"/>
      <w:r>
        <w:rPr>
          <w:rFonts w:ascii="Times New Roman" w:hAnsi="Times New Roman" w:eastAsia="黑体"/>
        </w:rPr>
        <w:t>1</w:t>
      </w:r>
      <w:r>
        <w:rPr>
          <w:rFonts w:hint="eastAsia" w:ascii="Times New Roman" w:hAnsi="Times New Roman" w:eastAsia="黑体"/>
        </w:rPr>
        <w:t>3</w:t>
      </w:r>
      <w:r>
        <w:rPr>
          <w:rFonts w:ascii="Times New Roman" w:hAnsi="Times New Roman" w:eastAsia="黑体"/>
        </w:rPr>
        <w:t>.</w:t>
      </w:r>
      <w:r>
        <w:rPr>
          <w:rFonts w:hint="eastAsia" w:ascii="Times New Roman" w:hAnsi="Times New Roman" w:eastAsia="黑体"/>
        </w:rPr>
        <w:t>3资金</w:t>
      </w:r>
      <w:r>
        <w:rPr>
          <w:rFonts w:ascii="Times New Roman" w:hAnsi="Times New Roman" w:eastAsia="黑体"/>
        </w:rPr>
        <w:t>保障</w:t>
      </w:r>
      <w:bookmarkEnd w:id="213"/>
    </w:p>
    <w:p w14:paraId="01704E21">
      <w:pPr>
        <w:ind w:firstLine="640" w:firstLineChars="200"/>
        <w:rPr>
          <w:rFonts w:eastAsia="仿宋_GB2312"/>
          <w:sz w:val="32"/>
          <w:szCs w:val="32"/>
        </w:rPr>
      </w:pPr>
      <w:r>
        <w:rPr>
          <w:rFonts w:hint="eastAsia" w:eastAsia="仿宋_GB2312"/>
          <w:sz w:val="32"/>
          <w:szCs w:val="32"/>
        </w:rPr>
        <w:t>抢抓海南自由贸易港、国家生态文明试验区及“一带一路”</w:t>
      </w:r>
      <w:r>
        <w:rPr>
          <w:rFonts w:hint="eastAsia" w:eastAsia="仿宋_GB2312"/>
          <w:sz w:val="32"/>
          <w:szCs w:val="32"/>
          <w:lang w:val="en-US" w:eastAsia="zh-CN"/>
        </w:rPr>
        <w:t>倡议</w:t>
      </w:r>
      <w:r>
        <w:rPr>
          <w:rFonts w:hint="eastAsia" w:eastAsia="仿宋_GB2312"/>
          <w:sz w:val="32"/>
          <w:szCs w:val="32"/>
        </w:rPr>
        <w:t>的机遇，将建设工程列入国家林业建设发展重点工程，积极争取中央资金支持。创新投融资模式和机制，充分发挥中央、省财政资金引导撬</w:t>
      </w:r>
      <w:bookmarkStart w:id="287" w:name="_GoBack"/>
      <w:bookmarkEnd w:id="287"/>
      <w:r>
        <w:rPr>
          <w:rFonts w:hint="eastAsia" w:eastAsia="仿宋_GB2312"/>
          <w:sz w:val="32"/>
          <w:szCs w:val="32"/>
        </w:rPr>
        <w:t>动作用，加大市县财政补贴，建立公共财政投放、信贷、社会投入等多元化资金投入保障体系，吸引国内国外资本参与生态旅游、森林康养、林下经济等产业发展，解决林业发展中的资金短缺瓶颈问题，</w:t>
      </w:r>
      <w:r>
        <w:rPr>
          <w:rFonts w:eastAsia="仿宋_GB2312"/>
          <w:sz w:val="32"/>
          <w:szCs w:val="32"/>
        </w:rPr>
        <w:t>多渠道</w:t>
      </w:r>
      <w:r>
        <w:rPr>
          <w:rFonts w:hint="eastAsia" w:eastAsia="仿宋_GB2312"/>
          <w:sz w:val="32"/>
          <w:szCs w:val="32"/>
        </w:rPr>
        <w:t>筹集</w:t>
      </w:r>
      <w:r>
        <w:rPr>
          <w:rFonts w:eastAsia="仿宋_GB2312"/>
          <w:sz w:val="32"/>
          <w:szCs w:val="32"/>
        </w:rPr>
        <w:t>资金。鼓励林木种苗与花卉产业、林下经济、林产品加工、森林康养企业按规定申报重点产业发展专项资金，用于林木种苗花卉繁育基地、国家林木种质资源库海南分库、国家热带兰花种质资源库、林下经济示范基地、森林康养基地、交易市场等建设和林产品加工产业以及花卉种苗培育新技术研发、专业合作社组建，将苗木花卉生产、林产品初加工机械纳入农机具购置补贴范围。</w:t>
      </w:r>
    </w:p>
    <w:p w14:paraId="4C71FB63">
      <w:pPr>
        <w:ind w:firstLine="640" w:firstLineChars="200"/>
        <w:rPr>
          <w:rFonts w:eastAsia="仿宋_GB2312"/>
          <w:sz w:val="32"/>
          <w:szCs w:val="32"/>
        </w:rPr>
      </w:pPr>
      <w:r>
        <w:rPr>
          <w:rFonts w:eastAsia="仿宋_GB2312"/>
          <w:sz w:val="32"/>
          <w:szCs w:val="32"/>
        </w:rPr>
        <w:t>对林产品生产者销售自产的企业免征增值税，对涉林企业种植花卉、林下经济和森林康养的所得，减半征收企业所得税。符合财政部、海关总署、国家税务总局对免征进口环节增值税规定的进口花卉种子(苗)可按有关规定予以免税。</w:t>
      </w:r>
    </w:p>
    <w:p w14:paraId="4BC5F608">
      <w:pPr>
        <w:pStyle w:val="3"/>
        <w:spacing w:before="0" w:after="0" w:line="360" w:lineRule="auto"/>
        <w:rPr>
          <w:rFonts w:ascii="Times New Roman" w:hAnsi="Times New Roman" w:eastAsia="黑体"/>
        </w:rPr>
      </w:pPr>
      <w:bookmarkStart w:id="214" w:name="_Toc82546120"/>
      <w:r>
        <w:rPr>
          <w:rFonts w:ascii="Times New Roman" w:hAnsi="Times New Roman" w:eastAsia="黑体"/>
        </w:rPr>
        <w:t>13.4技术保障</w:t>
      </w:r>
      <w:bookmarkEnd w:id="214"/>
      <w:r>
        <w:rPr>
          <w:rFonts w:ascii="Times New Roman" w:hAnsi="Times New Roman" w:eastAsia="黑体"/>
        </w:rPr>
        <w:t xml:space="preserve"> </w:t>
      </w:r>
    </w:p>
    <w:p w14:paraId="047C79E2">
      <w:pPr>
        <w:rPr>
          <w:rFonts w:eastAsia="黑体"/>
          <w:sz w:val="32"/>
        </w:rPr>
      </w:pPr>
      <w:r>
        <w:rPr>
          <w:rFonts w:eastAsia="黑体"/>
          <w:sz w:val="32"/>
        </w:rPr>
        <w:t>13.4.1 加强人才队伍建设</w:t>
      </w:r>
    </w:p>
    <w:p w14:paraId="365C98F0">
      <w:pPr>
        <w:ind w:firstLine="640" w:firstLineChars="200"/>
        <w:rPr>
          <w:rFonts w:hint="eastAsia" w:eastAsia="仿宋_GB2312"/>
          <w:sz w:val="32"/>
          <w:szCs w:val="32"/>
        </w:rPr>
      </w:pPr>
      <w:r>
        <w:rPr>
          <w:rFonts w:eastAsia="仿宋_GB2312"/>
          <w:sz w:val="32"/>
          <w:szCs w:val="32"/>
        </w:rPr>
        <w:t>实行更加积极、更加开放、更加有效的人才政策，面向国内外，引进林业建设相关领域的不同层次“高精尖”人才或团队，实施科技人才建设计划，助力林业建设发展。落实人才服务与薪资待遇相关政策，建立正向激励机制。培养一批林业专业经纪人和生产技术人员，提高苗木花卉生产销售水平</w:t>
      </w:r>
      <w:r>
        <w:rPr>
          <w:rFonts w:hint="eastAsia" w:eastAsia="仿宋_GB2312"/>
          <w:sz w:val="32"/>
          <w:szCs w:val="32"/>
        </w:rPr>
        <w:t>；</w:t>
      </w:r>
      <w:r>
        <w:rPr>
          <w:rFonts w:eastAsia="仿宋_GB2312"/>
          <w:sz w:val="32"/>
          <w:szCs w:val="32"/>
        </w:rPr>
        <w:t>吸引一批擅长资本运营、生产经营的林农企业家，整合林业资源，提高林业产业经营能力。扩大交流合作，组织优秀林业人才到国内外学习交流，学习森林旅游与康养、国家公园建设、森林经营管理、种苗花卉、生态保护修复等领域的先进理念和技术，提升人才综合素质和队伍能力建设。</w:t>
      </w:r>
    </w:p>
    <w:p w14:paraId="1963EDC1">
      <w:pPr>
        <w:ind w:firstLine="640"/>
        <w:rPr>
          <w:rFonts w:eastAsia="黑体"/>
          <w:sz w:val="32"/>
        </w:rPr>
      </w:pPr>
      <w:r>
        <w:rPr>
          <w:rFonts w:eastAsia="黑体"/>
          <w:sz w:val="32"/>
        </w:rPr>
        <w:t>1</w:t>
      </w:r>
      <w:r>
        <w:rPr>
          <w:rFonts w:hint="eastAsia" w:eastAsia="黑体"/>
          <w:sz w:val="32"/>
        </w:rPr>
        <w:t>3</w:t>
      </w:r>
      <w:r>
        <w:rPr>
          <w:rFonts w:eastAsia="黑体"/>
          <w:sz w:val="32"/>
        </w:rPr>
        <w:t>.4.2加强主体培育，强化科技支撑</w:t>
      </w:r>
    </w:p>
    <w:p w14:paraId="29A4D24B">
      <w:pPr>
        <w:ind w:firstLine="640" w:firstLineChars="200"/>
        <w:rPr>
          <w:rFonts w:hint="eastAsia" w:eastAsia="仿宋_GB2312"/>
          <w:sz w:val="32"/>
          <w:szCs w:val="32"/>
        </w:rPr>
      </w:pPr>
      <w:r>
        <w:rPr>
          <w:rFonts w:hint="eastAsia" w:eastAsia="仿宋_GB2312"/>
          <w:sz w:val="32"/>
          <w:szCs w:val="32"/>
        </w:rPr>
        <w:t>强化科技支撑，加大科技成果的集成应用，做到对重大工程建设的科学规划、科学设计、科学实施，充分发挥科技是第一生产力的作用。加强生态保护和修复、种苗培育等领域基础研究和关键技术攻关，充分发挥科技创新驱动建设生态文件的支撑作用。加强林业科研机构和科研平台建设，加快科技成果转化和推广，为林业建设提供技术服务。</w:t>
      </w:r>
    </w:p>
    <w:p w14:paraId="33243E2B">
      <w:pPr>
        <w:ind w:firstLine="640" w:firstLineChars="200"/>
        <w:rPr>
          <w:rFonts w:eastAsia="仿宋_GB2312"/>
          <w:sz w:val="32"/>
          <w:szCs w:val="32"/>
        </w:rPr>
      </w:pPr>
      <w:r>
        <w:rPr>
          <w:rFonts w:eastAsia="仿宋_GB2312"/>
          <w:sz w:val="32"/>
          <w:szCs w:val="32"/>
        </w:rPr>
        <w:t>鼓励和引导农民、大户、合作社、龙头企业等牵头创办覆盖林下经济各板块的产业联盟、专业合作社等专业合作经济组织，积极培育林下种植与养殖、林产品采集加工、森林景观利用等领域龙头企业与专业合作社示范社，进一步提高组织化程度。切实加强与省内外科研院所合作，引导科研成果优先支持林下经济发展。加强林业科技服务队伍建设，落实技术人员包保服务责任制。定期举办林业实用技术培训班强化科技培训，提升林业发展科技含量和技术水平。着力培养农民技术员，帮助农户成为有知识、懂技术、会经营的新型农民。</w:t>
      </w:r>
    </w:p>
    <w:p w14:paraId="1071D6EF">
      <w:pPr>
        <w:rPr>
          <w:rFonts w:eastAsia="黑体"/>
          <w:sz w:val="32"/>
        </w:rPr>
      </w:pPr>
      <w:r>
        <w:rPr>
          <w:rFonts w:hint="eastAsia" w:eastAsia="黑体"/>
          <w:sz w:val="32"/>
        </w:rPr>
        <w:t xml:space="preserve">13.4.3 </w:t>
      </w:r>
      <w:r>
        <w:rPr>
          <w:rFonts w:eastAsia="黑体"/>
          <w:sz w:val="32"/>
        </w:rPr>
        <w:t>建立科技服务体系</w:t>
      </w:r>
    </w:p>
    <w:p w14:paraId="7A4F4418">
      <w:pPr>
        <w:ind w:firstLine="640" w:firstLineChars="200"/>
        <w:rPr>
          <w:rFonts w:hint="eastAsia" w:eastAsia="仿宋_GB2312"/>
          <w:sz w:val="32"/>
          <w:szCs w:val="32"/>
        </w:rPr>
      </w:pPr>
      <w:r>
        <w:rPr>
          <w:rFonts w:eastAsia="仿宋_GB2312"/>
          <w:sz w:val="32"/>
          <w:szCs w:val="32"/>
        </w:rPr>
        <w:t>建立推行多种形式的科技共创模式，以科技进步支撑林业产业等多元化高效发展，加快现有林业科技成果的转化与运用，大力推广和利用先进的技术，积极吸收、引进和消化应用国内外高新技术成果。在工程实施过程中，落实完善优惠引导政策，鼓励企业提高林业科技创新投入，加大与林业科研院所、高校的合作和技术引进力度，加快对林业科技项目的研究，倡导应用各种新技术推动林业产业发展。</w:t>
      </w:r>
    </w:p>
    <w:p w14:paraId="4DF4528A">
      <w:pPr>
        <w:ind w:firstLine="640" w:firstLineChars="200"/>
        <w:rPr>
          <w:rFonts w:hint="eastAsia" w:eastAsia="仿宋_GB2312"/>
          <w:sz w:val="32"/>
          <w:szCs w:val="32"/>
        </w:rPr>
      </w:pPr>
    </w:p>
    <w:p w14:paraId="310F61DC">
      <w:pPr>
        <w:rPr>
          <w:rFonts w:eastAsia="黑体"/>
          <w:sz w:val="32"/>
        </w:rPr>
      </w:pPr>
      <w:bookmarkStart w:id="215" w:name="_Toc82546121"/>
      <w:r>
        <w:rPr>
          <w:rFonts w:eastAsia="黑体"/>
          <w:sz w:val="32"/>
        </w:rPr>
        <w:t>1</w:t>
      </w:r>
      <w:r>
        <w:rPr>
          <w:rFonts w:hint="eastAsia" w:eastAsia="黑体"/>
          <w:sz w:val="32"/>
        </w:rPr>
        <w:t>3</w:t>
      </w:r>
      <w:r>
        <w:rPr>
          <w:rFonts w:eastAsia="黑体"/>
          <w:sz w:val="32"/>
        </w:rPr>
        <w:t>.4.</w:t>
      </w:r>
      <w:r>
        <w:rPr>
          <w:rFonts w:hint="eastAsia" w:eastAsia="黑体"/>
          <w:sz w:val="32"/>
        </w:rPr>
        <w:t>4</w:t>
      </w:r>
      <w:r>
        <w:rPr>
          <w:rFonts w:eastAsia="黑体"/>
          <w:sz w:val="32"/>
        </w:rPr>
        <w:t xml:space="preserve"> 建设智慧林业平台</w:t>
      </w:r>
      <w:bookmarkEnd w:id="215"/>
    </w:p>
    <w:p w14:paraId="3629F3B6">
      <w:pPr>
        <w:ind w:firstLine="640" w:firstLineChars="200"/>
        <w:rPr>
          <w:rFonts w:eastAsia="仿宋_GB2312"/>
          <w:sz w:val="32"/>
          <w:szCs w:val="32"/>
        </w:rPr>
      </w:pPr>
      <w:r>
        <w:rPr>
          <w:rFonts w:eastAsia="仿宋_GB2312"/>
          <w:sz w:val="32"/>
          <w:szCs w:val="32"/>
        </w:rPr>
        <w:t>建设智慧林业云资源管理平台基于统一的数据库、统一的标准体系设计、建立统一的协作平台实现业务流程。实现直观动态的数据展现、图文并茂的统计报告、权责明确的数据查询与分析服务。林业数据的管理核心理念为：看</w:t>
      </w:r>
      <w:r>
        <w:rPr>
          <w:rFonts w:hint="eastAsia" w:eastAsia="仿宋_GB2312"/>
          <w:sz w:val="32"/>
          <w:szCs w:val="32"/>
        </w:rPr>
        <w:t>、</w:t>
      </w:r>
      <w:r>
        <w:rPr>
          <w:rFonts w:eastAsia="仿宋_GB2312"/>
          <w:sz w:val="32"/>
          <w:szCs w:val="32"/>
        </w:rPr>
        <w:t>管</w:t>
      </w:r>
      <w:r>
        <w:rPr>
          <w:rFonts w:hint="eastAsia" w:eastAsia="仿宋_GB2312"/>
          <w:sz w:val="32"/>
          <w:szCs w:val="32"/>
        </w:rPr>
        <w:t>、</w:t>
      </w:r>
      <w:r>
        <w:rPr>
          <w:rFonts w:eastAsia="仿宋_GB2312"/>
          <w:sz w:val="32"/>
          <w:szCs w:val="32"/>
        </w:rPr>
        <w:t>用、评</w:t>
      </w:r>
      <w:r>
        <w:rPr>
          <w:rFonts w:hint="eastAsia" w:eastAsia="仿宋_GB2312"/>
          <w:sz w:val="32"/>
          <w:szCs w:val="32"/>
        </w:rPr>
        <w:t>。</w:t>
      </w:r>
      <w:r>
        <w:rPr>
          <w:rFonts w:eastAsia="仿宋_GB2312"/>
          <w:sz w:val="32"/>
          <w:szCs w:val="32"/>
        </w:rPr>
        <w:t xml:space="preserve"> “看”是林业一张图的基本展示形式，其中包括各种数据的报表统计、二维三维GIS引擎的可视化数据展示以及相关业务的位置信息实时投影展示等</w:t>
      </w:r>
      <w:r>
        <w:rPr>
          <w:rFonts w:hint="eastAsia" w:eastAsia="仿宋_GB2312"/>
          <w:sz w:val="32"/>
          <w:szCs w:val="32"/>
        </w:rPr>
        <w:t>；“管”是指林业数据的管理。其中包括资源数据目录的管理、数据标准的管理、数据的更新、以及数据相关的其他管理。</w:t>
      </w:r>
      <w:r>
        <w:rPr>
          <w:rFonts w:eastAsia="仿宋_GB2312"/>
          <w:sz w:val="32"/>
          <w:szCs w:val="32"/>
        </w:rPr>
        <w:t>“用”是指在林业一张图特有的地理信息与数据融合交互应用平台上，可以嵌入定制开发林业业务应用软件，实现图上设计、图上作业，以及相应的APP移动端操作系统等</w:t>
      </w:r>
      <w:r>
        <w:rPr>
          <w:rFonts w:hint="eastAsia" w:eastAsia="仿宋_GB2312"/>
          <w:sz w:val="32"/>
          <w:szCs w:val="32"/>
        </w:rPr>
        <w:t>。</w:t>
      </w:r>
      <w:r>
        <w:rPr>
          <w:rFonts w:eastAsia="仿宋_GB2312"/>
          <w:sz w:val="32"/>
          <w:szCs w:val="32"/>
        </w:rPr>
        <w:t>“评”包含两部分含义。一是指在大数据分析模型的基础上对林业数据进行深度的挖掘，对事件发展趋势进行研判分析；二是基于数据库和特定的评判标准，对林业成果进行客观评价。平台建设可系统完整实现监控监测、火险预警、信息发布等功能，实现了森林防火工作的科学化、信息化、规范化、高效化，做到灾情早发现，早解决。</w:t>
      </w:r>
    </w:p>
    <w:bookmarkEnd w:id="203"/>
    <w:bookmarkEnd w:id="204"/>
    <w:bookmarkEnd w:id="205"/>
    <w:bookmarkEnd w:id="206"/>
    <w:bookmarkEnd w:id="207"/>
    <w:bookmarkEnd w:id="208"/>
    <w:bookmarkEnd w:id="209"/>
    <w:bookmarkEnd w:id="210"/>
    <w:bookmarkEnd w:id="211"/>
    <w:p w14:paraId="02776F34">
      <w:pPr>
        <w:ind w:firstLine="420"/>
      </w:pPr>
    </w:p>
    <w:p w14:paraId="3AF1C873">
      <w:pPr>
        <w:rPr>
          <w:rFonts w:hint="eastAsia"/>
        </w:rPr>
      </w:pPr>
    </w:p>
    <w:p w14:paraId="68A3C436">
      <w:pPr>
        <w:pStyle w:val="15"/>
        <w:spacing w:before="0"/>
        <w:rPr>
          <w:rFonts w:ascii="黑体" w:hAnsi="黑体" w:eastAsia="黑体"/>
          <w:sz w:val="36"/>
        </w:rPr>
        <w:sectPr>
          <w:pgSz w:w="11905" w:h="16838"/>
          <w:pgMar w:top="1440" w:right="1803" w:bottom="1440" w:left="1803" w:header="851" w:footer="992" w:gutter="0"/>
          <w:cols w:space="720" w:num="1"/>
          <w:docGrid w:type="lines" w:linePitch="319" w:charSpace="0"/>
        </w:sectPr>
      </w:pPr>
      <w:bookmarkStart w:id="216" w:name="_Toc12612"/>
      <w:bookmarkStart w:id="217" w:name="_Toc15735"/>
      <w:bookmarkStart w:id="218" w:name="_Toc29814"/>
      <w:bookmarkStart w:id="219" w:name="_Toc24621"/>
      <w:bookmarkStart w:id="220" w:name="_Toc28560"/>
      <w:bookmarkStart w:id="221" w:name="_Toc306"/>
      <w:bookmarkStart w:id="222" w:name="_Toc24173"/>
      <w:bookmarkStart w:id="223" w:name="_Toc21826"/>
      <w:bookmarkStart w:id="224" w:name="_Toc5428"/>
    </w:p>
    <w:p w14:paraId="6DAB33B1">
      <w:pPr>
        <w:pStyle w:val="15"/>
        <w:spacing w:before="0"/>
        <w:rPr>
          <w:rFonts w:ascii="黑体" w:hAnsi="黑体" w:eastAsia="黑体"/>
          <w:sz w:val="36"/>
          <w:szCs w:val="36"/>
        </w:rPr>
      </w:pPr>
      <w:bookmarkStart w:id="225" w:name="_Toc82546122"/>
      <w:r>
        <w:rPr>
          <w:rFonts w:ascii="黑体" w:hAnsi="黑体" w:eastAsia="黑体"/>
          <w:sz w:val="36"/>
        </w:rPr>
        <w:t>第十</w:t>
      </w:r>
      <w:r>
        <w:rPr>
          <w:rFonts w:hint="eastAsia" w:ascii="黑体" w:hAnsi="黑体" w:eastAsia="黑体"/>
          <w:sz w:val="36"/>
        </w:rPr>
        <w:t>四</w:t>
      </w:r>
      <w:r>
        <w:rPr>
          <w:rFonts w:ascii="黑体" w:hAnsi="黑体" w:eastAsia="黑体"/>
          <w:sz w:val="36"/>
        </w:rPr>
        <w:t>章</w:t>
      </w:r>
      <w:r>
        <w:rPr>
          <w:rFonts w:hint="eastAsia" w:ascii="黑体" w:hAnsi="黑体" w:eastAsia="黑体"/>
          <w:sz w:val="36"/>
        </w:rPr>
        <w:t xml:space="preserve"> </w:t>
      </w:r>
      <w:r>
        <w:rPr>
          <w:rFonts w:ascii="黑体" w:hAnsi="黑体" w:eastAsia="黑体"/>
          <w:sz w:val="36"/>
        </w:rPr>
        <w:t>效益分析</w:t>
      </w:r>
      <w:bookmarkEnd w:id="216"/>
      <w:bookmarkEnd w:id="217"/>
      <w:bookmarkEnd w:id="218"/>
      <w:bookmarkEnd w:id="219"/>
      <w:bookmarkEnd w:id="220"/>
      <w:bookmarkEnd w:id="221"/>
      <w:bookmarkEnd w:id="222"/>
      <w:bookmarkEnd w:id="223"/>
      <w:bookmarkEnd w:id="224"/>
      <w:bookmarkEnd w:id="225"/>
    </w:p>
    <w:p w14:paraId="5BEAF29A">
      <w:pPr>
        <w:pStyle w:val="3"/>
        <w:spacing w:before="319" w:beforeLines="100" w:after="0" w:line="240" w:lineRule="auto"/>
        <w:rPr>
          <w:rFonts w:ascii="Times New Roman" w:hAnsi="Times New Roman" w:eastAsia="黑体"/>
        </w:rPr>
      </w:pPr>
      <w:bookmarkStart w:id="226" w:name="_Toc82546123"/>
      <w:bookmarkStart w:id="227" w:name="_Toc10455"/>
      <w:bookmarkStart w:id="228" w:name="_Toc1808"/>
      <w:bookmarkStart w:id="229" w:name="_Toc21749"/>
      <w:bookmarkStart w:id="230" w:name="_Toc29479"/>
      <w:bookmarkStart w:id="231" w:name="_Toc9167"/>
      <w:bookmarkStart w:id="232" w:name="_Toc1935"/>
      <w:bookmarkStart w:id="233" w:name="_Toc1963"/>
      <w:bookmarkStart w:id="234" w:name="_Toc2055"/>
      <w:bookmarkStart w:id="235" w:name="_Toc1565"/>
      <w:r>
        <w:rPr>
          <w:rFonts w:ascii="Times New Roman" w:hAnsi="Times New Roman" w:eastAsia="黑体"/>
        </w:rPr>
        <w:t>1</w:t>
      </w:r>
      <w:r>
        <w:rPr>
          <w:rFonts w:hint="eastAsia" w:ascii="Times New Roman" w:hAnsi="Times New Roman" w:eastAsia="黑体"/>
        </w:rPr>
        <w:t>4</w:t>
      </w:r>
      <w:r>
        <w:rPr>
          <w:rFonts w:ascii="Times New Roman" w:hAnsi="Times New Roman" w:eastAsia="黑体"/>
        </w:rPr>
        <w:t>.</w:t>
      </w:r>
      <w:r>
        <w:rPr>
          <w:rFonts w:hint="eastAsia" w:ascii="Times New Roman" w:hAnsi="Times New Roman" w:eastAsia="黑体"/>
        </w:rPr>
        <w:t xml:space="preserve">1 </w:t>
      </w:r>
      <w:r>
        <w:rPr>
          <w:rFonts w:ascii="Times New Roman" w:hAnsi="Times New Roman" w:eastAsia="黑体"/>
        </w:rPr>
        <w:t>经济效益</w:t>
      </w:r>
      <w:bookmarkEnd w:id="226"/>
      <w:bookmarkEnd w:id="227"/>
      <w:bookmarkEnd w:id="228"/>
      <w:bookmarkEnd w:id="229"/>
      <w:bookmarkEnd w:id="230"/>
      <w:bookmarkEnd w:id="231"/>
      <w:bookmarkEnd w:id="232"/>
      <w:bookmarkEnd w:id="233"/>
      <w:bookmarkEnd w:id="234"/>
      <w:bookmarkEnd w:id="235"/>
      <w:r>
        <w:rPr>
          <w:rFonts w:hint="eastAsia" w:ascii="Times New Roman" w:hAnsi="Times New Roman" w:eastAsia="黑体"/>
        </w:rPr>
        <w:t xml:space="preserve">  </w:t>
      </w:r>
    </w:p>
    <w:p w14:paraId="5F69EDF6">
      <w:pPr>
        <w:ind w:firstLine="643" w:firstLineChars="200"/>
        <w:rPr>
          <w:rFonts w:eastAsia="仿宋_GB2312"/>
          <w:b/>
          <w:sz w:val="32"/>
          <w:szCs w:val="32"/>
        </w:rPr>
      </w:pPr>
      <w:r>
        <w:rPr>
          <w:rFonts w:eastAsia="仿宋_GB2312"/>
          <w:b/>
          <w:sz w:val="32"/>
          <w:szCs w:val="32"/>
        </w:rPr>
        <w:t>（1）繁荣林业产业和旅游业</w:t>
      </w:r>
    </w:p>
    <w:p w14:paraId="7DDAE568">
      <w:pPr>
        <w:ind w:firstLine="640" w:firstLineChars="200"/>
        <w:rPr>
          <w:rFonts w:eastAsia="仿宋_GB2312"/>
          <w:sz w:val="32"/>
          <w:szCs w:val="32"/>
        </w:rPr>
      </w:pPr>
      <w:r>
        <w:rPr>
          <w:rFonts w:eastAsia="仿宋_GB2312"/>
          <w:sz w:val="32"/>
          <w:szCs w:val="32"/>
        </w:rPr>
        <w:t>发展林业产业，不仅可以改善环境，还可以大大提高三亚的林业经济，取得良好的经济收入。依托森林公园、湿地公园的建设，完善现有生态旅游基础设施，发展森林生态旅游产业，不断从根本上改善生态环境，切实增强森林生态旅游服务功能，吸引国内外游客，带来直接旅游收入创造经济效益，有利于三亚旅游产业发展和海南国际旅游岛建设。结合林木种苗与花卉、特色林产业等，完善旅游产品营销体系，形成规模化的产业链，使得林业二、三产业得到快速发展，有利于三亚经济效益发展。</w:t>
      </w:r>
    </w:p>
    <w:p w14:paraId="519FCE53">
      <w:pPr>
        <w:ind w:firstLine="643" w:firstLineChars="200"/>
        <w:rPr>
          <w:rFonts w:eastAsia="仿宋_GB2312"/>
          <w:b/>
          <w:sz w:val="32"/>
          <w:szCs w:val="32"/>
        </w:rPr>
      </w:pPr>
      <w:r>
        <w:rPr>
          <w:rFonts w:eastAsia="仿宋_GB2312"/>
          <w:b/>
          <w:sz w:val="32"/>
          <w:szCs w:val="32"/>
        </w:rPr>
        <w:t>（2）带动全市产业发展</w:t>
      </w:r>
    </w:p>
    <w:p w14:paraId="7ABB369E">
      <w:pPr>
        <w:ind w:firstLine="640" w:firstLineChars="200"/>
      </w:pPr>
      <w:bookmarkStart w:id="236" w:name="_Toc27709"/>
      <w:bookmarkStart w:id="237" w:name="_Toc11400"/>
      <w:r>
        <w:rPr>
          <w:rFonts w:eastAsia="仿宋_GB2312"/>
          <w:sz w:val="32"/>
          <w:szCs w:val="32"/>
        </w:rPr>
        <w:t>林业产业建设过程中，森林质量的全面提高必将促进森林文化生态旅游业的全方位发展，商品林产业经济、林下种养等各个方面的发展，从而带动相关多个经济部门和行业的发展。“创建森林城市”各项工程的基础设施建设有序进行，将带动全市范围内的林木种苗与花卉、森林旅游与森林康养、经济林、用材林、林下经济产业等行业的发展；绿色廊道和公园绿地等建设，将带动苗木培育、绿化养护等相关产业的发展，森林生态旅游产业的发展，将带动科普文化、旅游产品销售等行业的发展，同时有助于林业产业向服务业和旅游业调整的经济结构转型升级。</w:t>
      </w:r>
    </w:p>
    <w:p w14:paraId="7B2B3DE3">
      <w:pPr>
        <w:pStyle w:val="3"/>
        <w:spacing w:before="0" w:after="0" w:line="240" w:lineRule="auto"/>
        <w:rPr>
          <w:rFonts w:ascii="Times New Roman" w:hAnsi="Times New Roman" w:eastAsia="黑体"/>
        </w:rPr>
      </w:pPr>
      <w:bookmarkStart w:id="238" w:name="_Toc82546124"/>
      <w:r>
        <w:rPr>
          <w:rFonts w:ascii="Times New Roman" w:hAnsi="Times New Roman" w:eastAsia="黑体"/>
        </w:rPr>
        <w:t>1</w:t>
      </w:r>
      <w:r>
        <w:rPr>
          <w:rFonts w:hint="eastAsia" w:ascii="Times New Roman" w:hAnsi="Times New Roman" w:eastAsia="黑体"/>
        </w:rPr>
        <w:t>4</w:t>
      </w:r>
      <w:r>
        <w:rPr>
          <w:rFonts w:ascii="Times New Roman" w:hAnsi="Times New Roman" w:eastAsia="黑体"/>
        </w:rPr>
        <w:t>.</w:t>
      </w:r>
      <w:r>
        <w:rPr>
          <w:rFonts w:hint="eastAsia" w:ascii="Times New Roman" w:hAnsi="Times New Roman" w:eastAsia="黑体"/>
        </w:rPr>
        <w:t xml:space="preserve">2 </w:t>
      </w:r>
      <w:r>
        <w:rPr>
          <w:rFonts w:ascii="Times New Roman" w:hAnsi="Times New Roman" w:eastAsia="黑体"/>
        </w:rPr>
        <w:t>生态效益</w:t>
      </w:r>
      <w:bookmarkEnd w:id="236"/>
      <w:bookmarkEnd w:id="237"/>
      <w:bookmarkEnd w:id="238"/>
    </w:p>
    <w:p w14:paraId="44F21C49">
      <w:pPr>
        <w:ind w:firstLine="960" w:firstLineChars="300"/>
        <w:rPr>
          <w:rFonts w:eastAsia="仿宋_GB2312"/>
          <w:sz w:val="32"/>
          <w:szCs w:val="32"/>
        </w:rPr>
      </w:pPr>
      <w:r>
        <w:rPr>
          <w:rFonts w:eastAsia="仿宋_GB2312"/>
          <w:sz w:val="32"/>
          <w:szCs w:val="32"/>
        </w:rPr>
        <w:t>林业产业是高效生态农业，按照“重点建设、有序推进、全面覆盖”的要求，提高林业总量和发展质量，着力构建城市森林体系，构建城乡一体、科学合理的森林生态系统，统筹推进国家</w:t>
      </w:r>
      <w:r>
        <w:rPr>
          <w:rFonts w:hint="eastAsia" w:eastAsia="仿宋_GB2312"/>
          <w:sz w:val="32"/>
          <w:szCs w:val="32"/>
        </w:rPr>
        <w:t>森林</w:t>
      </w:r>
      <w:r>
        <w:rPr>
          <w:rFonts w:eastAsia="仿宋_GB2312"/>
          <w:sz w:val="32"/>
          <w:szCs w:val="32"/>
        </w:rPr>
        <w:t>城市、国家湿地公园试点、城市“双修”，乡村绿化美化、生态宜居家园、森林生态旅游、森林康养等生态工程建设，发展第三产业推动绿色转型，为海南自贸港建设作出贡献。</w:t>
      </w:r>
    </w:p>
    <w:p w14:paraId="1733E8E0">
      <w:pPr>
        <w:ind w:firstLine="643" w:firstLineChars="200"/>
        <w:rPr>
          <w:rFonts w:eastAsia="仿宋_GB2312"/>
          <w:b/>
          <w:sz w:val="32"/>
          <w:szCs w:val="32"/>
        </w:rPr>
      </w:pPr>
      <w:r>
        <w:rPr>
          <w:rFonts w:eastAsia="仿宋_GB2312"/>
          <w:b/>
          <w:sz w:val="32"/>
          <w:szCs w:val="32"/>
        </w:rPr>
        <w:t>（1）能够提升三亚市森林资源的总量及绿化质量</w:t>
      </w:r>
    </w:p>
    <w:p w14:paraId="3D79905F">
      <w:pPr>
        <w:ind w:firstLine="640" w:firstLineChars="200"/>
        <w:rPr>
          <w:rFonts w:eastAsia="仿宋_GB2312"/>
          <w:sz w:val="32"/>
          <w:szCs w:val="32"/>
        </w:rPr>
      </w:pPr>
      <w:r>
        <w:rPr>
          <w:rFonts w:eastAsia="仿宋_GB2312"/>
          <w:sz w:val="32"/>
          <w:szCs w:val="32"/>
        </w:rPr>
        <w:t>通过城区绿化提升、美丽乡村、绿色廊道建设、森林质量提升等工程建设将增加林木覆盖面积，提高林木覆盖率。森林质量提升不仅对净化空气、涵养水源、保育土壤等方面产生明显的生态效益，而且降低空气中粉尘，减轻噪音污染，同时提升三亚市绿化的质量</w:t>
      </w:r>
      <w:r>
        <w:rPr>
          <w:rFonts w:hint="eastAsia" w:eastAsia="仿宋_GB2312"/>
          <w:sz w:val="32"/>
          <w:szCs w:val="32"/>
        </w:rPr>
        <w:t>，</w:t>
      </w:r>
      <w:r>
        <w:rPr>
          <w:rFonts w:eastAsia="仿宋_GB2312"/>
          <w:sz w:val="32"/>
          <w:szCs w:val="32"/>
        </w:rPr>
        <w:t>实现乔、灌、草、林带、苗圃、花园等多种形式的有机结合，为市民改善居住、生活和工作环境提供种类多样、品种齐全的素材，全面提升居家、生活区和办公区的美化质量。</w:t>
      </w:r>
    </w:p>
    <w:p w14:paraId="7BA472C9">
      <w:pPr>
        <w:ind w:firstLine="643" w:firstLineChars="200"/>
        <w:rPr>
          <w:rFonts w:eastAsia="仿宋_GB2312"/>
          <w:b/>
          <w:sz w:val="32"/>
          <w:szCs w:val="32"/>
        </w:rPr>
      </w:pPr>
      <w:r>
        <w:rPr>
          <w:rFonts w:eastAsia="仿宋_GB2312"/>
          <w:b/>
          <w:sz w:val="32"/>
          <w:szCs w:val="32"/>
        </w:rPr>
        <w:t>（2）改善生态环境及缓解“热岛效应”</w:t>
      </w:r>
    </w:p>
    <w:p w14:paraId="6ED486E6">
      <w:pPr>
        <w:ind w:firstLine="640" w:firstLineChars="200"/>
        <w:rPr>
          <w:rFonts w:hint="eastAsia" w:eastAsia="仿宋_GB2312"/>
          <w:sz w:val="32"/>
          <w:szCs w:val="32"/>
        </w:rPr>
      </w:pPr>
      <w:r>
        <w:rPr>
          <w:rFonts w:eastAsia="仿宋_GB2312"/>
          <w:sz w:val="32"/>
          <w:szCs w:val="32"/>
        </w:rPr>
        <w:t>由于受全球性的气候变暖等因素的影响，三亚林业产业的规划与建设，可以改善人们的生活环境。</w:t>
      </w:r>
      <w:r>
        <w:rPr>
          <w:rFonts w:hint="eastAsia" w:eastAsia="仿宋_GB2312"/>
          <w:sz w:val="32"/>
          <w:szCs w:val="32"/>
        </w:rPr>
        <w:t>森林可调节大气和地表之间的温度，对改善城市小气候、缓解“热岛效应”。森林通过蒸腾作用将液态的水以气态形式散发到空气中并从环境中吸收热量，降低周围环境的温度的同时增加了湿度，达到植物蒸散冷却的效果。森林树冠还能遮挡来自太阳的直接辐射热和来自地面、墙面和其他相邻物体的反射热，有效降低地表温度。参考李俊清《森林生态学》，采用降低温度、增加湿度 2个指标来计算森林调节气候价值。</w:t>
      </w:r>
    </w:p>
    <w:p w14:paraId="6A480563">
      <w:pPr>
        <w:ind w:firstLine="640" w:firstLineChars="200"/>
        <w:rPr>
          <w:rFonts w:hint="eastAsia" w:eastAsia="仿宋_GB2312"/>
          <w:sz w:val="32"/>
          <w:szCs w:val="32"/>
        </w:rPr>
      </w:pPr>
      <w:r>
        <w:rPr>
          <w:rFonts w:hint="eastAsia" w:eastAsia="仿宋_GB2312"/>
          <w:sz w:val="32"/>
          <w:szCs w:val="32"/>
        </w:rPr>
        <w:t>（1）降低温度  该价值可以用空调调节温度所耗电能价值来替代，计算公式为：</w:t>
      </w:r>
    </w:p>
    <w:p w14:paraId="68038D17">
      <w:pPr>
        <w:ind w:firstLine="640" w:firstLineChars="200"/>
        <w:rPr>
          <w:rFonts w:hint="eastAsia" w:eastAsia="仿宋_GB2312"/>
          <w:sz w:val="32"/>
          <w:szCs w:val="32"/>
        </w:rPr>
      </w:pPr>
      <w:r>
        <w:rPr>
          <w:rFonts w:hint="eastAsia" w:eastAsia="仿宋_GB2312"/>
          <w:i/>
          <w:sz w:val="32"/>
          <w:szCs w:val="32"/>
        </w:rPr>
        <w:t>U</w:t>
      </w:r>
      <w:r>
        <w:rPr>
          <w:rFonts w:hint="eastAsia" w:eastAsia="仿宋_GB2312"/>
          <w:sz w:val="32"/>
          <w:szCs w:val="32"/>
          <w:vertAlign w:val="subscript"/>
        </w:rPr>
        <w:t>降温</w:t>
      </w:r>
      <w:r>
        <w:rPr>
          <w:rFonts w:hint="eastAsia" w:eastAsia="仿宋_GB2312"/>
          <w:sz w:val="32"/>
          <w:szCs w:val="32"/>
        </w:rPr>
        <w:t>=</w:t>
      </w:r>
      <w:r>
        <w:rPr>
          <w:rFonts w:hint="eastAsia" w:eastAsia="仿宋_GB2312"/>
          <w:i/>
          <w:sz w:val="32"/>
          <w:szCs w:val="32"/>
        </w:rPr>
        <w:t>K</w:t>
      </w:r>
      <w:r>
        <w:rPr>
          <w:rFonts w:hint="eastAsia" w:eastAsia="仿宋_GB2312"/>
          <w:sz w:val="32"/>
          <w:szCs w:val="32"/>
          <w:vertAlign w:val="subscript"/>
        </w:rPr>
        <w:t>t</w:t>
      </w:r>
      <w:r>
        <w:rPr>
          <w:rFonts w:hint="eastAsia" w:eastAsia="仿宋_GB2312"/>
          <w:i/>
          <w:sz w:val="32"/>
          <w:szCs w:val="32"/>
        </w:rPr>
        <w:t>D</w:t>
      </w:r>
      <w:r>
        <w:rPr>
          <w:rFonts w:hint="eastAsia" w:eastAsia="仿宋_GB2312"/>
          <w:i/>
          <w:sz w:val="32"/>
          <w:szCs w:val="32"/>
          <w:vertAlign w:val="subscript"/>
        </w:rPr>
        <w:t>温</w:t>
      </w:r>
      <w:r>
        <w:rPr>
          <w:rFonts w:hint="eastAsia" w:eastAsia="仿宋_GB2312"/>
          <w:i/>
          <w:sz w:val="32"/>
          <w:szCs w:val="32"/>
        </w:rPr>
        <w:t>T</w:t>
      </w:r>
      <w:r>
        <w:rPr>
          <w:rFonts w:hint="eastAsia" w:eastAsia="仿宋_GB2312"/>
          <w:sz w:val="32"/>
          <w:szCs w:val="32"/>
          <w:vertAlign w:val="subscript"/>
        </w:rPr>
        <w:t>空调</w:t>
      </w:r>
      <w:r>
        <w:rPr>
          <w:rFonts w:hint="eastAsia" w:eastAsia="仿宋_GB2312"/>
          <w:i/>
          <w:sz w:val="32"/>
          <w:szCs w:val="32"/>
        </w:rPr>
        <w:t>M</w:t>
      </w:r>
      <w:r>
        <w:rPr>
          <w:rFonts w:hint="eastAsia" w:eastAsia="仿宋_GB2312"/>
          <w:sz w:val="32"/>
          <w:szCs w:val="32"/>
          <w:vertAlign w:val="subscript"/>
        </w:rPr>
        <w:t>空调</w:t>
      </w:r>
      <w:r>
        <w:rPr>
          <w:rFonts w:hint="eastAsia" w:eastAsia="仿宋_GB2312"/>
          <w:i/>
          <w:sz w:val="32"/>
          <w:szCs w:val="32"/>
        </w:rPr>
        <w:t>C</w:t>
      </w:r>
      <w:r>
        <w:rPr>
          <w:rFonts w:hint="eastAsia" w:eastAsia="仿宋_GB2312"/>
          <w:sz w:val="32"/>
          <w:szCs w:val="32"/>
        </w:rPr>
        <w:t>U=K×D×T×M×C</w:t>
      </w:r>
    </w:p>
    <w:p w14:paraId="6B489B4C">
      <w:pPr>
        <w:ind w:firstLine="640" w:firstLineChars="200"/>
        <w:rPr>
          <w:rFonts w:hint="eastAsia" w:eastAsia="仿宋_GB2312"/>
          <w:sz w:val="32"/>
          <w:szCs w:val="32"/>
        </w:rPr>
      </w:pPr>
      <w:r>
        <w:rPr>
          <w:rFonts w:hint="eastAsia" w:eastAsia="仿宋_GB2312"/>
          <w:i/>
          <w:sz w:val="32"/>
          <w:szCs w:val="32"/>
        </w:rPr>
        <w:t>U</w:t>
      </w:r>
      <w:r>
        <w:rPr>
          <w:rFonts w:hint="eastAsia" w:eastAsia="仿宋_GB2312"/>
          <w:sz w:val="32"/>
          <w:szCs w:val="32"/>
          <w:vertAlign w:val="subscript"/>
        </w:rPr>
        <w:t>降温</w:t>
      </w:r>
      <w:r>
        <w:rPr>
          <w:rFonts w:hint="eastAsia" w:eastAsia="仿宋_GB2312"/>
          <w:sz w:val="32"/>
          <w:szCs w:val="32"/>
        </w:rPr>
        <w:t>—森林年均调节温度的价值（元/a）；</w:t>
      </w:r>
    </w:p>
    <w:p w14:paraId="5B7A9AAF">
      <w:pPr>
        <w:ind w:firstLine="640" w:firstLineChars="200"/>
        <w:rPr>
          <w:rFonts w:hint="eastAsia" w:eastAsia="仿宋_GB2312"/>
          <w:sz w:val="32"/>
          <w:szCs w:val="32"/>
        </w:rPr>
      </w:pPr>
      <w:r>
        <w:rPr>
          <w:rFonts w:hint="eastAsia" w:eastAsia="仿宋_GB2312"/>
          <w:i/>
          <w:sz w:val="32"/>
          <w:szCs w:val="32"/>
        </w:rPr>
        <w:t>K</w:t>
      </w:r>
      <w:r>
        <w:rPr>
          <w:rFonts w:hint="eastAsia" w:eastAsia="仿宋_GB2312"/>
          <w:sz w:val="32"/>
          <w:szCs w:val="32"/>
          <w:vertAlign w:val="subscript"/>
        </w:rPr>
        <w:t>t</w:t>
      </w:r>
      <w:r>
        <w:rPr>
          <w:rFonts w:hint="eastAsia" w:eastAsia="仿宋_GB2312"/>
          <w:sz w:val="32"/>
          <w:szCs w:val="32"/>
        </w:rPr>
        <w:t>—森林调温空间（m</w:t>
      </w:r>
      <w:r>
        <w:rPr>
          <w:rFonts w:hint="eastAsia" w:eastAsia="仿宋_GB2312"/>
          <w:sz w:val="32"/>
          <w:szCs w:val="32"/>
          <w:vertAlign w:val="superscript"/>
        </w:rPr>
        <w:t>3</w:t>
      </w:r>
      <w:r>
        <w:rPr>
          <w:rFonts w:hint="eastAsia" w:eastAsia="仿宋_GB2312"/>
          <w:sz w:val="32"/>
          <w:szCs w:val="32"/>
        </w:rPr>
        <w:t>）；</w:t>
      </w:r>
    </w:p>
    <w:p w14:paraId="098D10F5">
      <w:pPr>
        <w:ind w:firstLine="640" w:firstLineChars="200"/>
        <w:rPr>
          <w:rFonts w:hint="eastAsia" w:eastAsia="仿宋_GB2312"/>
          <w:sz w:val="32"/>
          <w:szCs w:val="32"/>
        </w:rPr>
      </w:pPr>
      <w:r>
        <w:rPr>
          <w:rFonts w:hint="eastAsia" w:eastAsia="仿宋_GB2312"/>
          <w:i/>
          <w:sz w:val="32"/>
          <w:szCs w:val="32"/>
        </w:rPr>
        <w:t>D</w:t>
      </w:r>
      <w:r>
        <w:rPr>
          <w:rFonts w:hint="eastAsia" w:eastAsia="仿宋_GB2312"/>
          <w:i/>
          <w:sz w:val="32"/>
          <w:szCs w:val="32"/>
          <w:vertAlign w:val="subscript"/>
        </w:rPr>
        <w:t>温</w:t>
      </w:r>
      <w:r>
        <w:rPr>
          <w:rFonts w:hint="eastAsia" w:eastAsia="仿宋_GB2312"/>
          <w:sz w:val="32"/>
          <w:szCs w:val="32"/>
        </w:rPr>
        <w:t>—无林区与有林区日平均温度差的绝对值（℃）；</w:t>
      </w:r>
    </w:p>
    <w:p w14:paraId="03D03144">
      <w:pPr>
        <w:ind w:firstLine="640" w:firstLineChars="200"/>
        <w:rPr>
          <w:rFonts w:hint="eastAsia" w:eastAsia="仿宋_GB2312"/>
          <w:sz w:val="32"/>
          <w:szCs w:val="32"/>
        </w:rPr>
      </w:pPr>
      <w:r>
        <w:rPr>
          <w:rFonts w:hint="eastAsia" w:eastAsia="仿宋_GB2312"/>
          <w:i/>
          <w:sz w:val="32"/>
          <w:szCs w:val="32"/>
        </w:rPr>
        <w:t>T</w:t>
      </w:r>
      <w:r>
        <w:rPr>
          <w:rFonts w:hint="eastAsia" w:eastAsia="仿宋_GB2312"/>
          <w:sz w:val="32"/>
          <w:szCs w:val="32"/>
          <w:vertAlign w:val="subscript"/>
        </w:rPr>
        <w:t>空调</w:t>
      </w:r>
      <w:r>
        <w:rPr>
          <w:rFonts w:hint="eastAsia" w:eastAsia="仿宋_GB2312"/>
          <w:sz w:val="32"/>
          <w:szCs w:val="32"/>
        </w:rPr>
        <w:t>—该区域年均使用空调的天数（天/a）；</w:t>
      </w:r>
    </w:p>
    <w:p w14:paraId="64FEC243">
      <w:pPr>
        <w:ind w:firstLine="640" w:firstLineChars="200"/>
        <w:rPr>
          <w:rFonts w:hint="eastAsia" w:eastAsia="仿宋_GB2312"/>
          <w:sz w:val="32"/>
          <w:szCs w:val="32"/>
        </w:rPr>
      </w:pPr>
      <w:r>
        <w:rPr>
          <w:rFonts w:hint="eastAsia" w:eastAsia="仿宋_GB2312"/>
          <w:i/>
          <w:sz w:val="32"/>
          <w:szCs w:val="32"/>
        </w:rPr>
        <w:t>M</w:t>
      </w:r>
      <w:r>
        <w:rPr>
          <w:rFonts w:hint="eastAsia" w:eastAsia="仿宋_GB2312"/>
          <w:sz w:val="32"/>
          <w:szCs w:val="32"/>
          <w:vertAlign w:val="subscript"/>
        </w:rPr>
        <w:t>空调</w:t>
      </w:r>
      <w:r>
        <w:rPr>
          <w:rFonts w:hint="eastAsia" w:eastAsia="仿宋_GB2312"/>
          <w:sz w:val="32"/>
          <w:szCs w:val="32"/>
        </w:rPr>
        <w:t>—空调调温能力，即每立方米空间每天调温1℃所耗的电量（kWh / m</w:t>
      </w:r>
      <w:r>
        <w:rPr>
          <w:rFonts w:hint="eastAsia" w:eastAsia="仿宋_GB2312"/>
          <w:sz w:val="32"/>
          <w:szCs w:val="32"/>
          <w:vertAlign w:val="superscript"/>
        </w:rPr>
        <w:t>3</w:t>
      </w:r>
      <w:r>
        <w:rPr>
          <w:rFonts w:hint="eastAsia" w:eastAsia="仿宋_GB2312"/>
          <w:sz w:val="32"/>
          <w:szCs w:val="32"/>
        </w:rPr>
        <w:t>·℃·天）；</w:t>
      </w:r>
    </w:p>
    <w:p w14:paraId="1C6F65E6">
      <w:pPr>
        <w:ind w:firstLine="640" w:firstLineChars="200"/>
        <w:rPr>
          <w:rFonts w:hint="eastAsia" w:eastAsia="仿宋_GB2312"/>
          <w:sz w:val="32"/>
          <w:szCs w:val="32"/>
        </w:rPr>
      </w:pPr>
      <w:r>
        <w:rPr>
          <w:rFonts w:hint="eastAsia" w:eastAsia="仿宋_GB2312"/>
          <w:i/>
          <w:sz w:val="32"/>
          <w:szCs w:val="32"/>
        </w:rPr>
        <w:t>C</w:t>
      </w:r>
      <w:r>
        <w:rPr>
          <w:rFonts w:hint="eastAsia" w:eastAsia="仿宋_GB2312"/>
          <w:sz w:val="32"/>
          <w:szCs w:val="32"/>
        </w:rPr>
        <w:t>—单位电费（元/kWh）。</w:t>
      </w:r>
    </w:p>
    <w:p w14:paraId="78A4EF0F">
      <w:pPr>
        <w:ind w:firstLine="640" w:firstLineChars="200"/>
        <w:rPr>
          <w:rFonts w:hint="eastAsia" w:eastAsia="仿宋_GB2312"/>
          <w:sz w:val="32"/>
          <w:szCs w:val="32"/>
        </w:rPr>
      </w:pPr>
      <w:r>
        <w:rPr>
          <w:rFonts w:hint="eastAsia" w:eastAsia="仿宋_GB2312"/>
          <w:sz w:val="32"/>
          <w:szCs w:val="32"/>
        </w:rPr>
        <w:t>（2）增加湿度  该价值可以用加湿器增加湿度所耗电能价值来替代，计算公式为：</w:t>
      </w:r>
    </w:p>
    <w:p w14:paraId="6A740FBA">
      <w:pPr>
        <w:ind w:firstLine="640" w:firstLineChars="200"/>
        <w:rPr>
          <w:rFonts w:hint="eastAsia" w:eastAsia="仿宋_GB2312"/>
          <w:i/>
          <w:sz w:val="32"/>
          <w:szCs w:val="32"/>
        </w:rPr>
      </w:pPr>
      <w:r>
        <w:rPr>
          <w:rFonts w:hint="eastAsia" w:eastAsia="仿宋_GB2312"/>
          <w:i/>
          <w:sz w:val="32"/>
          <w:szCs w:val="32"/>
        </w:rPr>
        <w:t>U</w:t>
      </w:r>
      <w:r>
        <w:rPr>
          <w:rFonts w:hint="eastAsia" w:eastAsia="仿宋_GB2312"/>
          <w:sz w:val="32"/>
          <w:szCs w:val="32"/>
          <w:vertAlign w:val="subscript"/>
        </w:rPr>
        <w:t>增湿</w:t>
      </w:r>
      <w:r>
        <w:rPr>
          <w:rFonts w:hint="eastAsia" w:eastAsia="仿宋_GB2312"/>
          <w:sz w:val="32"/>
          <w:szCs w:val="32"/>
        </w:rPr>
        <w:t xml:space="preserve"> =</w:t>
      </w:r>
      <w:r>
        <w:rPr>
          <w:rFonts w:hint="eastAsia" w:eastAsia="仿宋_GB2312"/>
          <w:i/>
          <w:sz w:val="32"/>
          <w:szCs w:val="32"/>
        </w:rPr>
        <w:t>KD</w:t>
      </w:r>
      <w:r>
        <w:rPr>
          <w:rFonts w:hint="eastAsia" w:eastAsia="仿宋_GB2312"/>
          <w:sz w:val="32"/>
          <w:szCs w:val="32"/>
          <w:vertAlign w:val="subscript"/>
        </w:rPr>
        <w:t>湿度</w:t>
      </w:r>
      <w:r>
        <w:rPr>
          <w:rFonts w:hint="eastAsia" w:eastAsia="仿宋_GB2312"/>
          <w:i/>
          <w:sz w:val="32"/>
          <w:szCs w:val="32"/>
        </w:rPr>
        <w:t>T</w:t>
      </w:r>
      <w:r>
        <w:rPr>
          <w:rFonts w:hint="eastAsia" w:eastAsia="仿宋_GB2312"/>
          <w:sz w:val="32"/>
          <w:szCs w:val="32"/>
          <w:vertAlign w:val="subscript"/>
        </w:rPr>
        <w:t>加湿器</w:t>
      </w:r>
      <w:r>
        <w:rPr>
          <w:rFonts w:hint="eastAsia" w:eastAsia="仿宋_GB2312"/>
          <w:sz w:val="32"/>
          <w:szCs w:val="32"/>
        </w:rPr>
        <w:t xml:space="preserve"> </w:t>
      </w:r>
      <w:r>
        <w:rPr>
          <w:rFonts w:hint="eastAsia" w:eastAsia="仿宋_GB2312"/>
          <w:i/>
          <w:sz w:val="32"/>
          <w:szCs w:val="32"/>
        </w:rPr>
        <w:t>M</w:t>
      </w:r>
      <w:r>
        <w:rPr>
          <w:rFonts w:hint="eastAsia" w:eastAsia="仿宋_GB2312"/>
          <w:sz w:val="32"/>
          <w:szCs w:val="32"/>
          <w:vertAlign w:val="subscript"/>
        </w:rPr>
        <w:t>加湿器</w:t>
      </w:r>
      <w:r>
        <w:rPr>
          <w:rFonts w:hint="eastAsia" w:eastAsia="仿宋_GB2312"/>
          <w:sz w:val="32"/>
          <w:szCs w:val="32"/>
        </w:rPr>
        <w:t xml:space="preserve"> </w:t>
      </w:r>
      <w:r>
        <w:rPr>
          <w:rFonts w:hint="eastAsia" w:eastAsia="仿宋_GB2312"/>
          <w:i/>
          <w:sz w:val="32"/>
          <w:szCs w:val="32"/>
        </w:rPr>
        <w:t>C</w:t>
      </w:r>
    </w:p>
    <w:p w14:paraId="018C4763">
      <w:pPr>
        <w:ind w:firstLine="640" w:firstLineChars="200"/>
        <w:rPr>
          <w:rFonts w:hint="eastAsia" w:eastAsia="仿宋_GB2312"/>
          <w:sz w:val="32"/>
          <w:szCs w:val="32"/>
        </w:rPr>
      </w:pPr>
      <w:r>
        <w:rPr>
          <w:rFonts w:hint="eastAsia" w:eastAsia="仿宋_GB2312"/>
          <w:i/>
          <w:sz w:val="32"/>
          <w:szCs w:val="32"/>
        </w:rPr>
        <w:t>U</w:t>
      </w:r>
      <w:r>
        <w:rPr>
          <w:rFonts w:hint="eastAsia" w:eastAsia="仿宋_GB2312"/>
          <w:sz w:val="32"/>
          <w:szCs w:val="32"/>
          <w:vertAlign w:val="subscript"/>
        </w:rPr>
        <w:t>增湿</w:t>
      </w:r>
      <w:r>
        <w:rPr>
          <w:rFonts w:hint="eastAsia" w:eastAsia="仿宋_GB2312"/>
          <w:sz w:val="32"/>
          <w:szCs w:val="32"/>
        </w:rPr>
        <w:t>—森林年均调节湿度的价值（元/a）；</w:t>
      </w:r>
    </w:p>
    <w:p w14:paraId="7D9B5B41">
      <w:pPr>
        <w:ind w:firstLine="640" w:firstLineChars="200"/>
        <w:rPr>
          <w:rFonts w:hint="eastAsia" w:eastAsia="仿宋_GB2312"/>
          <w:sz w:val="32"/>
          <w:szCs w:val="32"/>
        </w:rPr>
      </w:pPr>
      <w:r>
        <w:rPr>
          <w:rFonts w:hint="eastAsia" w:eastAsia="仿宋_GB2312"/>
          <w:sz w:val="32"/>
          <w:szCs w:val="32"/>
        </w:rPr>
        <w:t xml:space="preserve">K—森林增湿空间（m </w:t>
      </w:r>
      <w:r>
        <w:rPr>
          <w:rFonts w:hint="eastAsia" w:eastAsia="仿宋_GB2312"/>
          <w:sz w:val="32"/>
          <w:szCs w:val="32"/>
          <w:vertAlign w:val="superscript"/>
        </w:rPr>
        <w:t>3</w:t>
      </w:r>
      <w:r>
        <w:rPr>
          <w:rFonts w:hint="eastAsia" w:eastAsia="仿宋_GB2312"/>
          <w:sz w:val="32"/>
          <w:szCs w:val="32"/>
        </w:rPr>
        <w:t>） ；</w:t>
      </w:r>
    </w:p>
    <w:p w14:paraId="4C08D8F4">
      <w:pPr>
        <w:ind w:firstLine="640" w:firstLineChars="200"/>
        <w:rPr>
          <w:rFonts w:hint="eastAsia" w:eastAsia="仿宋_GB2312"/>
          <w:sz w:val="32"/>
          <w:szCs w:val="32"/>
        </w:rPr>
      </w:pPr>
      <w:r>
        <w:rPr>
          <w:rFonts w:hint="eastAsia" w:eastAsia="仿宋_GB2312"/>
          <w:i/>
          <w:sz w:val="32"/>
          <w:szCs w:val="32"/>
        </w:rPr>
        <w:t>D</w:t>
      </w:r>
      <w:r>
        <w:rPr>
          <w:rFonts w:hint="eastAsia" w:eastAsia="仿宋_GB2312"/>
          <w:sz w:val="32"/>
          <w:szCs w:val="32"/>
          <w:vertAlign w:val="subscript"/>
        </w:rPr>
        <w:t>湿度</w:t>
      </w:r>
      <w:r>
        <w:rPr>
          <w:rFonts w:hint="eastAsia" w:eastAsia="仿宋_GB2312"/>
          <w:sz w:val="32"/>
          <w:szCs w:val="32"/>
        </w:rPr>
        <w:t>—无林区与有林区日平均湿度差的绝对值（%）；</w:t>
      </w:r>
    </w:p>
    <w:p w14:paraId="0A77F644">
      <w:pPr>
        <w:ind w:firstLine="640" w:firstLineChars="200"/>
        <w:rPr>
          <w:rFonts w:hint="eastAsia" w:eastAsia="仿宋_GB2312"/>
          <w:sz w:val="32"/>
          <w:szCs w:val="32"/>
        </w:rPr>
      </w:pPr>
      <w:r>
        <w:rPr>
          <w:rFonts w:hint="eastAsia" w:eastAsia="仿宋_GB2312"/>
          <w:i/>
          <w:sz w:val="32"/>
          <w:szCs w:val="32"/>
        </w:rPr>
        <w:t>T</w:t>
      </w:r>
      <w:r>
        <w:rPr>
          <w:rFonts w:hint="eastAsia" w:eastAsia="仿宋_GB2312"/>
          <w:sz w:val="32"/>
          <w:szCs w:val="32"/>
          <w:vertAlign w:val="subscript"/>
        </w:rPr>
        <w:t>加湿器</w:t>
      </w:r>
      <w:r>
        <w:rPr>
          <w:rFonts w:hint="eastAsia" w:eastAsia="仿宋_GB2312"/>
          <w:sz w:val="32"/>
          <w:szCs w:val="32"/>
        </w:rPr>
        <w:t>—该区域年均使用加湿器的天数（天/a）；</w:t>
      </w:r>
    </w:p>
    <w:p w14:paraId="372F3837">
      <w:pPr>
        <w:ind w:firstLine="640" w:firstLineChars="200"/>
        <w:rPr>
          <w:rFonts w:hint="eastAsia" w:eastAsia="仿宋_GB2312"/>
          <w:sz w:val="32"/>
          <w:szCs w:val="32"/>
        </w:rPr>
      </w:pPr>
      <w:r>
        <w:rPr>
          <w:rFonts w:hint="eastAsia" w:eastAsia="仿宋_GB2312"/>
          <w:i/>
          <w:sz w:val="32"/>
          <w:szCs w:val="32"/>
        </w:rPr>
        <w:t>M</w:t>
      </w:r>
      <w:r>
        <w:rPr>
          <w:rFonts w:hint="eastAsia" w:eastAsia="仿宋_GB2312"/>
          <w:sz w:val="32"/>
          <w:szCs w:val="32"/>
          <w:vertAlign w:val="subscript"/>
        </w:rPr>
        <w:t>加湿器</w:t>
      </w:r>
      <w:r>
        <w:rPr>
          <w:rFonts w:hint="eastAsia" w:eastAsia="仿宋_GB2312"/>
          <w:sz w:val="32"/>
          <w:szCs w:val="32"/>
        </w:rPr>
        <w:t>—加湿器的增湿能力，即加湿器每m</w:t>
      </w:r>
      <w:r>
        <w:rPr>
          <w:rFonts w:hint="eastAsia" w:eastAsia="仿宋_GB2312"/>
          <w:sz w:val="32"/>
          <w:szCs w:val="32"/>
          <w:vertAlign w:val="superscript"/>
        </w:rPr>
        <w:t>3</w:t>
      </w:r>
      <w:r>
        <w:rPr>
          <w:rFonts w:hint="eastAsia" w:eastAsia="仿宋_GB2312"/>
          <w:sz w:val="32"/>
          <w:szCs w:val="32"/>
        </w:rPr>
        <w:t>单位每天增湿所耗的电量（kWh / m</w:t>
      </w:r>
      <w:r>
        <w:rPr>
          <w:rFonts w:hint="eastAsia" w:eastAsia="仿宋_GB2312"/>
          <w:sz w:val="32"/>
          <w:szCs w:val="32"/>
          <w:vertAlign w:val="superscript"/>
        </w:rPr>
        <w:t>3</w:t>
      </w:r>
      <w:r>
        <w:rPr>
          <w:rFonts w:hint="eastAsia" w:eastAsia="仿宋_GB2312"/>
          <w:sz w:val="32"/>
          <w:szCs w:val="32"/>
        </w:rPr>
        <w:t xml:space="preserve">·℃·天）； </w:t>
      </w:r>
    </w:p>
    <w:p w14:paraId="298C6196">
      <w:pPr>
        <w:ind w:firstLine="640" w:firstLineChars="200"/>
        <w:rPr>
          <w:rFonts w:hint="eastAsia" w:eastAsia="仿宋_GB2312"/>
          <w:sz w:val="32"/>
          <w:szCs w:val="32"/>
        </w:rPr>
      </w:pPr>
      <w:r>
        <w:rPr>
          <w:rFonts w:hint="eastAsia" w:eastAsia="仿宋_GB2312"/>
          <w:i/>
          <w:sz w:val="32"/>
          <w:szCs w:val="32"/>
        </w:rPr>
        <w:t>C</w:t>
      </w:r>
      <w:r>
        <w:rPr>
          <w:rFonts w:hint="eastAsia" w:eastAsia="仿宋_GB2312"/>
          <w:sz w:val="32"/>
          <w:szCs w:val="32"/>
        </w:rPr>
        <w:t>—单位电费（元/ kWh）。</w:t>
      </w:r>
    </w:p>
    <w:p w14:paraId="09887589">
      <w:pPr>
        <w:ind w:firstLine="640" w:firstLineChars="200"/>
        <w:rPr>
          <w:rFonts w:hint="eastAsia" w:eastAsia="仿宋_GB2312"/>
          <w:sz w:val="32"/>
          <w:szCs w:val="32"/>
        </w:rPr>
      </w:pPr>
      <w:r>
        <w:rPr>
          <w:rFonts w:hint="eastAsia" w:eastAsia="仿宋_GB2312"/>
          <w:sz w:val="32"/>
          <w:szCs w:val="32"/>
        </w:rPr>
        <w:t>参数取值：</w:t>
      </w:r>
    </w:p>
    <w:p w14:paraId="5311CB88">
      <w:pPr>
        <w:ind w:firstLine="640" w:firstLineChars="200"/>
        <w:rPr>
          <w:rFonts w:hint="eastAsia" w:eastAsia="仿宋_GB2312"/>
          <w:sz w:val="32"/>
          <w:szCs w:val="32"/>
        </w:rPr>
      </w:pPr>
      <w:r>
        <w:rPr>
          <w:rFonts w:hint="eastAsia" w:eastAsia="仿宋_GB2312"/>
          <w:sz w:val="32"/>
          <w:szCs w:val="32"/>
        </w:rPr>
        <w:t>1）森林调温空间：三亚多为乔木林，一般以5 m为高度乘以森林面积。</w:t>
      </w:r>
    </w:p>
    <w:p w14:paraId="6CB9F42C">
      <w:pPr>
        <w:ind w:firstLine="640" w:firstLineChars="200"/>
        <w:rPr>
          <w:rFonts w:hint="eastAsia" w:eastAsia="仿宋_GB2312"/>
          <w:sz w:val="32"/>
          <w:szCs w:val="32"/>
        </w:rPr>
      </w:pPr>
      <w:r>
        <w:rPr>
          <w:rFonts w:hint="eastAsia" w:eastAsia="仿宋_GB2312"/>
          <w:sz w:val="32"/>
          <w:szCs w:val="32"/>
        </w:rPr>
        <w:t>2）无林区与有林区日平均温度差：据研究，有林地的日平均气温至少要比外界低1.7℃。</w:t>
      </w:r>
    </w:p>
    <w:p w14:paraId="34D93F09">
      <w:pPr>
        <w:ind w:firstLine="640" w:firstLineChars="200"/>
        <w:rPr>
          <w:rFonts w:hint="eastAsia" w:eastAsia="仿宋_GB2312"/>
          <w:sz w:val="32"/>
          <w:szCs w:val="32"/>
        </w:rPr>
      </w:pPr>
      <w:r>
        <w:rPr>
          <w:rFonts w:hint="eastAsia" w:eastAsia="仿宋_GB2312"/>
          <w:sz w:val="32"/>
          <w:szCs w:val="32"/>
        </w:rPr>
        <w:t>3）无林区与有林区日平均湿度差：据研究，有林地的日平均湿度至少要比外界高20%。</w:t>
      </w:r>
    </w:p>
    <w:p w14:paraId="0D540A46">
      <w:pPr>
        <w:ind w:firstLine="640" w:firstLineChars="200"/>
        <w:rPr>
          <w:rFonts w:hint="eastAsia" w:eastAsia="仿宋_GB2312"/>
          <w:sz w:val="32"/>
          <w:szCs w:val="32"/>
        </w:rPr>
      </w:pPr>
      <w:r>
        <w:rPr>
          <w:rFonts w:hint="eastAsia" w:eastAsia="仿宋_GB2312"/>
          <w:sz w:val="32"/>
          <w:szCs w:val="32"/>
        </w:rPr>
        <w:t>4）年均使用空调的天数：根据三亚市调查，取270天/a。</w:t>
      </w:r>
    </w:p>
    <w:p w14:paraId="6C1AD646">
      <w:pPr>
        <w:ind w:firstLine="640" w:firstLineChars="200"/>
        <w:rPr>
          <w:rFonts w:hint="eastAsia" w:eastAsia="仿宋_GB2312"/>
          <w:sz w:val="32"/>
          <w:szCs w:val="32"/>
        </w:rPr>
      </w:pPr>
      <w:r>
        <w:rPr>
          <w:rFonts w:hint="eastAsia" w:eastAsia="仿宋_GB2312"/>
          <w:sz w:val="32"/>
          <w:szCs w:val="32"/>
        </w:rPr>
        <w:t>5）年均使用加湿器的天数：根据三亚市调查，取15天/a。</w:t>
      </w:r>
    </w:p>
    <w:p w14:paraId="5C9B3A22">
      <w:pPr>
        <w:ind w:firstLine="640" w:firstLineChars="200"/>
        <w:rPr>
          <w:rFonts w:hint="eastAsia" w:eastAsia="仿宋_GB2312"/>
          <w:sz w:val="32"/>
          <w:szCs w:val="32"/>
        </w:rPr>
      </w:pPr>
      <w:r>
        <w:rPr>
          <w:rFonts w:hint="eastAsia" w:eastAsia="仿宋_GB2312"/>
          <w:sz w:val="32"/>
          <w:szCs w:val="32"/>
        </w:rPr>
        <w:t>6）空调调温能力：约0.02 kWh / m</w:t>
      </w:r>
      <w:r>
        <w:rPr>
          <w:rFonts w:hint="eastAsia" w:eastAsia="仿宋_GB2312"/>
          <w:sz w:val="32"/>
          <w:szCs w:val="32"/>
          <w:vertAlign w:val="superscript"/>
        </w:rPr>
        <w:t>3</w:t>
      </w:r>
      <w:r>
        <w:rPr>
          <w:rFonts w:hint="eastAsia" w:eastAsia="仿宋_GB2312"/>
          <w:sz w:val="32"/>
          <w:szCs w:val="32"/>
        </w:rPr>
        <w:t>·℃·天。</w:t>
      </w:r>
    </w:p>
    <w:p w14:paraId="4A120A2F">
      <w:pPr>
        <w:ind w:firstLine="640" w:firstLineChars="200"/>
        <w:rPr>
          <w:rFonts w:hint="eastAsia" w:eastAsia="仿宋_GB2312"/>
          <w:sz w:val="32"/>
          <w:szCs w:val="32"/>
        </w:rPr>
      </w:pPr>
      <w:r>
        <w:rPr>
          <w:rFonts w:hint="eastAsia" w:eastAsia="仿宋_GB2312"/>
          <w:sz w:val="32"/>
          <w:szCs w:val="32"/>
        </w:rPr>
        <w:t>7）加湿器的增湿能力：约0.0025 kWh / m</w:t>
      </w:r>
      <w:r>
        <w:rPr>
          <w:rFonts w:hint="eastAsia" w:eastAsia="仿宋_GB2312"/>
          <w:sz w:val="32"/>
          <w:szCs w:val="32"/>
          <w:vertAlign w:val="superscript"/>
        </w:rPr>
        <w:t>3</w:t>
      </w:r>
      <w:r>
        <w:rPr>
          <w:rFonts w:hint="eastAsia" w:eastAsia="仿宋_GB2312"/>
          <w:sz w:val="32"/>
          <w:szCs w:val="32"/>
        </w:rPr>
        <w:t>·%·天。</w:t>
      </w:r>
    </w:p>
    <w:p w14:paraId="311D9321">
      <w:pPr>
        <w:ind w:firstLine="640" w:firstLineChars="200"/>
        <w:rPr>
          <w:rFonts w:hint="eastAsia" w:eastAsia="仿宋_GB2312"/>
          <w:sz w:val="32"/>
          <w:szCs w:val="32"/>
        </w:rPr>
      </w:pPr>
      <w:r>
        <w:rPr>
          <w:rFonts w:hint="eastAsia" w:eastAsia="仿宋_GB2312"/>
          <w:sz w:val="32"/>
          <w:szCs w:val="32"/>
        </w:rPr>
        <w:t>8）单位电费：三亚市电价平均为0.6083元/ kWh。</w:t>
      </w:r>
    </w:p>
    <w:p w14:paraId="56A21B99">
      <w:pPr>
        <w:ind w:firstLine="640" w:firstLineChars="200"/>
        <w:rPr>
          <w:rFonts w:hint="eastAsia" w:eastAsia="仿宋_GB2312"/>
          <w:sz w:val="32"/>
          <w:szCs w:val="32"/>
        </w:rPr>
      </w:pPr>
      <w:r>
        <w:rPr>
          <w:rFonts w:hint="eastAsia" w:eastAsia="仿宋_GB2312"/>
          <w:sz w:val="32"/>
          <w:szCs w:val="32"/>
        </w:rPr>
        <w:t>根据公式计算，通过三亚市林业产业发展规划（2021~2035年）的建设，三亚市每年森林减低温度的生态效益约为365亿元；每年森林增加适度的生态效益约30亿元。</w:t>
      </w:r>
    </w:p>
    <w:p w14:paraId="2409A8C8">
      <w:pPr>
        <w:ind w:firstLine="643" w:firstLineChars="200"/>
        <w:rPr>
          <w:rFonts w:eastAsia="仿宋_GB2312"/>
          <w:b/>
          <w:sz w:val="32"/>
          <w:szCs w:val="32"/>
        </w:rPr>
      </w:pPr>
      <w:r>
        <w:rPr>
          <w:rFonts w:eastAsia="仿宋_GB2312"/>
          <w:b/>
          <w:sz w:val="32"/>
          <w:szCs w:val="32"/>
        </w:rPr>
        <w:t>（3）保护生物多样性</w:t>
      </w:r>
    </w:p>
    <w:p w14:paraId="219CBF39">
      <w:pPr>
        <w:ind w:firstLine="640" w:firstLineChars="200"/>
        <w:rPr>
          <w:rFonts w:eastAsia="仿宋_GB2312"/>
          <w:sz w:val="32"/>
          <w:szCs w:val="32"/>
        </w:rPr>
      </w:pPr>
      <w:r>
        <w:rPr>
          <w:rFonts w:eastAsia="仿宋_GB2312"/>
          <w:sz w:val="32"/>
          <w:szCs w:val="32"/>
        </w:rPr>
        <w:t>依托自然公园、森林公园、自然保护区、风景名胜区等，构筑生物多样性的生态网络和绿色屏障，为生物提供繁衍生存条件，保护生物物种的多样性。在获取经济价值的同时起到绿化美化环境、创造优美生活空间的作用。因此，实现本规划目标后，既能取得较好的经济效益，又能美化人居环境、改善居民生活空间，具有很好的生态效益。</w:t>
      </w:r>
    </w:p>
    <w:p w14:paraId="1560BAE3">
      <w:pPr>
        <w:pStyle w:val="3"/>
        <w:spacing w:before="0" w:after="0" w:line="240" w:lineRule="auto"/>
        <w:rPr>
          <w:rFonts w:ascii="Times New Roman" w:hAnsi="Times New Roman" w:eastAsia="黑体"/>
        </w:rPr>
      </w:pPr>
      <w:bookmarkStart w:id="239" w:name="_Toc1545"/>
      <w:bookmarkStart w:id="240" w:name="_Toc21679"/>
      <w:bookmarkStart w:id="241" w:name="_Toc12932"/>
      <w:bookmarkStart w:id="242" w:name="_Toc82546125"/>
      <w:bookmarkStart w:id="243" w:name="_Toc7715"/>
      <w:bookmarkStart w:id="244" w:name="_Toc18390"/>
      <w:bookmarkStart w:id="245" w:name="_Toc12291"/>
      <w:bookmarkStart w:id="246" w:name="_Toc25437"/>
      <w:bookmarkStart w:id="247" w:name="_Toc9437"/>
      <w:bookmarkStart w:id="248" w:name="_Toc19720"/>
      <w:r>
        <w:rPr>
          <w:rFonts w:ascii="Times New Roman" w:hAnsi="Times New Roman" w:eastAsia="黑体"/>
        </w:rPr>
        <w:t>1</w:t>
      </w:r>
      <w:r>
        <w:rPr>
          <w:rFonts w:hint="eastAsia" w:ascii="Times New Roman" w:hAnsi="Times New Roman" w:eastAsia="黑体"/>
        </w:rPr>
        <w:t>4</w:t>
      </w:r>
      <w:r>
        <w:rPr>
          <w:rFonts w:ascii="Times New Roman" w:hAnsi="Times New Roman" w:eastAsia="黑体"/>
        </w:rPr>
        <w:t>.3</w:t>
      </w:r>
      <w:r>
        <w:rPr>
          <w:rFonts w:hint="eastAsia" w:ascii="Times New Roman" w:hAnsi="Times New Roman" w:eastAsia="黑体"/>
        </w:rPr>
        <w:t xml:space="preserve"> </w:t>
      </w:r>
      <w:r>
        <w:rPr>
          <w:rFonts w:ascii="Times New Roman" w:hAnsi="Times New Roman" w:eastAsia="黑体"/>
        </w:rPr>
        <w:t>社会效益</w:t>
      </w:r>
      <w:bookmarkEnd w:id="239"/>
      <w:bookmarkEnd w:id="240"/>
      <w:bookmarkEnd w:id="241"/>
      <w:bookmarkEnd w:id="242"/>
      <w:bookmarkEnd w:id="243"/>
      <w:bookmarkEnd w:id="244"/>
      <w:bookmarkEnd w:id="245"/>
      <w:bookmarkEnd w:id="246"/>
      <w:bookmarkEnd w:id="247"/>
      <w:bookmarkEnd w:id="248"/>
    </w:p>
    <w:p w14:paraId="3AEE4D63">
      <w:pPr>
        <w:ind w:firstLine="643" w:firstLineChars="200"/>
        <w:rPr>
          <w:rFonts w:eastAsia="仿宋_GB2312"/>
          <w:b/>
          <w:sz w:val="32"/>
          <w:szCs w:val="32"/>
        </w:rPr>
      </w:pPr>
      <w:r>
        <w:rPr>
          <w:rFonts w:eastAsia="仿宋_GB2312"/>
          <w:b/>
          <w:sz w:val="32"/>
          <w:szCs w:val="32"/>
        </w:rPr>
        <w:t>（1）提升城市形象，促进区域发展</w:t>
      </w:r>
    </w:p>
    <w:p w14:paraId="631BAE46">
      <w:pPr>
        <w:ind w:firstLine="640" w:firstLineChars="200"/>
        <w:rPr>
          <w:rFonts w:eastAsia="仿宋_GB2312"/>
          <w:sz w:val="32"/>
          <w:szCs w:val="32"/>
        </w:rPr>
      </w:pPr>
      <w:r>
        <w:rPr>
          <w:rFonts w:hint="eastAsia" w:eastAsia="仿宋_GB2312"/>
          <w:sz w:val="32"/>
          <w:szCs w:val="32"/>
        </w:rPr>
        <w:t>通过林业产业发展，不仅可以带动相关产业发展，提供城乡居民更多就业机会，而且可以优化投资环境、促进城乡协调发展、改善人居环境、提高生态意识，从而丰富城市文化内涵，增强城市吸引力，提升城市的形象品位和综合实力。</w:t>
      </w:r>
    </w:p>
    <w:p w14:paraId="37F98F11">
      <w:pPr>
        <w:ind w:firstLine="643" w:firstLineChars="200"/>
        <w:rPr>
          <w:rFonts w:eastAsia="仿宋_GB2312"/>
          <w:b/>
          <w:sz w:val="32"/>
          <w:szCs w:val="32"/>
        </w:rPr>
      </w:pPr>
      <w:r>
        <w:rPr>
          <w:rFonts w:eastAsia="仿宋_GB2312"/>
          <w:b/>
          <w:sz w:val="32"/>
          <w:szCs w:val="32"/>
        </w:rPr>
        <w:t>（2）改善人居环境，增进民生福祉</w:t>
      </w:r>
    </w:p>
    <w:p w14:paraId="7BF25EA2">
      <w:pPr>
        <w:spacing w:line="360" w:lineRule="auto"/>
        <w:ind w:firstLine="640" w:firstLineChars="200"/>
        <w:rPr>
          <w:rFonts w:eastAsia="仿宋_GB2312"/>
          <w:sz w:val="32"/>
          <w:szCs w:val="32"/>
        </w:rPr>
      </w:pPr>
      <w:r>
        <w:rPr>
          <w:rFonts w:eastAsia="仿宋_GB2312"/>
          <w:sz w:val="32"/>
          <w:szCs w:val="32"/>
        </w:rPr>
        <w:t>良好的生态环境不仅让人们从视觉上感受到森林的美，增加了亲近森林、了解森林的机会，而且还能缓解精神上的压力。</w:t>
      </w:r>
      <w:r>
        <w:rPr>
          <w:rFonts w:hint="eastAsia" w:eastAsia="仿宋_GB2312"/>
          <w:sz w:val="32"/>
          <w:szCs w:val="32"/>
        </w:rPr>
        <w:t>三亚</w:t>
      </w:r>
      <w:r>
        <w:rPr>
          <w:rFonts w:eastAsia="仿宋_GB2312"/>
          <w:sz w:val="32"/>
          <w:szCs w:val="32"/>
        </w:rPr>
        <w:t>林业产业规划建设期间，三亚将构建完善的森林公园体系、健全的城乡绿道网络、完备的森林康养体系，进一步丰富森林体验方式，为人们提供了良好的社交场所和游憩空间，有助于人们走进大自然，扩大交往，娱乐身心，陶冶情操，为居民的生活提供绿色屏障，弘扬生态文化。</w:t>
      </w:r>
    </w:p>
    <w:p w14:paraId="1C25566E">
      <w:pPr>
        <w:ind w:firstLine="643" w:firstLineChars="200"/>
        <w:rPr>
          <w:rFonts w:hint="eastAsia" w:eastAsia="仿宋_GB2312"/>
          <w:b/>
          <w:sz w:val="32"/>
          <w:szCs w:val="32"/>
        </w:rPr>
      </w:pPr>
    </w:p>
    <w:p w14:paraId="5F716AE3">
      <w:pPr>
        <w:ind w:firstLine="643" w:firstLineChars="200"/>
        <w:rPr>
          <w:rFonts w:eastAsia="仿宋_GB2312"/>
          <w:b/>
          <w:sz w:val="32"/>
          <w:szCs w:val="32"/>
        </w:rPr>
      </w:pPr>
      <w:r>
        <w:rPr>
          <w:rFonts w:eastAsia="仿宋_GB2312"/>
          <w:b/>
          <w:sz w:val="32"/>
          <w:szCs w:val="32"/>
        </w:rPr>
        <w:t>（3）统筹城乡发展，推进乡村振兴</w:t>
      </w:r>
    </w:p>
    <w:p w14:paraId="1D1E77C2">
      <w:pPr>
        <w:spacing w:line="360" w:lineRule="auto"/>
        <w:ind w:firstLine="640" w:firstLineChars="200"/>
        <w:rPr>
          <w:rFonts w:hint="eastAsia" w:eastAsia="仿宋_GB2312"/>
          <w:sz w:val="32"/>
          <w:szCs w:val="32"/>
        </w:rPr>
      </w:pPr>
      <w:r>
        <w:rPr>
          <w:rFonts w:hint="eastAsia" w:eastAsia="仿宋_GB2312"/>
          <w:sz w:val="32"/>
          <w:szCs w:val="32"/>
        </w:rPr>
        <w:t>林业发展既是城市自身发展的需要，也是城乡统筹发展的重要一环。</w:t>
      </w:r>
      <w:r>
        <w:rPr>
          <w:rFonts w:eastAsia="仿宋_GB2312"/>
          <w:sz w:val="32"/>
          <w:szCs w:val="32"/>
        </w:rPr>
        <w:t>三亚市林业产业发展将紧紧围绕城乡一体化发展，有计划、有组织、有步骤地推进绿化由城区向乡村延伸；依托自然公园、廊道绿化、水岸绿化、美丽乡村等生态工程建设，形成城乡一体化的大环境绿化格局，使城乡成为提供宜居、娱乐、休憩、旅游等多种服务功能的重要载体，推进乡村振兴，助力美丽乡村建设。</w:t>
      </w:r>
    </w:p>
    <w:p w14:paraId="34E51988">
      <w:pPr>
        <w:spacing w:line="360" w:lineRule="auto"/>
        <w:ind w:firstLine="643" w:firstLineChars="200"/>
        <w:rPr>
          <w:rFonts w:hint="eastAsia" w:eastAsia="仿宋_GB2312"/>
          <w:b/>
          <w:sz w:val="32"/>
          <w:szCs w:val="32"/>
        </w:rPr>
      </w:pPr>
      <w:r>
        <w:rPr>
          <w:rFonts w:hint="eastAsia" w:eastAsia="仿宋_GB2312"/>
          <w:b/>
          <w:sz w:val="32"/>
          <w:szCs w:val="32"/>
        </w:rPr>
        <w:t>（4）提供就业机会，巩固扶贫成效</w:t>
      </w:r>
    </w:p>
    <w:p w14:paraId="541137E5">
      <w:pPr>
        <w:spacing w:line="360" w:lineRule="auto"/>
        <w:ind w:firstLine="640" w:firstLineChars="200"/>
        <w:rPr>
          <w:rFonts w:eastAsia="仿宋_GB2312"/>
          <w:sz w:val="32"/>
          <w:szCs w:val="32"/>
        </w:rPr>
      </w:pPr>
      <w:r>
        <w:rPr>
          <w:rFonts w:hint="eastAsia" w:eastAsia="仿宋_GB2312"/>
          <w:sz w:val="32"/>
          <w:szCs w:val="32"/>
        </w:rPr>
        <w:t>充分释放三亚林地、湿地资源和物种资源及劳动力资源的巨大潜力，培育大批林业技术人员，增加就业的同时也提高了他们的专业水平，使林业地位得到提高。对增加农民收入、提高全社会生态环境保护意识等具有重要意义。</w:t>
      </w:r>
    </w:p>
    <w:p w14:paraId="339A1C97">
      <w:pPr>
        <w:ind w:firstLine="643" w:firstLineChars="200"/>
        <w:rPr>
          <w:rFonts w:eastAsia="仿宋_GB2312"/>
          <w:b/>
          <w:sz w:val="32"/>
          <w:szCs w:val="32"/>
        </w:rPr>
      </w:pPr>
      <w:r>
        <w:rPr>
          <w:rFonts w:eastAsia="仿宋_GB2312"/>
          <w:b/>
          <w:sz w:val="32"/>
          <w:szCs w:val="32"/>
        </w:rPr>
        <w:t>（</w:t>
      </w:r>
      <w:r>
        <w:rPr>
          <w:rFonts w:hint="eastAsia" w:eastAsia="仿宋_GB2312"/>
          <w:b/>
          <w:sz w:val="32"/>
          <w:szCs w:val="32"/>
        </w:rPr>
        <w:t>5</w:t>
      </w:r>
      <w:r>
        <w:rPr>
          <w:rFonts w:eastAsia="仿宋_GB2312"/>
          <w:b/>
          <w:sz w:val="32"/>
          <w:szCs w:val="32"/>
        </w:rPr>
        <w:t>）传播森林文化</w:t>
      </w:r>
      <w:r>
        <w:rPr>
          <w:rFonts w:hint="eastAsia" w:eastAsia="仿宋_GB2312"/>
          <w:b/>
          <w:sz w:val="32"/>
          <w:szCs w:val="32"/>
        </w:rPr>
        <w:t>，</w:t>
      </w:r>
      <w:r>
        <w:rPr>
          <w:rFonts w:eastAsia="仿宋_GB2312"/>
          <w:b/>
          <w:sz w:val="32"/>
          <w:szCs w:val="32"/>
        </w:rPr>
        <w:t>弘扬生态文明</w:t>
      </w:r>
    </w:p>
    <w:p w14:paraId="3A47A2E0">
      <w:pPr>
        <w:spacing w:line="360" w:lineRule="auto"/>
        <w:rPr>
          <w:rFonts w:hint="eastAsia" w:eastAsia="仿宋_GB2312"/>
          <w:sz w:val="32"/>
          <w:szCs w:val="32"/>
        </w:rPr>
      </w:pPr>
      <w:r>
        <w:rPr>
          <w:rFonts w:eastAsia="仿宋_GB2312"/>
          <w:sz w:val="32"/>
          <w:szCs w:val="32"/>
        </w:rPr>
        <w:t>森林是一座知识宝库，可激发灵感。公园、街头绿地是居民、游客休息、锻炼、娱乐、交流的场所，可以展示文化修养、风俗习惯，互相观摩，增进友谊。开展森林文化主题活动，强化人们的生态意识、绿化意识和环境保护意识，传播习近平生态文明思想，全面践行</w:t>
      </w:r>
      <w:r>
        <w:rPr>
          <w:rFonts w:hint="eastAsia" w:eastAsia="仿宋_GB2312"/>
          <w:sz w:val="32"/>
          <w:szCs w:val="32"/>
        </w:rPr>
        <w:t>“两山理念”，</w:t>
      </w:r>
      <w:r>
        <w:rPr>
          <w:rFonts w:eastAsia="仿宋_GB2312"/>
          <w:sz w:val="32"/>
          <w:szCs w:val="32"/>
        </w:rPr>
        <w:t>推进新时代生态文明建设。通过开展义务植树</w:t>
      </w:r>
      <w:r>
        <w:rPr>
          <w:rFonts w:hint="eastAsia" w:eastAsia="仿宋_GB2312"/>
          <w:sz w:val="32"/>
          <w:szCs w:val="32"/>
        </w:rPr>
        <w:t>、</w:t>
      </w:r>
      <w:r>
        <w:rPr>
          <w:rFonts w:eastAsia="仿宋_GB2312"/>
          <w:sz w:val="32"/>
          <w:szCs w:val="32"/>
        </w:rPr>
        <w:t>创建森林城市实践活动</w:t>
      </w:r>
      <w:r>
        <w:rPr>
          <w:rFonts w:hint="eastAsia" w:eastAsia="仿宋_GB2312"/>
          <w:sz w:val="32"/>
          <w:szCs w:val="32"/>
        </w:rPr>
        <w:t>，</w:t>
      </w:r>
      <w:r>
        <w:rPr>
          <w:rFonts w:eastAsia="仿宋_GB2312"/>
          <w:sz w:val="32"/>
          <w:szCs w:val="32"/>
        </w:rPr>
        <w:t>让市民积极地投身于生态环境建设中，推动三亚市生态文明建设</w:t>
      </w:r>
      <w:r>
        <w:rPr>
          <w:rFonts w:hint="eastAsia" w:eastAsia="仿宋_GB2312"/>
          <w:sz w:val="32"/>
          <w:szCs w:val="32"/>
        </w:rPr>
        <w:t>。</w:t>
      </w:r>
    </w:p>
    <w:p w14:paraId="694032EE">
      <w:pPr>
        <w:spacing w:line="360" w:lineRule="auto"/>
        <w:rPr>
          <w:rFonts w:hint="eastAsia" w:eastAsia="仿宋_GB2312"/>
          <w:sz w:val="32"/>
          <w:szCs w:val="32"/>
        </w:rPr>
      </w:pPr>
    </w:p>
    <w:p w14:paraId="5EEEC035">
      <w:pPr>
        <w:spacing w:line="360" w:lineRule="auto"/>
        <w:jc w:val="center"/>
        <w:rPr>
          <w:rFonts w:hint="eastAsia" w:eastAsia="黑体"/>
          <w:b/>
          <w:sz w:val="44"/>
          <w:szCs w:val="32"/>
        </w:rPr>
      </w:pPr>
    </w:p>
    <w:p w14:paraId="085092BD">
      <w:pPr>
        <w:spacing w:line="360" w:lineRule="auto"/>
        <w:jc w:val="center"/>
        <w:rPr>
          <w:rFonts w:hint="eastAsia" w:eastAsia="黑体"/>
          <w:b/>
          <w:sz w:val="44"/>
          <w:szCs w:val="32"/>
        </w:rPr>
      </w:pPr>
    </w:p>
    <w:p w14:paraId="161A1C34">
      <w:pPr>
        <w:spacing w:line="360" w:lineRule="auto"/>
        <w:jc w:val="center"/>
        <w:rPr>
          <w:rFonts w:hint="eastAsia" w:eastAsia="黑体"/>
          <w:b/>
          <w:sz w:val="44"/>
          <w:szCs w:val="32"/>
        </w:rPr>
      </w:pPr>
    </w:p>
    <w:p w14:paraId="02B8AB92">
      <w:pPr>
        <w:spacing w:line="360" w:lineRule="auto"/>
        <w:jc w:val="center"/>
        <w:rPr>
          <w:rFonts w:hint="eastAsia" w:eastAsia="黑体"/>
          <w:b/>
          <w:sz w:val="44"/>
          <w:szCs w:val="32"/>
        </w:rPr>
      </w:pPr>
    </w:p>
    <w:p w14:paraId="019AA7C1">
      <w:pPr>
        <w:spacing w:line="360" w:lineRule="auto"/>
        <w:jc w:val="center"/>
        <w:rPr>
          <w:rFonts w:hint="eastAsia" w:eastAsia="黑体"/>
          <w:b/>
          <w:sz w:val="44"/>
          <w:szCs w:val="32"/>
        </w:rPr>
      </w:pPr>
    </w:p>
    <w:p w14:paraId="252254EF">
      <w:pPr>
        <w:spacing w:line="360" w:lineRule="auto"/>
        <w:jc w:val="center"/>
        <w:rPr>
          <w:rFonts w:hint="eastAsia" w:eastAsia="黑体"/>
          <w:b/>
          <w:sz w:val="44"/>
          <w:szCs w:val="32"/>
        </w:rPr>
      </w:pPr>
    </w:p>
    <w:p w14:paraId="312119AE">
      <w:pPr>
        <w:spacing w:line="360" w:lineRule="auto"/>
        <w:jc w:val="center"/>
        <w:rPr>
          <w:rFonts w:hint="eastAsia" w:eastAsia="黑体"/>
          <w:b/>
          <w:sz w:val="44"/>
          <w:szCs w:val="32"/>
        </w:rPr>
      </w:pPr>
    </w:p>
    <w:p w14:paraId="5DE2EC22">
      <w:pPr>
        <w:spacing w:line="360" w:lineRule="auto"/>
        <w:jc w:val="center"/>
        <w:rPr>
          <w:rFonts w:hint="eastAsia" w:eastAsia="黑体"/>
          <w:b/>
          <w:sz w:val="44"/>
          <w:szCs w:val="32"/>
        </w:rPr>
      </w:pPr>
    </w:p>
    <w:p w14:paraId="6589B438">
      <w:pPr>
        <w:spacing w:line="360" w:lineRule="auto"/>
        <w:jc w:val="center"/>
        <w:rPr>
          <w:rFonts w:hint="eastAsia" w:eastAsia="黑体"/>
          <w:b/>
          <w:sz w:val="44"/>
          <w:szCs w:val="32"/>
        </w:rPr>
      </w:pPr>
    </w:p>
    <w:p w14:paraId="6ED3C506">
      <w:pPr>
        <w:spacing w:line="360" w:lineRule="auto"/>
        <w:jc w:val="center"/>
        <w:rPr>
          <w:rFonts w:eastAsia="黑体"/>
          <w:b/>
          <w:sz w:val="44"/>
          <w:szCs w:val="32"/>
        </w:rPr>
      </w:pPr>
      <w:r>
        <w:rPr>
          <w:rFonts w:eastAsia="黑体"/>
          <w:b/>
          <w:sz w:val="44"/>
          <w:szCs w:val="32"/>
        </w:rPr>
        <w:t>三亚市林业产业发展规划（2021-3035年）</w:t>
      </w:r>
    </w:p>
    <w:p w14:paraId="4D3A5A9C">
      <w:pPr>
        <w:spacing w:before="319" w:beforeLines="100"/>
        <w:jc w:val="center"/>
        <w:rPr>
          <w:rFonts w:eastAsia="黑体"/>
          <w:b/>
          <w:sz w:val="40"/>
          <w:szCs w:val="32"/>
        </w:rPr>
        <w:sectPr>
          <w:pgSz w:w="11905" w:h="16838"/>
          <w:pgMar w:top="1440" w:right="1803" w:bottom="1440" w:left="1803" w:header="851" w:footer="992" w:gutter="0"/>
          <w:cols w:space="720" w:num="1"/>
          <w:docGrid w:type="lines" w:linePitch="319" w:charSpace="0"/>
        </w:sectPr>
      </w:pPr>
      <w:bookmarkStart w:id="249" w:name="_Toc533"/>
      <w:bookmarkStart w:id="250" w:name="_Toc8797"/>
      <w:bookmarkStart w:id="251" w:name="_Toc30685"/>
      <w:bookmarkStart w:id="252" w:name="_Toc70598425"/>
      <w:bookmarkStart w:id="253" w:name="_Toc6888"/>
      <w:bookmarkStart w:id="254" w:name="_Toc3617"/>
      <w:bookmarkStart w:id="255" w:name="_Toc20608"/>
      <w:bookmarkStart w:id="256" w:name="_Toc5146"/>
      <w:bookmarkStart w:id="257" w:name="_Toc9939"/>
      <w:bookmarkStart w:id="258" w:name="_Toc2120"/>
      <w:r>
        <w:rPr>
          <w:rFonts w:eastAsia="黑体"/>
          <w:b/>
          <w:sz w:val="40"/>
          <w:szCs w:val="32"/>
        </w:rPr>
        <w:t>附   表</w:t>
      </w:r>
      <w:bookmarkEnd w:id="249"/>
      <w:bookmarkEnd w:id="250"/>
      <w:bookmarkEnd w:id="251"/>
      <w:bookmarkEnd w:id="252"/>
      <w:bookmarkEnd w:id="253"/>
      <w:bookmarkEnd w:id="254"/>
      <w:bookmarkEnd w:id="255"/>
      <w:bookmarkEnd w:id="256"/>
      <w:bookmarkEnd w:id="257"/>
      <w:bookmarkEnd w:id="258"/>
    </w:p>
    <w:p w14:paraId="52B2EE02">
      <w:pPr>
        <w:jc w:val="center"/>
        <w:rPr>
          <w:rFonts w:hint="eastAsia" w:eastAsia="黑体"/>
          <w:b/>
          <w:sz w:val="32"/>
          <w:szCs w:val="32"/>
        </w:rPr>
      </w:pPr>
      <w:bookmarkStart w:id="259" w:name="_Toc70598426"/>
      <w:r>
        <w:rPr>
          <w:rFonts w:eastAsia="黑体"/>
          <w:b/>
          <w:sz w:val="32"/>
          <w:szCs w:val="32"/>
        </w:rPr>
        <w:t>表1 三亚市林业规模与产值分类分区统计表</w:t>
      </w:r>
      <w:bookmarkEnd w:id="259"/>
      <w:r>
        <w:rPr>
          <w:rFonts w:eastAsia="黑体"/>
          <w:b/>
          <w:sz w:val="32"/>
          <w:szCs w:val="32"/>
        </w:rPr>
        <w:t>（</w:t>
      </w:r>
      <w:r>
        <w:rPr>
          <w:rFonts w:hint="eastAsia" w:eastAsia="黑体"/>
          <w:b/>
          <w:sz w:val="32"/>
          <w:szCs w:val="32"/>
        </w:rPr>
        <w:t>2020年</w:t>
      </w:r>
      <w:r>
        <w:rPr>
          <w:rFonts w:eastAsia="黑体"/>
          <w:b/>
          <w:sz w:val="32"/>
          <w:szCs w:val="32"/>
        </w:rPr>
        <w:t>）</w:t>
      </w:r>
    </w:p>
    <w:tbl>
      <w:tblPr>
        <w:tblStyle w:val="18"/>
        <w:tblW w:w="4983" w:type="pct"/>
        <w:tblInd w:w="0" w:type="dxa"/>
        <w:tblLayout w:type="fixed"/>
        <w:tblCellMar>
          <w:top w:w="0" w:type="dxa"/>
          <w:left w:w="108" w:type="dxa"/>
          <w:bottom w:w="0" w:type="dxa"/>
          <w:right w:w="108" w:type="dxa"/>
        </w:tblCellMar>
      </w:tblPr>
      <w:tblGrid>
        <w:gridCol w:w="669"/>
        <w:gridCol w:w="998"/>
        <w:gridCol w:w="863"/>
        <w:gridCol w:w="561"/>
        <w:gridCol w:w="561"/>
        <w:gridCol w:w="561"/>
        <w:gridCol w:w="565"/>
        <w:gridCol w:w="556"/>
        <w:gridCol w:w="763"/>
        <w:gridCol w:w="548"/>
        <w:gridCol w:w="725"/>
        <w:gridCol w:w="709"/>
        <w:gridCol w:w="717"/>
        <w:gridCol w:w="717"/>
        <w:gridCol w:w="721"/>
        <w:gridCol w:w="717"/>
        <w:gridCol w:w="536"/>
        <w:gridCol w:w="536"/>
        <w:gridCol w:w="556"/>
        <w:gridCol w:w="784"/>
        <w:gridCol w:w="683"/>
        <w:gridCol w:w="695"/>
        <w:gridCol w:w="695"/>
        <w:gridCol w:w="738"/>
        <w:gridCol w:w="788"/>
        <w:gridCol w:w="729"/>
        <w:gridCol w:w="536"/>
        <w:gridCol w:w="556"/>
        <w:gridCol w:w="536"/>
        <w:gridCol w:w="536"/>
        <w:gridCol w:w="670"/>
        <w:gridCol w:w="552"/>
      </w:tblGrid>
      <w:tr w14:paraId="04C637D9">
        <w:tblPrEx>
          <w:tblCellMar>
            <w:top w:w="0" w:type="dxa"/>
            <w:left w:w="108" w:type="dxa"/>
            <w:bottom w:w="0" w:type="dxa"/>
            <w:right w:w="108" w:type="dxa"/>
          </w:tblCellMar>
        </w:tblPrEx>
        <w:trPr>
          <w:trHeight w:val="523" w:hRule="atLeast"/>
        </w:trPr>
        <w:tc>
          <w:tcPr>
            <w:tcW w:w="396" w:type="pct"/>
            <w:gridSpan w:val="2"/>
            <w:vMerge w:val="restart"/>
            <w:tcBorders>
              <w:top w:val="single" w:color="auto" w:sz="4" w:space="0"/>
              <w:left w:val="single" w:color="auto" w:sz="4" w:space="0"/>
              <w:bottom w:val="single" w:color="auto" w:sz="4" w:space="0"/>
              <w:right w:val="single" w:color="auto" w:sz="4" w:space="0"/>
              <w:tl2br w:val="single" w:color="auto" w:sz="4" w:space="0"/>
            </w:tcBorders>
            <w:noWrap/>
            <w:vAlign w:val="center"/>
          </w:tcPr>
          <w:p w14:paraId="3561ACAD">
            <w:pPr>
              <w:widowControl/>
              <w:spacing w:line="0" w:lineRule="atLeast"/>
              <w:ind w:left="-99" w:leftChars="-47" w:firstLine="13" w:firstLineChars="7"/>
              <w:jc w:val="right"/>
              <w:rPr>
                <w:b/>
                <w:kern w:val="0"/>
                <w:sz w:val="18"/>
                <w:szCs w:val="18"/>
              </w:rPr>
            </w:pPr>
            <w:r>
              <w:rPr>
                <w:b/>
                <w:kern w:val="0"/>
                <w:sz w:val="18"/>
                <w:szCs w:val="18"/>
              </w:rPr>
              <w:t>产业类型</w:t>
            </w:r>
          </w:p>
          <w:p w14:paraId="7F2A3C8A">
            <w:pPr>
              <w:widowControl/>
              <w:spacing w:line="0" w:lineRule="atLeast"/>
              <w:ind w:left="-99" w:leftChars="-47" w:right="-84" w:rightChars="-40" w:firstLine="13" w:firstLineChars="7"/>
              <w:jc w:val="center"/>
              <w:rPr>
                <w:b/>
                <w:kern w:val="0"/>
                <w:sz w:val="18"/>
                <w:szCs w:val="18"/>
              </w:rPr>
            </w:pPr>
          </w:p>
          <w:p w14:paraId="12617638">
            <w:pPr>
              <w:widowControl/>
              <w:spacing w:line="0" w:lineRule="atLeast"/>
              <w:ind w:left="-99" w:leftChars="-47" w:right="-84" w:rightChars="-40" w:firstLine="13" w:firstLineChars="7"/>
              <w:jc w:val="center"/>
              <w:rPr>
                <w:b/>
                <w:kern w:val="0"/>
                <w:sz w:val="18"/>
                <w:szCs w:val="18"/>
              </w:rPr>
            </w:pPr>
          </w:p>
          <w:p w14:paraId="4000EE07">
            <w:pPr>
              <w:widowControl/>
              <w:spacing w:line="0" w:lineRule="atLeast"/>
              <w:ind w:left="-99" w:leftChars="-47" w:right="-84" w:rightChars="-40" w:firstLine="13" w:firstLineChars="7"/>
              <w:jc w:val="left"/>
              <w:rPr>
                <w:kern w:val="0"/>
                <w:sz w:val="18"/>
                <w:szCs w:val="18"/>
              </w:rPr>
            </w:pPr>
            <w:r>
              <w:rPr>
                <w:b/>
                <w:kern w:val="0"/>
                <w:sz w:val="18"/>
                <w:szCs w:val="18"/>
              </w:rPr>
              <w:t>区域</w:t>
            </w:r>
          </w:p>
        </w:tc>
        <w:tc>
          <w:tcPr>
            <w:tcW w:w="205" w:type="pct"/>
            <w:vMerge w:val="restart"/>
            <w:tcBorders>
              <w:top w:val="single" w:color="auto" w:sz="4" w:space="0"/>
              <w:left w:val="single" w:color="auto" w:sz="4" w:space="0"/>
              <w:bottom w:val="single" w:color="auto" w:sz="4" w:space="0"/>
              <w:right w:val="single" w:color="auto" w:sz="4" w:space="0"/>
            </w:tcBorders>
            <w:noWrap/>
            <w:vAlign w:val="center"/>
          </w:tcPr>
          <w:p w14:paraId="7EB85868">
            <w:pPr>
              <w:widowControl/>
              <w:spacing w:line="0" w:lineRule="atLeast"/>
              <w:ind w:left="-99" w:leftChars="-47" w:right="-84" w:rightChars="-40" w:firstLine="13" w:firstLineChars="7"/>
              <w:jc w:val="center"/>
              <w:rPr>
                <w:b/>
                <w:bCs/>
                <w:kern w:val="0"/>
                <w:sz w:val="18"/>
                <w:szCs w:val="18"/>
              </w:rPr>
            </w:pPr>
            <w:r>
              <w:rPr>
                <w:b/>
                <w:bCs/>
                <w:kern w:val="0"/>
                <w:sz w:val="18"/>
                <w:szCs w:val="18"/>
              </w:rPr>
              <w:t>合计</w:t>
            </w:r>
          </w:p>
        </w:tc>
        <w:tc>
          <w:tcPr>
            <w:tcW w:w="846" w:type="pct"/>
            <w:gridSpan w:val="6"/>
            <w:tcBorders>
              <w:top w:val="single" w:color="auto" w:sz="4" w:space="0"/>
              <w:left w:val="single" w:color="auto" w:sz="4" w:space="0"/>
              <w:bottom w:val="single" w:color="auto" w:sz="4" w:space="0"/>
              <w:right w:val="single" w:color="auto" w:sz="4" w:space="0"/>
            </w:tcBorders>
          </w:tcPr>
          <w:p w14:paraId="01249422">
            <w:pPr>
              <w:widowControl/>
              <w:spacing w:line="0" w:lineRule="atLeast"/>
              <w:ind w:left="-99" w:leftChars="-47" w:right="-84" w:rightChars="-40" w:firstLine="13" w:firstLineChars="7"/>
              <w:jc w:val="center"/>
              <w:rPr>
                <w:rFonts w:hint="eastAsia"/>
                <w:b/>
                <w:bCs/>
                <w:kern w:val="0"/>
                <w:sz w:val="18"/>
                <w:szCs w:val="18"/>
              </w:rPr>
            </w:pPr>
          </w:p>
          <w:p w14:paraId="735383B0">
            <w:pPr>
              <w:widowControl/>
              <w:spacing w:line="0" w:lineRule="atLeast"/>
              <w:ind w:left="-99" w:leftChars="-47" w:right="-84" w:rightChars="-40" w:firstLine="13" w:firstLineChars="7"/>
              <w:jc w:val="center"/>
              <w:rPr>
                <w:b/>
                <w:bCs/>
                <w:kern w:val="0"/>
                <w:sz w:val="18"/>
                <w:szCs w:val="18"/>
              </w:rPr>
            </w:pPr>
            <w:r>
              <w:rPr>
                <w:b/>
                <w:bCs/>
                <w:kern w:val="0"/>
                <w:sz w:val="18"/>
                <w:szCs w:val="18"/>
              </w:rPr>
              <w:t>森林旅游与森林康养产业</w:t>
            </w:r>
          </w:p>
        </w:tc>
        <w:tc>
          <w:tcPr>
            <w:tcW w:w="810" w:type="pct"/>
            <w:gridSpan w:val="5"/>
            <w:tcBorders>
              <w:top w:val="single" w:color="auto" w:sz="4" w:space="0"/>
              <w:left w:val="single" w:color="auto" w:sz="4" w:space="0"/>
              <w:bottom w:val="single" w:color="auto" w:sz="4" w:space="0"/>
              <w:right w:val="single" w:color="auto" w:sz="4" w:space="0"/>
            </w:tcBorders>
            <w:noWrap/>
            <w:vAlign w:val="center"/>
          </w:tcPr>
          <w:p w14:paraId="65EFDEA3">
            <w:pPr>
              <w:widowControl/>
              <w:spacing w:line="0" w:lineRule="atLeast"/>
              <w:ind w:left="-99" w:leftChars="-47" w:right="-84" w:rightChars="-40" w:firstLine="13" w:firstLineChars="7"/>
              <w:jc w:val="center"/>
              <w:rPr>
                <w:b/>
                <w:bCs/>
                <w:kern w:val="0"/>
                <w:sz w:val="18"/>
                <w:szCs w:val="18"/>
              </w:rPr>
            </w:pPr>
            <w:r>
              <w:rPr>
                <w:b/>
                <w:bCs/>
                <w:kern w:val="0"/>
                <w:sz w:val="18"/>
                <w:szCs w:val="18"/>
              </w:rPr>
              <w:t>林木种苗与花卉产业</w:t>
            </w:r>
          </w:p>
        </w:tc>
        <w:tc>
          <w:tcPr>
            <w:tcW w:w="727" w:type="pct"/>
            <w:gridSpan w:val="5"/>
            <w:tcBorders>
              <w:top w:val="single" w:color="auto" w:sz="4" w:space="0"/>
              <w:left w:val="single" w:color="auto" w:sz="4" w:space="0"/>
              <w:bottom w:val="single" w:color="auto" w:sz="4" w:space="0"/>
              <w:right w:val="single" w:color="auto" w:sz="4" w:space="0"/>
            </w:tcBorders>
          </w:tcPr>
          <w:p w14:paraId="3E3D0794">
            <w:pPr>
              <w:widowControl/>
              <w:spacing w:line="0" w:lineRule="atLeast"/>
              <w:ind w:left="-99" w:leftChars="-47" w:right="-84" w:rightChars="-40" w:firstLine="13" w:firstLineChars="7"/>
              <w:jc w:val="center"/>
              <w:rPr>
                <w:rFonts w:hint="eastAsia"/>
                <w:b/>
                <w:bCs/>
                <w:kern w:val="0"/>
                <w:sz w:val="18"/>
                <w:szCs w:val="18"/>
              </w:rPr>
            </w:pPr>
          </w:p>
          <w:p w14:paraId="465895FA">
            <w:pPr>
              <w:widowControl/>
              <w:spacing w:line="0" w:lineRule="atLeast"/>
              <w:ind w:left="-99" w:leftChars="-47" w:right="-84" w:rightChars="-40" w:firstLine="13" w:firstLineChars="7"/>
              <w:jc w:val="center"/>
              <w:rPr>
                <w:b/>
                <w:bCs/>
                <w:kern w:val="0"/>
                <w:sz w:val="18"/>
                <w:szCs w:val="18"/>
              </w:rPr>
            </w:pPr>
            <w:r>
              <w:rPr>
                <w:b/>
                <w:bCs/>
                <w:kern w:val="0"/>
                <w:sz w:val="18"/>
                <w:szCs w:val="18"/>
              </w:rPr>
              <w:t>用材林产业</w:t>
            </w:r>
          </w:p>
        </w:tc>
        <w:tc>
          <w:tcPr>
            <w:tcW w:w="1039" w:type="pct"/>
            <w:gridSpan w:val="6"/>
            <w:tcBorders>
              <w:top w:val="single" w:color="auto" w:sz="4" w:space="0"/>
              <w:left w:val="single" w:color="auto" w:sz="4" w:space="0"/>
              <w:bottom w:val="single" w:color="auto" w:sz="4" w:space="0"/>
              <w:right w:val="single" w:color="auto" w:sz="4" w:space="0"/>
            </w:tcBorders>
            <w:noWrap/>
            <w:vAlign w:val="center"/>
          </w:tcPr>
          <w:p w14:paraId="4F7E7029">
            <w:pPr>
              <w:widowControl/>
              <w:spacing w:line="0" w:lineRule="atLeast"/>
              <w:ind w:left="-99" w:leftChars="-47" w:right="-84" w:rightChars="-40" w:firstLine="13" w:firstLineChars="7"/>
              <w:jc w:val="center"/>
              <w:rPr>
                <w:b/>
                <w:bCs/>
                <w:kern w:val="0"/>
                <w:sz w:val="18"/>
                <w:szCs w:val="18"/>
              </w:rPr>
            </w:pPr>
            <w:r>
              <w:rPr>
                <w:b/>
                <w:bCs/>
                <w:kern w:val="0"/>
                <w:sz w:val="18"/>
                <w:szCs w:val="18"/>
              </w:rPr>
              <w:t>经济林产业</w:t>
            </w:r>
          </w:p>
        </w:tc>
        <w:tc>
          <w:tcPr>
            <w:tcW w:w="432" w:type="pct"/>
            <w:gridSpan w:val="3"/>
            <w:tcBorders>
              <w:top w:val="single" w:color="auto" w:sz="4" w:space="0"/>
              <w:left w:val="single" w:color="auto" w:sz="4" w:space="0"/>
              <w:bottom w:val="single" w:color="auto" w:sz="4" w:space="0"/>
              <w:right w:val="single" w:color="auto" w:sz="4" w:space="0"/>
            </w:tcBorders>
            <w:vAlign w:val="center"/>
          </w:tcPr>
          <w:p w14:paraId="40A1B4A7">
            <w:pPr>
              <w:widowControl/>
              <w:spacing w:line="0" w:lineRule="atLeast"/>
              <w:ind w:left="-99" w:leftChars="-47" w:right="-84" w:rightChars="-40" w:firstLine="13" w:firstLineChars="7"/>
              <w:jc w:val="center"/>
              <w:rPr>
                <w:b/>
                <w:bCs/>
                <w:kern w:val="0"/>
                <w:sz w:val="18"/>
                <w:szCs w:val="18"/>
              </w:rPr>
            </w:pPr>
            <w:r>
              <w:rPr>
                <w:b/>
                <w:bCs/>
                <w:kern w:val="0"/>
                <w:sz w:val="18"/>
                <w:szCs w:val="18"/>
              </w:rPr>
              <w:t>林下经济产业</w:t>
            </w:r>
          </w:p>
        </w:tc>
        <w:tc>
          <w:tcPr>
            <w:tcW w:w="545" w:type="pct"/>
            <w:gridSpan w:val="4"/>
            <w:tcBorders>
              <w:top w:val="single" w:color="auto" w:sz="4" w:space="0"/>
              <w:left w:val="single" w:color="auto" w:sz="4" w:space="0"/>
              <w:bottom w:val="single" w:color="auto" w:sz="4" w:space="0"/>
              <w:right w:val="single" w:color="auto" w:sz="4" w:space="0"/>
            </w:tcBorders>
            <w:noWrap/>
            <w:vAlign w:val="center"/>
          </w:tcPr>
          <w:p w14:paraId="169C49C1">
            <w:pPr>
              <w:widowControl/>
              <w:spacing w:line="0" w:lineRule="atLeast"/>
              <w:ind w:left="-99" w:leftChars="-47" w:right="-84" w:rightChars="-40" w:firstLine="13" w:firstLineChars="7"/>
              <w:jc w:val="center"/>
              <w:rPr>
                <w:b/>
                <w:bCs/>
                <w:kern w:val="0"/>
                <w:sz w:val="18"/>
                <w:szCs w:val="18"/>
              </w:rPr>
            </w:pPr>
            <w:r>
              <w:rPr>
                <w:b/>
                <w:bCs/>
                <w:kern w:val="0"/>
                <w:sz w:val="18"/>
                <w:szCs w:val="18"/>
              </w:rPr>
              <w:t>生态保护与修复产业</w:t>
            </w:r>
          </w:p>
        </w:tc>
      </w:tr>
      <w:tr w14:paraId="3732E989">
        <w:tblPrEx>
          <w:tblCellMar>
            <w:top w:w="0" w:type="dxa"/>
            <w:left w:w="108" w:type="dxa"/>
            <w:bottom w:w="0" w:type="dxa"/>
            <w:right w:w="108" w:type="dxa"/>
          </w:tblCellMar>
        </w:tblPrEx>
        <w:trPr>
          <w:trHeight w:val="843" w:hRule="atLeast"/>
        </w:trPr>
        <w:tc>
          <w:tcPr>
            <w:tcW w:w="396" w:type="pct"/>
            <w:gridSpan w:val="2"/>
            <w:vMerge w:val="continue"/>
            <w:tcBorders>
              <w:top w:val="single" w:color="auto" w:sz="4" w:space="0"/>
              <w:left w:val="single" w:color="auto" w:sz="4" w:space="0"/>
              <w:bottom w:val="single" w:color="auto" w:sz="4" w:space="0"/>
              <w:right w:val="single" w:color="auto" w:sz="4" w:space="0"/>
            </w:tcBorders>
            <w:vAlign w:val="center"/>
          </w:tcPr>
          <w:p w14:paraId="4359454A">
            <w:pPr>
              <w:widowControl/>
              <w:spacing w:line="0" w:lineRule="atLeast"/>
              <w:ind w:left="-99" w:leftChars="-47" w:right="-84" w:rightChars="-40" w:firstLine="12" w:firstLineChars="7"/>
              <w:jc w:val="center"/>
              <w:rPr>
                <w:kern w:val="0"/>
                <w:sz w:val="18"/>
                <w:szCs w:val="18"/>
              </w:rPr>
            </w:pPr>
          </w:p>
        </w:tc>
        <w:tc>
          <w:tcPr>
            <w:tcW w:w="205" w:type="pct"/>
            <w:vMerge w:val="continue"/>
            <w:tcBorders>
              <w:top w:val="single" w:color="auto" w:sz="4" w:space="0"/>
              <w:left w:val="single" w:color="auto" w:sz="4" w:space="0"/>
              <w:bottom w:val="single" w:color="auto" w:sz="4" w:space="0"/>
              <w:right w:val="single" w:color="auto" w:sz="4" w:space="0"/>
            </w:tcBorders>
            <w:vAlign w:val="center"/>
          </w:tcPr>
          <w:p w14:paraId="52C41055">
            <w:pPr>
              <w:widowControl/>
              <w:spacing w:line="0" w:lineRule="atLeast"/>
              <w:ind w:left="-99" w:leftChars="-47" w:right="-84" w:rightChars="-40" w:firstLine="13" w:firstLineChars="7"/>
              <w:jc w:val="center"/>
              <w:rPr>
                <w:b/>
                <w:bCs/>
                <w:kern w:val="0"/>
                <w:sz w:val="18"/>
                <w:szCs w:val="18"/>
              </w:rPr>
            </w:pPr>
          </w:p>
        </w:tc>
        <w:tc>
          <w:tcPr>
            <w:tcW w:w="133" w:type="pct"/>
            <w:tcBorders>
              <w:top w:val="single" w:color="auto" w:sz="4" w:space="0"/>
              <w:left w:val="single" w:color="auto" w:sz="4" w:space="0"/>
              <w:bottom w:val="single" w:color="auto" w:sz="4" w:space="0"/>
              <w:right w:val="single" w:color="auto" w:sz="4" w:space="0"/>
            </w:tcBorders>
            <w:vAlign w:val="center"/>
          </w:tcPr>
          <w:p w14:paraId="46B36EA9">
            <w:pPr>
              <w:widowControl/>
              <w:spacing w:line="0" w:lineRule="atLeast"/>
              <w:ind w:left="-99" w:leftChars="-47" w:right="-84" w:rightChars="-40" w:firstLine="13" w:firstLineChars="7"/>
              <w:jc w:val="center"/>
              <w:rPr>
                <w:b/>
                <w:bCs/>
                <w:kern w:val="0"/>
                <w:sz w:val="18"/>
                <w:szCs w:val="18"/>
              </w:rPr>
            </w:pPr>
            <w:r>
              <w:rPr>
                <w:b/>
                <w:bCs/>
                <w:kern w:val="0"/>
                <w:sz w:val="18"/>
                <w:szCs w:val="18"/>
              </w:rPr>
              <w:t>小计</w:t>
            </w:r>
          </w:p>
        </w:tc>
        <w:tc>
          <w:tcPr>
            <w:tcW w:w="133" w:type="pct"/>
            <w:tcBorders>
              <w:top w:val="single" w:color="auto" w:sz="4" w:space="0"/>
              <w:left w:val="single" w:color="auto" w:sz="4" w:space="0"/>
              <w:bottom w:val="single" w:color="auto" w:sz="4" w:space="0"/>
              <w:right w:val="single" w:color="auto" w:sz="4" w:space="0"/>
            </w:tcBorders>
            <w:vAlign w:val="center"/>
          </w:tcPr>
          <w:p w14:paraId="6CA924CE">
            <w:pPr>
              <w:widowControl/>
              <w:spacing w:line="0" w:lineRule="atLeast"/>
              <w:ind w:left="-99" w:leftChars="-47" w:right="-84" w:rightChars="-40" w:firstLine="12" w:firstLineChars="7"/>
              <w:jc w:val="center"/>
              <w:rPr>
                <w:b/>
                <w:bCs/>
                <w:kern w:val="0"/>
                <w:sz w:val="18"/>
                <w:szCs w:val="18"/>
              </w:rPr>
            </w:pPr>
            <w:r>
              <w:rPr>
                <w:kern w:val="0"/>
                <w:sz w:val="18"/>
                <w:szCs w:val="18"/>
              </w:rPr>
              <w:t>公共绿地或城市公园</w:t>
            </w:r>
          </w:p>
        </w:tc>
        <w:tc>
          <w:tcPr>
            <w:tcW w:w="133" w:type="pct"/>
            <w:tcBorders>
              <w:top w:val="single" w:color="auto" w:sz="4" w:space="0"/>
              <w:left w:val="single" w:color="auto" w:sz="4" w:space="0"/>
              <w:bottom w:val="single" w:color="auto" w:sz="4" w:space="0"/>
              <w:right w:val="single" w:color="auto" w:sz="4" w:space="0"/>
            </w:tcBorders>
            <w:vAlign w:val="center"/>
          </w:tcPr>
          <w:p w14:paraId="2FF5E3C1">
            <w:pPr>
              <w:widowControl/>
              <w:spacing w:line="0" w:lineRule="atLeast"/>
              <w:ind w:left="-99" w:leftChars="-47" w:right="-84" w:rightChars="-40" w:firstLine="12" w:firstLineChars="7"/>
              <w:jc w:val="center"/>
              <w:rPr>
                <w:b/>
                <w:bCs/>
                <w:kern w:val="0"/>
                <w:sz w:val="18"/>
                <w:szCs w:val="18"/>
              </w:rPr>
            </w:pPr>
            <w:r>
              <w:rPr>
                <w:kern w:val="0"/>
                <w:sz w:val="18"/>
                <w:szCs w:val="18"/>
              </w:rPr>
              <w:t>自然保护区</w:t>
            </w:r>
          </w:p>
        </w:tc>
        <w:tc>
          <w:tcPr>
            <w:tcW w:w="134" w:type="pct"/>
            <w:tcBorders>
              <w:top w:val="single" w:color="auto" w:sz="4" w:space="0"/>
              <w:left w:val="single" w:color="auto" w:sz="4" w:space="0"/>
              <w:bottom w:val="single" w:color="auto" w:sz="4" w:space="0"/>
              <w:right w:val="single" w:color="auto" w:sz="4" w:space="0"/>
            </w:tcBorders>
            <w:vAlign w:val="center"/>
          </w:tcPr>
          <w:p w14:paraId="072F32C4">
            <w:pPr>
              <w:widowControl/>
              <w:spacing w:line="0" w:lineRule="atLeast"/>
              <w:ind w:left="-99" w:leftChars="-47" w:right="-84" w:rightChars="-40" w:firstLine="12" w:firstLineChars="7"/>
              <w:jc w:val="center"/>
              <w:rPr>
                <w:b/>
                <w:bCs/>
                <w:kern w:val="0"/>
                <w:sz w:val="18"/>
                <w:szCs w:val="18"/>
              </w:rPr>
            </w:pPr>
            <w:r>
              <w:rPr>
                <w:kern w:val="0"/>
                <w:sz w:val="18"/>
                <w:szCs w:val="18"/>
              </w:rPr>
              <w:t>森林公园</w:t>
            </w:r>
          </w:p>
        </w:tc>
        <w:tc>
          <w:tcPr>
            <w:tcW w:w="132" w:type="pct"/>
            <w:tcBorders>
              <w:top w:val="single" w:color="auto" w:sz="4" w:space="0"/>
              <w:left w:val="single" w:color="auto" w:sz="4" w:space="0"/>
              <w:bottom w:val="single" w:color="auto" w:sz="4" w:space="0"/>
              <w:right w:val="single" w:color="auto" w:sz="4" w:space="0"/>
            </w:tcBorders>
            <w:vAlign w:val="center"/>
          </w:tcPr>
          <w:p w14:paraId="38BB3FE7">
            <w:pPr>
              <w:widowControl/>
              <w:spacing w:line="0" w:lineRule="atLeast"/>
              <w:ind w:left="-99" w:leftChars="-47" w:right="-84" w:rightChars="-40" w:firstLine="12" w:firstLineChars="7"/>
              <w:jc w:val="center"/>
              <w:rPr>
                <w:b/>
                <w:bCs/>
                <w:kern w:val="0"/>
                <w:sz w:val="18"/>
                <w:szCs w:val="18"/>
              </w:rPr>
            </w:pPr>
            <w:r>
              <w:rPr>
                <w:kern w:val="0"/>
                <w:sz w:val="18"/>
                <w:szCs w:val="18"/>
              </w:rPr>
              <w:t>湿地资源</w:t>
            </w:r>
          </w:p>
        </w:tc>
        <w:tc>
          <w:tcPr>
            <w:tcW w:w="180" w:type="pct"/>
            <w:tcBorders>
              <w:top w:val="single" w:color="auto" w:sz="4" w:space="0"/>
              <w:left w:val="single" w:color="auto" w:sz="4" w:space="0"/>
              <w:bottom w:val="single" w:color="auto" w:sz="4" w:space="0"/>
              <w:right w:val="single" w:color="auto" w:sz="4" w:space="0"/>
            </w:tcBorders>
            <w:noWrap/>
            <w:vAlign w:val="center"/>
          </w:tcPr>
          <w:p w14:paraId="028F4B53">
            <w:pPr>
              <w:widowControl/>
              <w:spacing w:line="0" w:lineRule="atLeast"/>
              <w:ind w:left="-99" w:leftChars="-47" w:right="-84" w:rightChars="-40" w:firstLine="13" w:firstLineChars="7"/>
              <w:jc w:val="center"/>
              <w:rPr>
                <w:b/>
                <w:bCs/>
                <w:kern w:val="0"/>
                <w:sz w:val="18"/>
                <w:szCs w:val="18"/>
              </w:rPr>
            </w:pPr>
            <w:r>
              <w:rPr>
                <w:b/>
                <w:bCs/>
                <w:kern w:val="0"/>
                <w:sz w:val="18"/>
                <w:szCs w:val="18"/>
              </w:rPr>
              <w:t>小计</w:t>
            </w:r>
          </w:p>
        </w:tc>
        <w:tc>
          <w:tcPr>
            <w:tcW w:w="130" w:type="pct"/>
            <w:tcBorders>
              <w:top w:val="single" w:color="auto" w:sz="4" w:space="0"/>
              <w:left w:val="single" w:color="auto" w:sz="4" w:space="0"/>
              <w:bottom w:val="single" w:color="auto" w:sz="4" w:space="0"/>
              <w:right w:val="single" w:color="auto" w:sz="4" w:space="0"/>
            </w:tcBorders>
            <w:vAlign w:val="center"/>
          </w:tcPr>
          <w:p w14:paraId="4E4970CA">
            <w:pPr>
              <w:widowControl/>
              <w:spacing w:line="0" w:lineRule="atLeast"/>
              <w:ind w:left="-99" w:leftChars="-47" w:right="-84" w:rightChars="-40" w:firstLine="12" w:firstLineChars="7"/>
              <w:jc w:val="center"/>
              <w:rPr>
                <w:kern w:val="0"/>
                <w:sz w:val="18"/>
                <w:szCs w:val="18"/>
              </w:rPr>
            </w:pPr>
            <w:r>
              <w:rPr>
                <w:rFonts w:hint="eastAsia"/>
                <w:kern w:val="0"/>
                <w:sz w:val="18"/>
                <w:szCs w:val="18"/>
              </w:rPr>
              <w:t>国有单位</w:t>
            </w:r>
          </w:p>
        </w:tc>
        <w:tc>
          <w:tcPr>
            <w:tcW w:w="172" w:type="pct"/>
            <w:tcBorders>
              <w:top w:val="single" w:color="auto" w:sz="4" w:space="0"/>
              <w:left w:val="single" w:color="auto" w:sz="4" w:space="0"/>
              <w:bottom w:val="single" w:color="auto" w:sz="4" w:space="0"/>
              <w:right w:val="single" w:color="auto" w:sz="4" w:space="0"/>
            </w:tcBorders>
            <w:vAlign w:val="center"/>
          </w:tcPr>
          <w:p w14:paraId="7278D3B8">
            <w:pPr>
              <w:widowControl/>
              <w:spacing w:line="0" w:lineRule="atLeast"/>
              <w:ind w:left="-99" w:leftChars="-47" w:right="-84" w:rightChars="-40" w:firstLine="12" w:firstLineChars="7"/>
              <w:jc w:val="center"/>
              <w:rPr>
                <w:kern w:val="0"/>
                <w:sz w:val="18"/>
                <w:szCs w:val="18"/>
              </w:rPr>
            </w:pPr>
            <w:r>
              <w:rPr>
                <w:kern w:val="0"/>
                <w:sz w:val="18"/>
                <w:szCs w:val="18"/>
              </w:rPr>
              <w:t>种苗花卉繁育基地</w:t>
            </w:r>
          </w:p>
        </w:tc>
        <w:tc>
          <w:tcPr>
            <w:tcW w:w="168" w:type="pct"/>
            <w:tcBorders>
              <w:top w:val="single" w:color="auto" w:sz="4" w:space="0"/>
              <w:left w:val="single" w:color="auto" w:sz="4" w:space="0"/>
              <w:bottom w:val="single" w:color="auto" w:sz="4" w:space="0"/>
              <w:right w:val="single" w:color="auto" w:sz="4" w:space="0"/>
            </w:tcBorders>
            <w:vAlign w:val="center"/>
          </w:tcPr>
          <w:p w14:paraId="205F1EA0">
            <w:pPr>
              <w:widowControl/>
              <w:spacing w:line="0" w:lineRule="atLeast"/>
              <w:ind w:left="-99" w:leftChars="-47" w:right="-84" w:rightChars="-40" w:firstLine="12" w:firstLineChars="7"/>
              <w:jc w:val="center"/>
              <w:rPr>
                <w:kern w:val="0"/>
                <w:sz w:val="18"/>
                <w:szCs w:val="18"/>
              </w:rPr>
            </w:pPr>
            <w:r>
              <w:rPr>
                <w:kern w:val="0"/>
                <w:sz w:val="18"/>
                <w:szCs w:val="18"/>
              </w:rPr>
              <w:t>观赏花卉苗木</w:t>
            </w:r>
          </w:p>
        </w:tc>
        <w:tc>
          <w:tcPr>
            <w:tcW w:w="170" w:type="pct"/>
            <w:tcBorders>
              <w:top w:val="single" w:color="auto" w:sz="4" w:space="0"/>
              <w:left w:val="single" w:color="auto" w:sz="4" w:space="0"/>
              <w:bottom w:val="single" w:color="auto" w:sz="4" w:space="0"/>
              <w:right w:val="single" w:color="auto" w:sz="4" w:space="0"/>
            </w:tcBorders>
            <w:vAlign w:val="center"/>
          </w:tcPr>
          <w:p w14:paraId="7C269F70">
            <w:pPr>
              <w:widowControl/>
              <w:spacing w:line="0" w:lineRule="atLeast"/>
              <w:ind w:left="-99" w:leftChars="-47" w:right="-84" w:rightChars="-40" w:firstLine="12" w:firstLineChars="7"/>
              <w:jc w:val="center"/>
              <w:rPr>
                <w:kern w:val="0"/>
                <w:sz w:val="18"/>
                <w:szCs w:val="18"/>
              </w:rPr>
            </w:pPr>
            <w:r>
              <w:rPr>
                <w:kern w:val="0"/>
                <w:sz w:val="18"/>
                <w:szCs w:val="18"/>
              </w:rPr>
              <w:t>苗木花卉交易市场</w:t>
            </w:r>
          </w:p>
        </w:tc>
        <w:tc>
          <w:tcPr>
            <w:tcW w:w="170" w:type="pct"/>
            <w:tcBorders>
              <w:top w:val="single" w:color="auto" w:sz="4" w:space="0"/>
              <w:left w:val="single" w:color="auto" w:sz="4" w:space="0"/>
              <w:bottom w:val="single" w:color="auto" w:sz="4" w:space="0"/>
              <w:right w:val="single" w:color="auto" w:sz="4" w:space="0"/>
            </w:tcBorders>
            <w:vAlign w:val="center"/>
          </w:tcPr>
          <w:p w14:paraId="70BF782E">
            <w:pPr>
              <w:widowControl/>
              <w:spacing w:line="0" w:lineRule="atLeast"/>
              <w:ind w:left="-99" w:leftChars="-47" w:right="-84" w:rightChars="-40" w:firstLine="12" w:firstLineChars="7"/>
              <w:jc w:val="center"/>
              <w:rPr>
                <w:kern w:val="0"/>
                <w:sz w:val="18"/>
                <w:szCs w:val="18"/>
              </w:rPr>
            </w:pPr>
            <w:r>
              <w:rPr>
                <w:kern w:val="0"/>
                <w:sz w:val="18"/>
                <w:szCs w:val="18"/>
              </w:rPr>
              <w:t>鲜花</w:t>
            </w:r>
          </w:p>
          <w:p w14:paraId="7C727D82">
            <w:pPr>
              <w:widowControl/>
              <w:spacing w:line="0" w:lineRule="atLeast"/>
              <w:ind w:left="-99" w:leftChars="-47" w:right="-84" w:rightChars="-40" w:firstLine="12" w:firstLineChars="7"/>
              <w:jc w:val="center"/>
              <w:rPr>
                <w:kern w:val="0"/>
                <w:sz w:val="18"/>
                <w:szCs w:val="18"/>
              </w:rPr>
            </w:pPr>
            <w:r>
              <w:rPr>
                <w:kern w:val="0"/>
                <w:sz w:val="18"/>
                <w:szCs w:val="18"/>
              </w:rPr>
              <w:t>店铺</w:t>
            </w:r>
          </w:p>
        </w:tc>
        <w:tc>
          <w:tcPr>
            <w:tcW w:w="171" w:type="pct"/>
            <w:tcBorders>
              <w:top w:val="single" w:color="auto" w:sz="4" w:space="0"/>
              <w:left w:val="single" w:color="auto" w:sz="4" w:space="0"/>
              <w:bottom w:val="single" w:color="auto" w:sz="4" w:space="0"/>
              <w:right w:val="single" w:color="auto" w:sz="4" w:space="0"/>
            </w:tcBorders>
            <w:vAlign w:val="center"/>
          </w:tcPr>
          <w:p w14:paraId="4F45EDB8">
            <w:pPr>
              <w:widowControl/>
              <w:spacing w:line="0" w:lineRule="atLeast"/>
              <w:ind w:left="-99" w:leftChars="-47" w:right="-84" w:rightChars="-40" w:firstLine="13" w:firstLineChars="7"/>
              <w:jc w:val="center"/>
              <w:rPr>
                <w:b/>
                <w:bCs/>
                <w:kern w:val="0"/>
                <w:sz w:val="18"/>
                <w:szCs w:val="18"/>
              </w:rPr>
            </w:pPr>
            <w:r>
              <w:rPr>
                <w:b/>
                <w:bCs/>
                <w:kern w:val="0"/>
                <w:sz w:val="18"/>
                <w:szCs w:val="18"/>
              </w:rPr>
              <w:t>小计</w:t>
            </w:r>
          </w:p>
        </w:tc>
        <w:tc>
          <w:tcPr>
            <w:tcW w:w="170" w:type="pct"/>
            <w:tcBorders>
              <w:top w:val="single" w:color="auto" w:sz="4" w:space="0"/>
              <w:left w:val="single" w:color="auto" w:sz="4" w:space="0"/>
              <w:bottom w:val="single" w:color="auto" w:sz="4" w:space="0"/>
              <w:right w:val="single" w:color="auto" w:sz="4" w:space="0"/>
            </w:tcBorders>
            <w:vAlign w:val="center"/>
          </w:tcPr>
          <w:p w14:paraId="48BD91AC">
            <w:pPr>
              <w:widowControl/>
              <w:spacing w:line="0" w:lineRule="atLeast"/>
              <w:ind w:left="-99" w:leftChars="-47" w:right="-84" w:rightChars="-40" w:firstLine="12" w:firstLineChars="7"/>
              <w:jc w:val="center"/>
              <w:rPr>
                <w:b/>
                <w:bCs/>
                <w:kern w:val="0"/>
                <w:sz w:val="18"/>
                <w:szCs w:val="18"/>
              </w:rPr>
            </w:pPr>
            <w:r>
              <w:rPr>
                <w:kern w:val="0"/>
                <w:sz w:val="18"/>
                <w:szCs w:val="18"/>
              </w:rPr>
              <w:t>桉树</w:t>
            </w:r>
          </w:p>
        </w:tc>
        <w:tc>
          <w:tcPr>
            <w:tcW w:w="127" w:type="pct"/>
            <w:tcBorders>
              <w:top w:val="single" w:color="auto" w:sz="4" w:space="0"/>
              <w:left w:val="single" w:color="auto" w:sz="4" w:space="0"/>
              <w:bottom w:val="single" w:color="auto" w:sz="4" w:space="0"/>
              <w:right w:val="single" w:color="auto" w:sz="4" w:space="0"/>
            </w:tcBorders>
            <w:vAlign w:val="center"/>
          </w:tcPr>
          <w:p w14:paraId="2B8A478E">
            <w:pPr>
              <w:widowControl/>
              <w:spacing w:line="0" w:lineRule="atLeast"/>
              <w:ind w:left="-99" w:leftChars="-47" w:right="-84" w:rightChars="-40" w:firstLine="12" w:firstLineChars="7"/>
              <w:jc w:val="center"/>
              <w:rPr>
                <w:b/>
                <w:bCs/>
                <w:kern w:val="0"/>
                <w:sz w:val="18"/>
                <w:szCs w:val="18"/>
              </w:rPr>
            </w:pPr>
            <w:r>
              <w:rPr>
                <w:kern w:val="0"/>
                <w:sz w:val="18"/>
                <w:szCs w:val="18"/>
              </w:rPr>
              <w:t>相思</w:t>
            </w:r>
          </w:p>
        </w:tc>
        <w:tc>
          <w:tcPr>
            <w:tcW w:w="127" w:type="pct"/>
            <w:tcBorders>
              <w:top w:val="single" w:color="auto" w:sz="4" w:space="0"/>
              <w:left w:val="single" w:color="auto" w:sz="4" w:space="0"/>
              <w:bottom w:val="single" w:color="auto" w:sz="4" w:space="0"/>
              <w:right w:val="single" w:color="auto" w:sz="4" w:space="0"/>
            </w:tcBorders>
            <w:vAlign w:val="center"/>
          </w:tcPr>
          <w:p w14:paraId="72E7E4C8">
            <w:pPr>
              <w:widowControl/>
              <w:spacing w:line="0" w:lineRule="atLeast"/>
              <w:ind w:left="-99" w:leftChars="-47" w:right="-84" w:rightChars="-40" w:firstLine="12" w:firstLineChars="7"/>
              <w:jc w:val="center"/>
              <w:rPr>
                <w:b/>
                <w:bCs/>
                <w:kern w:val="0"/>
                <w:sz w:val="18"/>
                <w:szCs w:val="18"/>
              </w:rPr>
            </w:pPr>
            <w:r>
              <w:rPr>
                <w:kern w:val="0"/>
                <w:sz w:val="18"/>
                <w:szCs w:val="18"/>
              </w:rPr>
              <w:t>花梨</w:t>
            </w:r>
          </w:p>
        </w:tc>
        <w:tc>
          <w:tcPr>
            <w:tcW w:w="132" w:type="pct"/>
            <w:tcBorders>
              <w:top w:val="single" w:color="auto" w:sz="4" w:space="0"/>
              <w:left w:val="single" w:color="auto" w:sz="4" w:space="0"/>
              <w:bottom w:val="single" w:color="auto" w:sz="4" w:space="0"/>
              <w:right w:val="single" w:color="auto" w:sz="4" w:space="0"/>
            </w:tcBorders>
            <w:vAlign w:val="center"/>
          </w:tcPr>
          <w:p w14:paraId="4540B076">
            <w:pPr>
              <w:widowControl/>
              <w:spacing w:line="0" w:lineRule="atLeast"/>
              <w:ind w:left="-99" w:leftChars="-47" w:right="-84" w:rightChars="-40" w:firstLine="12" w:firstLineChars="7"/>
              <w:jc w:val="center"/>
              <w:rPr>
                <w:b/>
                <w:bCs/>
                <w:kern w:val="0"/>
                <w:sz w:val="18"/>
                <w:szCs w:val="18"/>
              </w:rPr>
            </w:pPr>
            <w:r>
              <w:rPr>
                <w:kern w:val="0"/>
                <w:sz w:val="18"/>
                <w:szCs w:val="18"/>
              </w:rPr>
              <w:t>沉香</w:t>
            </w:r>
          </w:p>
        </w:tc>
        <w:tc>
          <w:tcPr>
            <w:tcW w:w="186" w:type="pct"/>
            <w:tcBorders>
              <w:top w:val="single" w:color="auto" w:sz="4" w:space="0"/>
              <w:left w:val="single" w:color="auto" w:sz="4" w:space="0"/>
              <w:bottom w:val="single" w:color="auto" w:sz="4" w:space="0"/>
              <w:right w:val="single" w:color="auto" w:sz="4" w:space="0"/>
            </w:tcBorders>
            <w:vAlign w:val="center"/>
          </w:tcPr>
          <w:p w14:paraId="5DBE769B">
            <w:pPr>
              <w:widowControl/>
              <w:spacing w:line="0" w:lineRule="atLeast"/>
              <w:ind w:left="-99" w:leftChars="-47" w:right="-84" w:rightChars="-40" w:firstLine="13" w:firstLineChars="7"/>
              <w:jc w:val="center"/>
              <w:rPr>
                <w:b/>
                <w:bCs/>
                <w:kern w:val="0"/>
                <w:sz w:val="18"/>
                <w:szCs w:val="18"/>
              </w:rPr>
            </w:pPr>
            <w:r>
              <w:rPr>
                <w:b/>
                <w:bCs/>
                <w:kern w:val="0"/>
                <w:sz w:val="18"/>
                <w:szCs w:val="18"/>
              </w:rPr>
              <w:t>小计</w:t>
            </w:r>
          </w:p>
        </w:tc>
        <w:tc>
          <w:tcPr>
            <w:tcW w:w="162" w:type="pct"/>
            <w:tcBorders>
              <w:top w:val="single" w:color="auto" w:sz="4" w:space="0"/>
              <w:left w:val="single" w:color="auto" w:sz="4" w:space="0"/>
              <w:bottom w:val="single" w:color="auto" w:sz="4" w:space="0"/>
              <w:right w:val="single" w:color="auto" w:sz="4" w:space="0"/>
            </w:tcBorders>
            <w:noWrap/>
            <w:vAlign w:val="center"/>
          </w:tcPr>
          <w:p w14:paraId="6ED90D0B">
            <w:pPr>
              <w:widowControl/>
              <w:spacing w:line="0" w:lineRule="atLeast"/>
              <w:ind w:left="-99" w:leftChars="-47" w:right="-84" w:rightChars="-40" w:firstLine="12" w:firstLineChars="7"/>
              <w:jc w:val="center"/>
              <w:rPr>
                <w:kern w:val="0"/>
                <w:sz w:val="18"/>
                <w:szCs w:val="18"/>
              </w:rPr>
            </w:pPr>
            <w:r>
              <w:rPr>
                <w:kern w:val="0"/>
                <w:sz w:val="18"/>
                <w:szCs w:val="18"/>
              </w:rPr>
              <w:t>芒果</w:t>
            </w:r>
          </w:p>
        </w:tc>
        <w:tc>
          <w:tcPr>
            <w:tcW w:w="165" w:type="pct"/>
            <w:tcBorders>
              <w:top w:val="single" w:color="auto" w:sz="4" w:space="0"/>
              <w:left w:val="single" w:color="auto" w:sz="4" w:space="0"/>
              <w:bottom w:val="single" w:color="auto" w:sz="4" w:space="0"/>
              <w:right w:val="single" w:color="auto" w:sz="4" w:space="0"/>
            </w:tcBorders>
            <w:noWrap/>
            <w:vAlign w:val="center"/>
          </w:tcPr>
          <w:p w14:paraId="17D65F0D">
            <w:pPr>
              <w:widowControl/>
              <w:spacing w:line="0" w:lineRule="atLeast"/>
              <w:ind w:left="-99" w:leftChars="-47" w:right="-84" w:rightChars="-40" w:firstLine="12" w:firstLineChars="7"/>
              <w:jc w:val="center"/>
              <w:rPr>
                <w:kern w:val="0"/>
                <w:sz w:val="18"/>
                <w:szCs w:val="18"/>
              </w:rPr>
            </w:pPr>
            <w:r>
              <w:rPr>
                <w:kern w:val="0"/>
                <w:sz w:val="18"/>
                <w:szCs w:val="18"/>
              </w:rPr>
              <w:t>槟榔</w:t>
            </w:r>
          </w:p>
        </w:tc>
        <w:tc>
          <w:tcPr>
            <w:tcW w:w="165" w:type="pct"/>
            <w:tcBorders>
              <w:top w:val="single" w:color="auto" w:sz="4" w:space="0"/>
              <w:left w:val="single" w:color="auto" w:sz="4" w:space="0"/>
              <w:bottom w:val="single" w:color="auto" w:sz="4" w:space="0"/>
              <w:right w:val="single" w:color="auto" w:sz="4" w:space="0"/>
            </w:tcBorders>
            <w:noWrap/>
            <w:vAlign w:val="center"/>
          </w:tcPr>
          <w:p w14:paraId="16093989">
            <w:pPr>
              <w:widowControl/>
              <w:spacing w:line="0" w:lineRule="atLeast"/>
              <w:ind w:left="-99" w:leftChars="-47" w:right="-84" w:rightChars="-40" w:firstLine="12" w:firstLineChars="7"/>
              <w:jc w:val="center"/>
              <w:rPr>
                <w:kern w:val="0"/>
                <w:sz w:val="18"/>
                <w:szCs w:val="18"/>
              </w:rPr>
            </w:pPr>
            <w:r>
              <w:rPr>
                <w:kern w:val="0"/>
                <w:sz w:val="18"/>
                <w:szCs w:val="18"/>
              </w:rPr>
              <w:t>椰子</w:t>
            </w:r>
          </w:p>
        </w:tc>
        <w:tc>
          <w:tcPr>
            <w:tcW w:w="175" w:type="pct"/>
            <w:tcBorders>
              <w:top w:val="single" w:color="auto" w:sz="4" w:space="0"/>
              <w:left w:val="single" w:color="auto" w:sz="4" w:space="0"/>
              <w:bottom w:val="single" w:color="auto" w:sz="4" w:space="0"/>
              <w:right w:val="single" w:color="auto" w:sz="4" w:space="0"/>
            </w:tcBorders>
            <w:noWrap/>
            <w:vAlign w:val="center"/>
          </w:tcPr>
          <w:p w14:paraId="7AF0FF01">
            <w:pPr>
              <w:widowControl/>
              <w:spacing w:line="0" w:lineRule="atLeast"/>
              <w:ind w:left="-99" w:leftChars="-47" w:right="-84" w:rightChars="-40" w:firstLine="12" w:firstLineChars="7"/>
              <w:jc w:val="center"/>
              <w:rPr>
                <w:kern w:val="0"/>
                <w:sz w:val="18"/>
                <w:szCs w:val="18"/>
              </w:rPr>
            </w:pPr>
            <w:r>
              <w:rPr>
                <w:kern w:val="0"/>
                <w:sz w:val="18"/>
                <w:szCs w:val="18"/>
              </w:rPr>
              <w:t>橡胶</w:t>
            </w:r>
          </w:p>
        </w:tc>
        <w:tc>
          <w:tcPr>
            <w:tcW w:w="187" w:type="pct"/>
            <w:tcBorders>
              <w:top w:val="single" w:color="auto" w:sz="4" w:space="0"/>
              <w:left w:val="single" w:color="auto" w:sz="4" w:space="0"/>
              <w:bottom w:val="single" w:color="auto" w:sz="4" w:space="0"/>
              <w:right w:val="single" w:color="auto" w:sz="4" w:space="0"/>
            </w:tcBorders>
            <w:noWrap/>
            <w:vAlign w:val="center"/>
          </w:tcPr>
          <w:p w14:paraId="0A73B916">
            <w:pPr>
              <w:widowControl/>
              <w:spacing w:line="0" w:lineRule="atLeast"/>
              <w:ind w:left="-99" w:leftChars="-47" w:right="-84" w:rightChars="-40" w:firstLine="12" w:firstLineChars="7"/>
              <w:jc w:val="center"/>
              <w:rPr>
                <w:kern w:val="0"/>
                <w:sz w:val="18"/>
                <w:szCs w:val="18"/>
              </w:rPr>
            </w:pPr>
            <w:r>
              <w:rPr>
                <w:kern w:val="0"/>
                <w:sz w:val="18"/>
                <w:szCs w:val="18"/>
              </w:rPr>
              <w:t>其他</w:t>
            </w:r>
          </w:p>
        </w:tc>
        <w:tc>
          <w:tcPr>
            <w:tcW w:w="173" w:type="pct"/>
            <w:tcBorders>
              <w:top w:val="single" w:color="auto" w:sz="4" w:space="0"/>
              <w:left w:val="single" w:color="auto" w:sz="4" w:space="0"/>
              <w:bottom w:val="single" w:color="auto" w:sz="4" w:space="0"/>
              <w:right w:val="single" w:color="auto" w:sz="4" w:space="0"/>
            </w:tcBorders>
            <w:vAlign w:val="center"/>
          </w:tcPr>
          <w:p w14:paraId="14902DE1">
            <w:pPr>
              <w:widowControl/>
              <w:spacing w:line="0" w:lineRule="atLeast"/>
              <w:ind w:left="-99" w:leftChars="-47" w:right="-84" w:rightChars="-40" w:firstLine="13" w:firstLineChars="7"/>
              <w:jc w:val="center"/>
              <w:rPr>
                <w:b/>
                <w:bCs/>
                <w:kern w:val="0"/>
                <w:sz w:val="18"/>
                <w:szCs w:val="18"/>
              </w:rPr>
            </w:pPr>
            <w:r>
              <w:rPr>
                <w:b/>
                <w:bCs/>
                <w:kern w:val="0"/>
                <w:sz w:val="18"/>
                <w:szCs w:val="18"/>
              </w:rPr>
              <w:t>小计</w:t>
            </w:r>
          </w:p>
        </w:tc>
        <w:tc>
          <w:tcPr>
            <w:tcW w:w="127" w:type="pct"/>
            <w:tcBorders>
              <w:top w:val="single" w:color="auto" w:sz="4" w:space="0"/>
              <w:left w:val="single" w:color="auto" w:sz="4" w:space="0"/>
              <w:bottom w:val="single" w:color="auto" w:sz="4" w:space="0"/>
              <w:right w:val="single" w:color="auto" w:sz="4" w:space="0"/>
            </w:tcBorders>
            <w:vAlign w:val="center"/>
          </w:tcPr>
          <w:p w14:paraId="7A3CBCA5">
            <w:pPr>
              <w:widowControl/>
              <w:spacing w:line="0" w:lineRule="atLeast"/>
              <w:ind w:left="-99" w:leftChars="-47" w:right="-84" w:rightChars="-40" w:firstLine="12" w:firstLineChars="7"/>
              <w:jc w:val="center"/>
              <w:rPr>
                <w:b/>
                <w:bCs/>
                <w:kern w:val="0"/>
                <w:sz w:val="18"/>
                <w:szCs w:val="18"/>
              </w:rPr>
            </w:pPr>
            <w:r>
              <w:rPr>
                <w:kern w:val="0"/>
                <w:sz w:val="18"/>
                <w:szCs w:val="18"/>
              </w:rPr>
              <w:t>种植</w:t>
            </w:r>
          </w:p>
        </w:tc>
        <w:tc>
          <w:tcPr>
            <w:tcW w:w="132" w:type="pct"/>
            <w:tcBorders>
              <w:top w:val="single" w:color="auto" w:sz="4" w:space="0"/>
              <w:left w:val="single" w:color="auto" w:sz="4" w:space="0"/>
              <w:bottom w:val="single" w:color="auto" w:sz="4" w:space="0"/>
              <w:right w:val="single" w:color="auto" w:sz="4" w:space="0"/>
            </w:tcBorders>
            <w:vAlign w:val="center"/>
          </w:tcPr>
          <w:p w14:paraId="071DF0B8">
            <w:pPr>
              <w:widowControl/>
              <w:spacing w:line="0" w:lineRule="atLeast"/>
              <w:ind w:left="-99" w:leftChars="-47" w:right="-84" w:rightChars="-40" w:firstLine="12" w:firstLineChars="7"/>
              <w:jc w:val="center"/>
              <w:rPr>
                <w:b/>
                <w:bCs/>
                <w:kern w:val="0"/>
                <w:sz w:val="18"/>
                <w:szCs w:val="18"/>
              </w:rPr>
            </w:pPr>
            <w:r>
              <w:rPr>
                <w:kern w:val="0"/>
                <w:sz w:val="18"/>
                <w:szCs w:val="18"/>
              </w:rPr>
              <w:t>养殖</w:t>
            </w:r>
          </w:p>
        </w:tc>
        <w:tc>
          <w:tcPr>
            <w:tcW w:w="127" w:type="pct"/>
            <w:tcBorders>
              <w:top w:val="single" w:color="auto" w:sz="4" w:space="0"/>
              <w:left w:val="single" w:color="auto" w:sz="4" w:space="0"/>
              <w:bottom w:val="single" w:color="auto" w:sz="4" w:space="0"/>
              <w:right w:val="single" w:color="auto" w:sz="4" w:space="0"/>
            </w:tcBorders>
            <w:noWrap/>
            <w:vAlign w:val="center"/>
          </w:tcPr>
          <w:p w14:paraId="22A8702D">
            <w:pPr>
              <w:widowControl/>
              <w:spacing w:line="0" w:lineRule="atLeast"/>
              <w:ind w:left="-99" w:leftChars="-47" w:right="-84" w:rightChars="-40" w:firstLine="13" w:firstLineChars="7"/>
              <w:jc w:val="center"/>
              <w:rPr>
                <w:b/>
                <w:bCs/>
                <w:kern w:val="0"/>
                <w:sz w:val="18"/>
                <w:szCs w:val="18"/>
              </w:rPr>
            </w:pPr>
            <w:r>
              <w:rPr>
                <w:b/>
                <w:bCs/>
                <w:kern w:val="0"/>
                <w:sz w:val="18"/>
                <w:szCs w:val="18"/>
              </w:rPr>
              <w:t>小计</w:t>
            </w:r>
          </w:p>
        </w:tc>
        <w:tc>
          <w:tcPr>
            <w:tcW w:w="127" w:type="pct"/>
            <w:tcBorders>
              <w:top w:val="single" w:color="auto" w:sz="4" w:space="0"/>
              <w:left w:val="single" w:color="auto" w:sz="4" w:space="0"/>
              <w:bottom w:val="single" w:color="auto" w:sz="4" w:space="0"/>
              <w:right w:val="single" w:color="auto" w:sz="4" w:space="0"/>
            </w:tcBorders>
            <w:vAlign w:val="center"/>
          </w:tcPr>
          <w:p w14:paraId="32E44411">
            <w:pPr>
              <w:widowControl/>
              <w:spacing w:line="0" w:lineRule="atLeast"/>
              <w:ind w:left="-99" w:leftChars="-47" w:right="-84" w:rightChars="-40" w:firstLine="12" w:firstLineChars="7"/>
              <w:jc w:val="center"/>
              <w:rPr>
                <w:kern w:val="0"/>
                <w:sz w:val="18"/>
                <w:szCs w:val="18"/>
              </w:rPr>
            </w:pPr>
            <w:r>
              <w:rPr>
                <w:kern w:val="0"/>
                <w:sz w:val="18"/>
                <w:szCs w:val="18"/>
              </w:rPr>
              <w:t>山体修复</w:t>
            </w:r>
          </w:p>
        </w:tc>
        <w:tc>
          <w:tcPr>
            <w:tcW w:w="159" w:type="pct"/>
            <w:tcBorders>
              <w:top w:val="single" w:color="auto" w:sz="4" w:space="0"/>
              <w:left w:val="single" w:color="auto" w:sz="4" w:space="0"/>
              <w:bottom w:val="single" w:color="auto" w:sz="4" w:space="0"/>
              <w:right w:val="single" w:color="auto" w:sz="4" w:space="0"/>
            </w:tcBorders>
            <w:vAlign w:val="center"/>
          </w:tcPr>
          <w:p w14:paraId="7A141238">
            <w:pPr>
              <w:widowControl/>
              <w:spacing w:line="0" w:lineRule="atLeast"/>
              <w:ind w:left="-99" w:leftChars="-47" w:right="-84" w:rightChars="-40" w:firstLine="12" w:firstLineChars="7"/>
              <w:jc w:val="center"/>
              <w:rPr>
                <w:kern w:val="0"/>
                <w:sz w:val="18"/>
                <w:szCs w:val="18"/>
              </w:rPr>
            </w:pPr>
            <w:r>
              <w:rPr>
                <w:kern w:val="0"/>
                <w:sz w:val="18"/>
                <w:szCs w:val="18"/>
              </w:rPr>
              <w:t>红树林湿地修复</w:t>
            </w:r>
          </w:p>
        </w:tc>
        <w:tc>
          <w:tcPr>
            <w:tcW w:w="132" w:type="pct"/>
            <w:tcBorders>
              <w:top w:val="single" w:color="auto" w:sz="4" w:space="0"/>
              <w:left w:val="single" w:color="auto" w:sz="4" w:space="0"/>
              <w:bottom w:val="single" w:color="auto" w:sz="4" w:space="0"/>
              <w:right w:val="single" w:color="auto" w:sz="4" w:space="0"/>
            </w:tcBorders>
            <w:vAlign w:val="center"/>
          </w:tcPr>
          <w:p w14:paraId="6F0BEA93">
            <w:pPr>
              <w:widowControl/>
              <w:spacing w:line="0" w:lineRule="atLeast"/>
              <w:ind w:left="-99" w:leftChars="-47" w:right="-84" w:rightChars="-40" w:firstLine="12" w:firstLineChars="7"/>
              <w:jc w:val="center"/>
              <w:rPr>
                <w:kern w:val="0"/>
                <w:sz w:val="18"/>
                <w:szCs w:val="18"/>
              </w:rPr>
            </w:pPr>
            <w:r>
              <w:rPr>
                <w:kern w:val="0"/>
                <w:sz w:val="18"/>
                <w:szCs w:val="18"/>
              </w:rPr>
              <w:t>造林绿化</w:t>
            </w:r>
          </w:p>
        </w:tc>
      </w:tr>
      <w:tr w14:paraId="76D6E43F">
        <w:tblPrEx>
          <w:tblCellMar>
            <w:top w:w="0" w:type="dxa"/>
            <w:left w:w="108" w:type="dxa"/>
            <w:bottom w:w="0" w:type="dxa"/>
            <w:right w:w="108" w:type="dxa"/>
          </w:tblCellMar>
        </w:tblPrEx>
        <w:trPr>
          <w:trHeight w:val="680" w:hRule="atLeast"/>
        </w:trPr>
        <w:tc>
          <w:tcPr>
            <w:tcW w:w="159" w:type="pct"/>
            <w:vMerge w:val="restart"/>
            <w:tcBorders>
              <w:top w:val="single" w:color="auto" w:sz="4" w:space="0"/>
              <w:left w:val="single" w:color="auto" w:sz="4" w:space="0"/>
              <w:bottom w:val="single" w:color="auto" w:sz="4" w:space="0"/>
              <w:right w:val="single" w:color="auto" w:sz="4" w:space="0"/>
            </w:tcBorders>
            <w:noWrap/>
            <w:vAlign w:val="center"/>
          </w:tcPr>
          <w:p w14:paraId="37360868">
            <w:pPr>
              <w:widowControl/>
              <w:spacing w:line="0" w:lineRule="atLeast"/>
              <w:ind w:left="-99" w:leftChars="-47" w:right="-84" w:rightChars="-40" w:firstLine="13" w:firstLineChars="7"/>
              <w:jc w:val="center"/>
              <w:rPr>
                <w:b/>
                <w:bCs/>
                <w:kern w:val="0"/>
                <w:sz w:val="18"/>
                <w:szCs w:val="18"/>
              </w:rPr>
            </w:pPr>
            <w:r>
              <w:rPr>
                <w:b/>
                <w:bCs/>
                <w:kern w:val="0"/>
                <w:sz w:val="18"/>
                <w:szCs w:val="18"/>
              </w:rPr>
              <w:t>海棠区</w:t>
            </w:r>
          </w:p>
        </w:tc>
        <w:tc>
          <w:tcPr>
            <w:tcW w:w="237" w:type="pct"/>
            <w:tcBorders>
              <w:top w:val="single" w:color="auto" w:sz="4" w:space="0"/>
              <w:left w:val="single" w:color="auto" w:sz="4" w:space="0"/>
              <w:bottom w:val="single" w:color="auto" w:sz="4" w:space="0"/>
              <w:right w:val="single" w:color="auto" w:sz="4" w:space="0"/>
            </w:tcBorders>
            <w:vAlign w:val="center"/>
          </w:tcPr>
          <w:p w14:paraId="2EED5D3E">
            <w:pPr>
              <w:widowControl/>
              <w:spacing w:line="0" w:lineRule="atLeast"/>
              <w:ind w:left="-99" w:leftChars="-47" w:right="-84" w:rightChars="-40" w:firstLine="13" w:firstLineChars="7"/>
              <w:jc w:val="center"/>
              <w:rPr>
                <w:b/>
                <w:bCs/>
                <w:kern w:val="0"/>
                <w:sz w:val="18"/>
                <w:szCs w:val="18"/>
              </w:rPr>
            </w:pPr>
            <w:r>
              <w:rPr>
                <w:b/>
                <w:bCs/>
                <w:kern w:val="0"/>
                <w:sz w:val="18"/>
                <w:szCs w:val="18"/>
              </w:rPr>
              <w:t>生产规模</w:t>
            </w:r>
          </w:p>
        </w:tc>
        <w:tc>
          <w:tcPr>
            <w:tcW w:w="205" w:type="pct"/>
            <w:tcBorders>
              <w:top w:val="single" w:color="auto" w:sz="4" w:space="0"/>
              <w:left w:val="single" w:color="auto" w:sz="4" w:space="0"/>
              <w:bottom w:val="single" w:color="auto" w:sz="4" w:space="0"/>
              <w:right w:val="single" w:color="auto" w:sz="4" w:space="0"/>
            </w:tcBorders>
            <w:vAlign w:val="center"/>
          </w:tcPr>
          <w:p w14:paraId="631ED6BB">
            <w:pPr>
              <w:widowControl/>
              <w:spacing w:line="0" w:lineRule="atLeast"/>
              <w:ind w:left="-99" w:leftChars="-47" w:right="-84" w:rightChars="-40" w:firstLine="13" w:firstLineChars="7"/>
              <w:jc w:val="center"/>
              <w:rPr>
                <w:b/>
                <w:bCs/>
                <w:kern w:val="0"/>
                <w:sz w:val="18"/>
                <w:szCs w:val="18"/>
              </w:rPr>
            </w:pPr>
            <w:r>
              <w:rPr>
                <w:b/>
                <w:bCs/>
                <w:kern w:val="0"/>
                <w:sz w:val="18"/>
                <w:szCs w:val="18"/>
              </w:rPr>
              <w:t>10</w:t>
            </w:r>
            <w:r>
              <w:rPr>
                <w:rFonts w:hint="eastAsia"/>
                <w:b/>
                <w:bCs/>
                <w:kern w:val="0"/>
                <w:sz w:val="18"/>
                <w:szCs w:val="18"/>
              </w:rPr>
              <w:t>483</w:t>
            </w:r>
          </w:p>
        </w:tc>
        <w:tc>
          <w:tcPr>
            <w:tcW w:w="133" w:type="pct"/>
            <w:tcBorders>
              <w:top w:val="single" w:color="auto" w:sz="4" w:space="0"/>
              <w:left w:val="single" w:color="auto" w:sz="4" w:space="0"/>
              <w:bottom w:val="single" w:color="auto" w:sz="4" w:space="0"/>
              <w:right w:val="single" w:color="auto" w:sz="4" w:space="0"/>
            </w:tcBorders>
            <w:vAlign w:val="center"/>
          </w:tcPr>
          <w:p w14:paraId="3120C184">
            <w:pPr>
              <w:widowControl/>
              <w:spacing w:line="0" w:lineRule="atLeast"/>
              <w:ind w:left="-99" w:leftChars="-47" w:right="-84" w:rightChars="-40" w:firstLine="13" w:firstLineChars="7"/>
              <w:jc w:val="center"/>
              <w:rPr>
                <w:rFonts w:hint="eastAsia"/>
                <w:b/>
                <w:bCs/>
                <w:kern w:val="0"/>
                <w:sz w:val="18"/>
                <w:szCs w:val="18"/>
              </w:rPr>
            </w:pPr>
            <w:r>
              <w:rPr>
                <w:b/>
                <w:bCs/>
                <w:kern w:val="0"/>
                <w:sz w:val="18"/>
                <w:szCs w:val="18"/>
              </w:rPr>
              <w:t>1235</w:t>
            </w:r>
          </w:p>
        </w:tc>
        <w:tc>
          <w:tcPr>
            <w:tcW w:w="133" w:type="pct"/>
            <w:tcBorders>
              <w:top w:val="single" w:color="auto" w:sz="4" w:space="0"/>
              <w:left w:val="single" w:color="auto" w:sz="4" w:space="0"/>
              <w:bottom w:val="single" w:color="auto" w:sz="4" w:space="0"/>
              <w:right w:val="single" w:color="auto" w:sz="4" w:space="0"/>
            </w:tcBorders>
            <w:vAlign w:val="center"/>
          </w:tcPr>
          <w:p w14:paraId="50ACA8EA">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0AD8E92F">
            <w:pPr>
              <w:widowControl/>
              <w:spacing w:line="0" w:lineRule="atLeast"/>
              <w:ind w:left="-99" w:leftChars="-47" w:right="-84" w:rightChars="-40" w:firstLine="12" w:firstLineChars="7"/>
              <w:jc w:val="center"/>
              <w:rPr>
                <w:rFonts w:hint="eastAsia"/>
                <w:b/>
                <w:bCs/>
                <w:kern w:val="0"/>
                <w:sz w:val="18"/>
                <w:szCs w:val="18"/>
              </w:rPr>
            </w:pPr>
            <w:r>
              <w:rPr>
                <w:kern w:val="0"/>
                <w:sz w:val="18"/>
                <w:szCs w:val="18"/>
              </w:rPr>
              <w:t>292</w:t>
            </w:r>
          </w:p>
        </w:tc>
        <w:tc>
          <w:tcPr>
            <w:tcW w:w="134" w:type="pct"/>
            <w:tcBorders>
              <w:top w:val="single" w:color="auto" w:sz="4" w:space="0"/>
              <w:left w:val="single" w:color="auto" w:sz="4" w:space="0"/>
              <w:bottom w:val="single" w:color="auto" w:sz="4" w:space="0"/>
              <w:right w:val="single" w:color="auto" w:sz="4" w:space="0"/>
            </w:tcBorders>
            <w:vAlign w:val="center"/>
          </w:tcPr>
          <w:p w14:paraId="3E767130">
            <w:pPr>
              <w:widowControl/>
              <w:spacing w:line="0" w:lineRule="atLeast"/>
              <w:ind w:left="-99" w:leftChars="-47" w:right="-84" w:rightChars="-40" w:firstLine="12" w:firstLineChars="7"/>
              <w:jc w:val="center"/>
              <w:rPr>
                <w:rFonts w:hint="eastAsia"/>
                <w:b/>
                <w:bCs/>
                <w:kern w:val="0"/>
                <w:sz w:val="18"/>
                <w:szCs w:val="18"/>
              </w:rPr>
            </w:pPr>
            <w:r>
              <w:rPr>
                <w:kern w:val="0"/>
                <w:sz w:val="18"/>
                <w:szCs w:val="18"/>
              </w:rPr>
              <w:t>651</w:t>
            </w:r>
          </w:p>
        </w:tc>
        <w:tc>
          <w:tcPr>
            <w:tcW w:w="132" w:type="pct"/>
            <w:tcBorders>
              <w:top w:val="single" w:color="auto" w:sz="4" w:space="0"/>
              <w:left w:val="single" w:color="auto" w:sz="4" w:space="0"/>
              <w:bottom w:val="single" w:color="auto" w:sz="4" w:space="0"/>
              <w:right w:val="single" w:color="auto" w:sz="4" w:space="0"/>
            </w:tcBorders>
            <w:vAlign w:val="center"/>
          </w:tcPr>
          <w:p w14:paraId="60E1125B">
            <w:pPr>
              <w:widowControl/>
              <w:spacing w:line="0" w:lineRule="atLeast"/>
              <w:ind w:left="-99" w:leftChars="-47" w:right="-84" w:rightChars="-40" w:firstLine="12" w:firstLineChars="7"/>
              <w:jc w:val="center"/>
              <w:rPr>
                <w:rFonts w:hint="eastAsia"/>
                <w:b/>
                <w:bCs/>
                <w:kern w:val="0"/>
                <w:sz w:val="18"/>
                <w:szCs w:val="18"/>
              </w:rPr>
            </w:pPr>
            <w:r>
              <w:rPr>
                <w:kern w:val="0"/>
                <w:sz w:val="18"/>
                <w:szCs w:val="18"/>
              </w:rPr>
              <w:t>292</w:t>
            </w:r>
          </w:p>
        </w:tc>
        <w:tc>
          <w:tcPr>
            <w:tcW w:w="180" w:type="pct"/>
            <w:tcBorders>
              <w:top w:val="single" w:color="auto" w:sz="4" w:space="0"/>
              <w:left w:val="single" w:color="auto" w:sz="4" w:space="0"/>
              <w:bottom w:val="single" w:color="auto" w:sz="4" w:space="0"/>
              <w:right w:val="single" w:color="auto" w:sz="4" w:space="0"/>
            </w:tcBorders>
            <w:vAlign w:val="center"/>
          </w:tcPr>
          <w:p w14:paraId="358A17AF">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118.3</w:t>
            </w:r>
          </w:p>
        </w:tc>
        <w:tc>
          <w:tcPr>
            <w:tcW w:w="130" w:type="pct"/>
            <w:tcBorders>
              <w:top w:val="single" w:color="auto" w:sz="4" w:space="0"/>
              <w:left w:val="single" w:color="auto" w:sz="4" w:space="0"/>
              <w:bottom w:val="single" w:color="auto" w:sz="4" w:space="0"/>
              <w:right w:val="single" w:color="auto" w:sz="4" w:space="0"/>
            </w:tcBorders>
            <w:vAlign w:val="center"/>
          </w:tcPr>
          <w:p w14:paraId="0DBB5A43">
            <w:pPr>
              <w:widowControl/>
              <w:spacing w:line="0" w:lineRule="atLeast"/>
              <w:ind w:left="-99" w:leftChars="-47" w:right="-84" w:rightChars="-40" w:firstLine="12" w:firstLineChars="7"/>
              <w:jc w:val="center"/>
              <w:rPr>
                <w:kern w:val="0"/>
                <w:sz w:val="18"/>
                <w:szCs w:val="18"/>
              </w:rPr>
            </w:pPr>
            <w:r>
              <w:rPr>
                <w:rFonts w:hint="eastAsia"/>
                <w:kern w:val="0"/>
                <w:sz w:val="18"/>
                <w:szCs w:val="18"/>
              </w:rPr>
              <w:t>100</w:t>
            </w:r>
          </w:p>
        </w:tc>
        <w:tc>
          <w:tcPr>
            <w:tcW w:w="172" w:type="pct"/>
            <w:tcBorders>
              <w:top w:val="single" w:color="auto" w:sz="4" w:space="0"/>
              <w:left w:val="single" w:color="auto" w:sz="4" w:space="0"/>
              <w:bottom w:val="single" w:color="auto" w:sz="4" w:space="0"/>
              <w:right w:val="single" w:color="auto" w:sz="4" w:space="0"/>
            </w:tcBorders>
            <w:vAlign w:val="center"/>
          </w:tcPr>
          <w:p w14:paraId="67826CF7">
            <w:pPr>
              <w:widowControl/>
              <w:spacing w:line="0" w:lineRule="atLeast"/>
              <w:ind w:left="-99" w:leftChars="-47" w:right="-84" w:rightChars="-40" w:firstLine="12" w:firstLineChars="7"/>
              <w:jc w:val="center"/>
              <w:rPr>
                <w:kern w:val="0"/>
                <w:sz w:val="18"/>
                <w:szCs w:val="18"/>
              </w:rPr>
            </w:pPr>
            <w:r>
              <w:rPr>
                <w:rFonts w:hint="eastAsia"/>
                <w:kern w:val="0"/>
                <w:sz w:val="18"/>
                <w:szCs w:val="18"/>
              </w:rPr>
              <w:t>18.3</w:t>
            </w:r>
          </w:p>
        </w:tc>
        <w:tc>
          <w:tcPr>
            <w:tcW w:w="168" w:type="pct"/>
            <w:tcBorders>
              <w:top w:val="single" w:color="auto" w:sz="4" w:space="0"/>
              <w:left w:val="single" w:color="auto" w:sz="4" w:space="0"/>
              <w:bottom w:val="single" w:color="auto" w:sz="4" w:space="0"/>
              <w:right w:val="single" w:color="auto" w:sz="4" w:space="0"/>
            </w:tcBorders>
            <w:vAlign w:val="center"/>
          </w:tcPr>
          <w:p w14:paraId="119B3B84">
            <w:pPr>
              <w:widowControl/>
              <w:spacing w:line="0" w:lineRule="atLeast"/>
              <w:ind w:right="-84" w:rightChars="-40"/>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noWrap/>
            <w:vAlign w:val="center"/>
          </w:tcPr>
          <w:p w14:paraId="0B46ED21">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vAlign w:val="center"/>
          </w:tcPr>
          <w:p w14:paraId="3B03CAFA">
            <w:pPr>
              <w:widowControl/>
              <w:spacing w:line="0" w:lineRule="atLeast"/>
              <w:ind w:left="-99" w:leftChars="-47" w:right="-84" w:rightChars="-40" w:firstLine="12" w:firstLineChars="7"/>
              <w:jc w:val="center"/>
              <w:rPr>
                <w:kern w:val="0"/>
                <w:sz w:val="18"/>
                <w:szCs w:val="18"/>
              </w:rPr>
            </w:pPr>
            <w:r>
              <w:rPr>
                <w:kern w:val="0"/>
                <w:sz w:val="18"/>
                <w:szCs w:val="18"/>
              </w:rPr>
              <w:t>6家</w:t>
            </w:r>
          </w:p>
        </w:tc>
        <w:tc>
          <w:tcPr>
            <w:tcW w:w="171" w:type="pct"/>
            <w:tcBorders>
              <w:top w:val="single" w:color="auto" w:sz="4" w:space="0"/>
              <w:left w:val="single" w:color="auto" w:sz="4" w:space="0"/>
              <w:bottom w:val="single" w:color="auto" w:sz="4" w:space="0"/>
              <w:right w:val="single" w:color="auto" w:sz="4" w:space="0"/>
            </w:tcBorders>
            <w:vAlign w:val="center"/>
          </w:tcPr>
          <w:p w14:paraId="1B8EB74F">
            <w:pPr>
              <w:widowControl/>
              <w:spacing w:line="0" w:lineRule="atLeast"/>
              <w:ind w:left="-99" w:leftChars="-47" w:right="-84" w:rightChars="-40" w:firstLine="13" w:firstLineChars="7"/>
              <w:jc w:val="center"/>
              <w:rPr>
                <w:b/>
                <w:bCs/>
                <w:kern w:val="0"/>
                <w:sz w:val="18"/>
                <w:szCs w:val="18"/>
              </w:rPr>
            </w:pPr>
            <w:r>
              <w:rPr>
                <w:b/>
                <w:bCs/>
                <w:kern w:val="0"/>
                <w:sz w:val="18"/>
                <w:szCs w:val="18"/>
              </w:rPr>
              <w:t>380</w:t>
            </w:r>
          </w:p>
        </w:tc>
        <w:tc>
          <w:tcPr>
            <w:tcW w:w="170" w:type="pct"/>
            <w:tcBorders>
              <w:top w:val="single" w:color="auto" w:sz="4" w:space="0"/>
              <w:left w:val="single" w:color="auto" w:sz="4" w:space="0"/>
              <w:bottom w:val="single" w:color="auto" w:sz="4" w:space="0"/>
              <w:right w:val="single" w:color="auto" w:sz="4" w:space="0"/>
            </w:tcBorders>
            <w:vAlign w:val="center"/>
          </w:tcPr>
          <w:p w14:paraId="4D1B070C">
            <w:pPr>
              <w:widowControl/>
              <w:spacing w:line="0" w:lineRule="atLeast"/>
              <w:ind w:left="-99" w:leftChars="-47" w:right="-84" w:rightChars="-40" w:firstLine="12" w:firstLineChars="7"/>
              <w:jc w:val="center"/>
              <w:rPr>
                <w:b/>
                <w:bCs/>
                <w:kern w:val="0"/>
                <w:sz w:val="18"/>
                <w:szCs w:val="18"/>
              </w:rPr>
            </w:pPr>
            <w:r>
              <w:rPr>
                <w:kern w:val="0"/>
                <w:sz w:val="18"/>
                <w:szCs w:val="18"/>
              </w:rPr>
              <w:t>318</w:t>
            </w:r>
          </w:p>
        </w:tc>
        <w:tc>
          <w:tcPr>
            <w:tcW w:w="127" w:type="pct"/>
            <w:tcBorders>
              <w:top w:val="single" w:color="auto" w:sz="4" w:space="0"/>
              <w:left w:val="single" w:color="auto" w:sz="4" w:space="0"/>
              <w:bottom w:val="single" w:color="auto" w:sz="4" w:space="0"/>
              <w:right w:val="single" w:color="auto" w:sz="4" w:space="0"/>
            </w:tcBorders>
            <w:vAlign w:val="center"/>
          </w:tcPr>
          <w:p w14:paraId="20EA3DCA">
            <w:pPr>
              <w:widowControl/>
              <w:spacing w:line="0" w:lineRule="atLeast"/>
              <w:ind w:left="-99" w:leftChars="-47" w:right="-84" w:rightChars="-40" w:firstLine="12" w:firstLineChars="7"/>
              <w:jc w:val="center"/>
              <w:rPr>
                <w:b/>
                <w:bCs/>
                <w:kern w:val="0"/>
                <w:sz w:val="18"/>
                <w:szCs w:val="18"/>
              </w:rPr>
            </w:pPr>
            <w:r>
              <w:rPr>
                <w:kern w:val="0"/>
                <w:sz w:val="18"/>
                <w:szCs w:val="18"/>
              </w:rPr>
              <w:t>46</w:t>
            </w:r>
          </w:p>
        </w:tc>
        <w:tc>
          <w:tcPr>
            <w:tcW w:w="127" w:type="pct"/>
            <w:tcBorders>
              <w:top w:val="single" w:color="auto" w:sz="4" w:space="0"/>
              <w:left w:val="single" w:color="auto" w:sz="4" w:space="0"/>
              <w:bottom w:val="single" w:color="auto" w:sz="4" w:space="0"/>
              <w:right w:val="single" w:color="auto" w:sz="4" w:space="0"/>
            </w:tcBorders>
            <w:vAlign w:val="center"/>
          </w:tcPr>
          <w:p w14:paraId="55512D79">
            <w:pPr>
              <w:widowControl/>
              <w:spacing w:line="0" w:lineRule="atLeast"/>
              <w:ind w:left="-99" w:leftChars="-47" w:right="-84" w:rightChars="-40" w:firstLine="12" w:firstLineChars="7"/>
              <w:jc w:val="center"/>
              <w:rPr>
                <w:b/>
                <w:bCs/>
                <w:kern w:val="0"/>
                <w:sz w:val="18"/>
                <w:szCs w:val="18"/>
              </w:rPr>
            </w:pPr>
            <w:r>
              <w:rPr>
                <w:kern w:val="0"/>
                <w:sz w:val="18"/>
                <w:szCs w:val="18"/>
              </w:rPr>
              <w:t>13</w:t>
            </w:r>
          </w:p>
        </w:tc>
        <w:tc>
          <w:tcPr>
            <w:tcW w:w="132" w:type="pct"/>
            <w:tcBorders>
              <w:top w:val="single" w:color="auto" w:sz="4" w:space="0"/>
              <w:left w:val="single" w:color="auto" w:sz="4" w:space="0"/>
              <w:bottom w:val="single" w:color="auto" w:sz="4" w:space="0"/>
              <w:right w:val="single" w:color="auto" w:sz="4" w:space="0"/>
            </w:tcBorders>
            <w:vAlign w:val="center"/>
          </w:tcPr>
          <w:p w14:paraId="264A528D">
            <w:pPr>
              <w:widowControl/>
              <w:spacing w:line="0" w:lineRule="atLeast"/>
              <w:ind w:left="-99" w:leftChars="-47" w:right="-84" w:rightChars="-40" w:firstLine="12" w:firstLineChars="7"/>
              <w:jc w:val="center"/>
              <w:rPr>
                <w:b/>
                <w:bCs/>
                <w:kern w:val="0"/>
                <w:sz w:val="18"/>
                <w:szCs w:val="18"/>
              </w:rPr>
            </w:pPr>
            <w:r>
              <w:rPr>
                <w:kern w:val="0"/>
                <w:sz w:val="18"/>
                <w:szCs w:val="18"/>
              </w:rPr>
              <w:t>2</w:t>
            </w:r>
          </w:p>
        </w:tc>
        <w:tc>
          <w:tcPr>
            <w:tcW w:w="186" w:type="pct"/>
            <w:tcBorders>
              <w:top w:val="single" w:color="auto" w:sz="4" w:space="0"/>
              <w:left w:val="single" w:color="auto" w:sz="4" w:space="0"/>
              <w:bottom w:val="single" w:color="auto" w:sz="4" w:space="0"/>
              <w:right w:val="single" w:color="auto" w:sz="4" w:space="0"/>
            </w:tcBorders>
            <w:vAlign w:val="center"/>
          </w:tcPr>
          <w:p w14:paraId="0C4DABAA">
            <w:pPr>
              <w:widowControl/>
              <w:spacing w:line="0" w:lineRule="atLeast"/>
              <w:ind w:left="-99" w:leftChars="-47" w:right="-84" w:rightChars="-40" w:firstLine="13" w:firstLineChars="7"/>
              <w:jc w:val="center"/>
              <w:rPr>
                <w:b/>
                <w:bCs/>
                <w:kern w:val="0"/>
                <w:sz w:val="18"/>
                <w:szCs w:val="18"/>
              </w:rPr>
            </w:pPr>
            <w:r>
              <w:rPr>
                <w:b/>
                <w:bCs/>
                <w:kern w:val="0"/>
                <w:sz w:val="18"/>
                <w:szCs w:val="18"/>
              </w:rPr>
              <w:t>8750</w:t>
            </w:r>
          </w:p>
        </w:tc>
        <w:tc>
          <w:tcPr>
            <w:tcW w:w="162" w:type="pct"/>
            <w:tcBorders>
              <w:top w:val="single" w:color="auto" w:sz="4" w:space="0"/>
              <w:left w:val="single" w:color="auto" w:sz="4" w:space="0"/>
              <w:bottom w:val="single" w:color="auto" w:sz="4" w:space="0"/>
              <w:right w:val="single" w:color="auto" w:sz="4" w:space="0"/>
            </w:tcBorders>
            <w:noWrap/>
            <w:vAlign w:val="center"/>
          </w:tcPr>
          <w:p w14:paraId="1ABF5454">
            <w:pPr>
              <w:widowControl/>
              <w:spacing w:line="0" w:lineRule="atLeast"/>
              <w:ind w:left="-99" w:leftChars="-47" w:right="-84" w:rightChars="-40" w:firstLine="12" w:firstLineChars="7"/>
              <w:jc w:val="center"/>
              <w:rPr>
                <w:kern w:val="0"/>
                <w:sz w:val="18"/>
                <w:szCs w:val="18"/>
              </w:rPr>
            </w:pPr>
            <w:r>
              <w:rPr>
                <w:kern w:val="0"/>
                <w:sz w:val="18"/>
                <w:szCs w:val="18"/>
              </w:rPr>
              <w:t>6256</w:t>
            </w:r>
          </w:p>
        </w:tc>
        <w:tc>
          <w:tcPr>
            <w:tcW w:w="165" w:type="pct"/>
            <w:tcBorders>
              <w:top w:val="single" w:color="auto" w:sz="4" w:space="0"/>
              <w:left w:val="single" w:color="auto" w:sz="4" w:space="0"/>
              <w:bottom w:val="single" w:color="auto" w:sz="4" w:space="0"/>
              <w:right w:val="single" w:color="auto" w:sz="4" w:space="0"/>
            </w:tcBorders>
            <w:noWrap/>
            <w:vAlign w:val="center"/>
          </w:tcPr>
          <w:p w14:paraId="3912DD81">
            <w:pPr>
              <w:widowControl/>
              <w:spacing w:line="0" w:lineRule="atLeast"/>
              <w:ind w:left="-99" w:leftChars="-47" w:right="-84" w:rightChars="-40" w:firstLine="12" w:firstLineChars="7"/>
              <w:jc w:val="center"/>
              <w:rPr>
                <w:kern w:val="0"/>
                <w:sz w:val="18"/>
                <w:szCs w:val="18"/>
              </w:rPr>
            </w:pPr>
            <w:r>
              <w:rPr>
                <w:kern w:val="0"/>
                <w:sz w:val="18"/>
                <w:szCs w:val="18"/>
              </w:rPr>
              <w:t>828</w:t>
            </w:r>
          </w:p>
        </w:tc>
        <w:tc>
          <w:tcPr>
            <w:tcW w:w="165" w:type="pct"/>
            <w:tcBorders>
              <w:top w:val="single" w:color="auto" w:sz="4" w:space="0"/>
              <w:left w:val="single" w:color="auto" w:sz="4" w:space="0"/>
              <w:bottom w:val="single" w:color="auto" w:sz="4" w:space="0"/>
              <w:right w:val="single" w:color="auto" w:sz="4" w:space="0"/>
            </w:tcBorders>
            <w:noWrap/>
            <w:vAlign w:val="center"/>
          </w:tcPr>
          <w:p w14:paraId="23C8602D">
            <w:pPr>
              <w:widowControl/>
              <w:spacing w:line="0" w:lineRule="atLeast"/>
              <w:ind w:left="-99" w:leftChars="-47" w:right="-84" w:rightChars="-40" w:firstLine="12" w:firstLineChars="7"/>
              <w:jc w:val="center"/>
              <w:rPr>
                <w:kern w:val="0"/>
                <w:sz w:val="18"/>
                <w:szCs w:val="18"/>
              </w:rPr>
            </w:pPr>
            <w:r>
              <w:rPr>
                <w:kern w:val="0"/>
                <w:sz w:val="18"/>
                <w:szCs w:val="18"/>
              </w:rPr>
              <w:t>221</w:t>
            </w:r>
          </w:p>
        </w:tc>
        <w:tc>
          <w:tcPr>
            <w:tcW w:w="175" w:type="pct"/>
            <w:tcBorders>
              <w:top w:val="single" w:color="auto" w:sz="4" w:space="0"/>
              <w:left w:val="single" w:color="auto" w:sz="4" w:space="0"/>
              <w:bottom w:val="single" w:color="auto" w:sz="4" w:space="0"/>
              <w:right w:val="single" w:color="auto" w:sz="4" w:space="0"/>
            </w:tcBorders>
            <w:noWrap/>
            <w:vAlign w:val="center"/>
          </w:tcPr>
          <w:p w14:paraId="591E6EAB">
            <w:pPr>
              <w:widowControl/>
              <w:spacing w:line="0" w:lineRule="atLeast"/>
              <w:ind w:left="-99" w:leftChars="-47" w:right="-84" w:rightChars="-40" w:firstLine="12" w:firstLineChars="7"/>
              <w:jc w:val="center"/>
              <w:rPr>
                <w:kern w:val="0"/>
                <w:sz w:val="18"/>
                <w:szCs w:val="18"/>
              </w:rPr>
            </w:pPr>
            <w:r>
              <w:rPr>
                <w:kern w:val="0"/>
                <w:sz w:val="18"/>
                <w:szCs w:val="18"/>
              </w:rPr>
              <w:t>1167</w:t>
            </w:r>
          </w:p>
        </w:tc>
        <w:tc>
          <w:tcPr>
            <w:tcW w:w="187" w:type="pct"/>
            <w:tcBorders>
              <w:top w:val="single" w:color="auto" w:sz="4" w:space="0"/>
              <w:left w:val="single" w:color="auto" w:sz="4" w:space="0"/>
              <w:bottom w:val="single" w:color="auto" w:sz="4" w:space="0"/>
              <w:right w:val="single" w:color="auto" w:sz="4" w:space="0"/>
            </w:tcBorders>
            <w:noWrap/>
            <w:vAlign w:val="center"/>
          </w:tcPr>
          <w:p w14:paraId="7F888B88">
            <w:pPr>
              <w:widowControl/>
              <w:spacing w:line="0" w:lineRule="atLeast"/>
              <w:ind w:left="-99" w:leftChars="-47" w:right="-84" w:rightChars="-40" w:firstLine="12" w:firstLineChars="7"/>
              <w:jc w:val="center"/>
              <w:rPr>
                <w:kern w:val="0"/>
                <w:sz w:val="18"/>
                <w:szCs w:val="18"/>
              </w:rPr>
            </w:pPr>
            <w:r>
              <w:rPr>
                <w:kern w:val="0"/>
                <w:sz w:val="18"/>
                <w:szCs w:val="18"/>
              </w:rPr>
              <w:t>278</w:t>
            </w:r>
          </w:p>
        </w:tc>
        <w:tc>
          <w:tcPr>
            <w:tcW w:w="173" w:type="pct"/>
            <w:tcBorders>
              <w:top w:val="single" w:color="auto" w:sz="4" w:space="0"/>
              <w:left w:val="single" w:color="auto" w:sz="4" w:space="0"/>
              <w:bottom w:val="single" w:color="auto" w:sz="4" w:space="0"/>
              <w:right w:val="single" w:color="auto" w:sz="4" w:space="0"/>
            </w:tcBorders>
            <w:vAlign w:val="center"/>
          </w:tcPr>
          <w:p w14:paraId="345DD273">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0E5F4AF1">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78CAA5C3">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11461C1C">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49B111CC">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59" w:type="pct"/>
            <w:tcBorders>
              <w:top w:val="single" w:color="auto" w:sz="4" w:space="0"/>
              <w:left w:val="single" w:color="auto" w:sz="4" w:space="0"/>
              <w:bottom w:val="single" w:color="auto" w:sz="4" w:space="0"/>
              <w:right w:val="single" w:color="auto" w:sz="4" w:space="0"/>
            </w:tcBorders>
            <w:vAlign w:val="center"/>
          </w:tcPr>
          <w:p w14:paraId="29049EB8">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3149C9FE">
            <w:pPr>
              <w:widowControl/>
              <w:spacing w:line="0" w:lineRule="atLeast"/>
              <w:ind w:left="-99" w:leftChars="-47" w:right="-84" w:rightChars="-40" w:firstLine="12" w:firstLineChars="7"/>
              <w:jc w:val="center"/>
              <w:rPr>
                <w:kern w:val="0"/>
                <w:sz w:val="18"/>
                <w:szCs w:val="18"/>
              </w:rPr>
            </w:pPr>
            <w:r>
              <w:rPr>
                <w:kern w:val="0"/>
                <w:sz w:val="18"/>
                <w:szCs w:val="18"/>
              </w:rPr>
              <w:t>—</w:t>
            </w:r>
          </w:p>
        </w:tc>
      </w:tr>
      <w:tr w14:paraId="51999CE1">
        <w:tblPrEx>
          <w:tblCellMar>
            <w:top w:w="0" w:type="dxa"/>
            <w:left w:w="108" w:type="dxa"/>
            <w:bottom w:w="0" w:type="dxa"/>
            <w:right w:w="108" w:type="dxa"/>
          </w:tblCellMar>
        </w:tblPrEx>
        <w:trPr>
          <w:trHeight w:val="680" w:hRule="atLeast"/>
        </w:trPr>
        <w:tc>
          <w:tcPr>
            <w:tcW w:w="159" w:type="pct"/>
            <w:vMerge w:val="continue"/>
            <w:tcBorders>
              <w:top w:val="single" w:color="auto" w:sz="4" w:space="0"/>
              <w:left w:val="single" w:color="auto" w:sz="4" w:space="0"/>
              <w:bottom w:val="single" w:color="auto" w:sz="4" w:space="0"/>
              <w:right w:val="single" w:color="auto" w:sz="4" w:space="0"/>
            </w:tcBorders>
            <w:vAlign w:val="center"/>
          </w:tcPr>
          <w:p w14:paraId="2CFF2FF6">
            <w:pPr>
              <w:widowControl/>
              <w:spacing w:line="0" w:lineRule="atLeast"/>
              <w:ind w:left="-99" w:leftChars="-47" w:right="-84" w:rightChars="-40" w:firstLine="13" w:firstLineChars="7"/>
              <w:jc w:val="center"/>
              <w:rPr>
                <w:b/>
                <w:bCs/>
                <w:kern w:val="0"/>
                <w:sz w:val="18"/>
                <w:szCs w:val="18"/>
              </w:rPr>
            </w:pPr>
          </w:p>
        </w:tc>
        <w:tc>
          <w:tcPr>
            <w:tcW w:w="237" w:type="pct"/>
            <w:tcBorders>
              <w:top w:val="single" w:color="auto" w:sz="4" w:space="0"/>
              <w:left w:val="single" w:color="auto" w:sz="4" w:space="0"/>
              <w:bottom w:val="single" w:color="auto" w:sz="4" w:space="0"/>
              <w:right w:val="single" w:color="auto" w:sz="4" w:space="0"/>
            </w:tcBorders>
            <w:vAlign w:val="center"/>
          </w:tcPr>
          <w:p w14:paraId="54DFB992">
            <w:pPr>
              <w:widowControl/>
              <w:spacing w:line="0" w:lineRule="atLeast"/>
              <w:ind w:left="-99" w:leftChars="-47" w:right="-84" w:rightChars="-40" w:firstLine="13" w:firstLineChars="7"/>
              <w:jc w:val="center"/>
              <w:rPr>
                <w:b/>
                <w:bCs/>
                <w:kern w:val="0"/>
                <w:sz w:val="18"/>
                <w:szCs w:val="18"/>
              </w:rPr>
            </w:pPr>
            <w:r>
              <w:rPr>
                <w:b/>
                <w:bCs/>
                <w:kern w:val="0"/>
                <w:sz w:val="18"/>
                <w:szCs w:val="18"/>
              </w:rPr>
              <w:t>产值</w:t>
            </w:r>
            <w:r>
              <w:rPr>
                <w:b/>
                <w:bCs/>
                <w:kern w:val="0"/>
                <w:sz w:val="18"/>
                <w:szCs w:val="18"/>
              </w:rPr>
              <w:br w:type="textWrapping"/>
            </w:r>
            <w:r>
              <w:rPr>
                <w:b/>
                <w:bCs/>
                <w:kern w:val="0"/>
                <w:sz w:val="18"/>
                <w:szCs w:val="18"/>
              </w:rPr>
              <w:t>（万元）</w:t>
            </w:r>
          </w:p>
        </w:tc>
        <w:tc>
          <w:tcPr>
            <w:tcW w:w="205" w:type="pct"/>
            <w:tcBorders>
              <w:top w:val="single" w:color="auto" w:sz="4" w:space="0"/>
              <w:left w:val="single" w:color="auto" w:sz="4" w:space="0"/>
              <w:bottom w:val="single" w:color="auto" w:sz="4" w:space="0"/>
              <w:right w:val="single" w:color="auto" w:sz="4" w:space="0"/>
            </w:tcBorders>
            <w:vAlign w:val="center"/>
          </w:tcPr>
          <w:p w14:paraId="25DF01A3">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71140</w:t>
            </w:r>
          </w:p>
        </w:tc>
        <w:tc>
          <w:tcPr>
            <w:tcW w:w="133" w:type="pct"/>
            <w:tcBorders>
              <w:top w:val="single" w:color="auto" w:sz="4" w:space="0"/>
              <w:left w:val="single" w:color="auto" w:sz="4" w:space="0"/>
              <w:bottom w:val="single" w:color="auto" w:sz="4" w:space="0"/>
              <w:right w:val="single" w:color="auto" w:sz="4" w:space="0"/>
            </w:tcBorders>
            <w:vAlign w:val="center"/>
          </w:tcPr>
          <w:p w14:paraId="774E9DC2">
            <w:pPr>
              <w:widowControl/>
              <w:spacing w:line="0" w:lineRule="atLeast"/>
              <w:ind w:left="-99" w:leftChars="-47" w:right="-84" w:rightChars="-40" w:firstLine="13" w:firstLineChars="7"/>
              <w:jc w:val="center"/>
              <w:rPr>
                <w:rFonts w:hint="eastAsia"/>
                <w:b/>
                <w:bCs/>
                <w:kern w:val="0"/>
                <w:sz w:val="18"/>
                <w:szCs w:val="18"/>
              </w:rPr>
            </w:pPr>
            <w:r>
              <w:rPr>
                <w:b/>
                <w:bCs/>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1E0709A0">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0F08F334">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4" w:type="pct"/>
            <w:tcBorders>
              <w:top w:val="single" w:color="auto" w:sz="4" w:space="0"/>
              <w:left w:val="single" w:color="auto" w:sz="4" w:space="0"/>
              <w:bottom w:val="single" w:color="auto" w:sz="4" w:space="0"/>
              <w:right w:val="single" w:color="auto" w:sz="4" w:space="0"/>
            </w:tcBorders>
            <w:vAlign w:val="center"/>
          </w:tcPr>
          <w:p w14:paraId="6566CE95">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341008EA">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6632CA3A">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6718</w:t>
            </w:r>
          </w:p>
        </w:tc>
        <w:tc>
          <w:tcPr>
            <w:tcW w:w="130" w:type="pct"/>
            <w:tcBorders>
              <w:top w:val="single" w:color="auto" w:sz="4" w:space="0"/>
              <w:left w:val="single" w:color="auto" w:sz="4" w:space="0"/>
              <w:bottom w:val="single" w:color="auto" w:sz="4" w:space="0"/>
              <w:right w:val="single" w:color="auto" w:sz="4" w:space="0"/>
            </w:tcBorders>
            <w:vAlign w:val="center"/>
          </w:tcPr>
          <w:p w14:paraId="45850F60">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1CABBCD4">
            <w:pPr>
              <w:widowControl/>
              <w:spacing w:line="0" w:lineRule="atLeast"/>
              <w:ind w:left="-99" w:leftChars="-47" w:right="-84" w:rightChars="-40" w:firstLine="12" w:firstLineChars="7"/>
              <w:jc w:val="center"/>
              <w:rPr>
                <w:kern w:val="0"/>
                <w:sz w:val="18"/>
                <w:szCs w:val="18"/>
              </w:rPr>
            </w:pPr>
            <w:r>
              <w:rPr>
                <w:kern w:val="0"/>
                <w:sz w:val="18"/>
                <w:szCs w:val="18"/>
              </w:rPr>
              <w:t>358</w:t>
            </w:r>
          </w:p>
        </w:tc>
        <w:tc>
          <w:tcPr>
            <w:tcW w:w="168" w:type="pct"/>
            <w:tcBorders>
              <w:top w:val="single" w:color="auto" w:sz="4" w:space="0"/>
              <w:left w:val="single" w:color="auto" w:sz="4" w:space="0"/>
              <w:bottom w:val="single" w:color="auto" w:sz="4" w:space="0"/>
              <w:right w:val="single" w:color="auto" w:sz="4" w:space="0"/>
            </w:tcBorders>
            <w:vAlign w:val="center"/>
          </w:tcPr>
          <w:p w14:paraId="0377DA86">
            <w:pPr>
              <w:widowControl/>
              <w:spacing w:line="0" w:lineRule="atLeast"/>
              <w:ind w:left="-99" w:leftChars="-47" w:right="-84" w:rightChars="-40" w:firstLine="12" w:firstLineChars="7"/>
              <w:jc w:val="center"/>
              <w:rPr>
                <w:kern w:val="0"/>
                <w:sz w:val="18"/>
                <w:szCs w:val="18"/>
              </w:rPr>
            </w:pPr>
            <w:r>
              <w:rPr>
                <w:rFonts w:hint="eastAsia"/>
                <w:kern w:val="0"/>
                <w:sz w:val="18"/>
                <w:szCs w:val="18"/>
              </w:rPr>
              <w:t>5920</w:t>
            </w:r>
          </w:p>
        </w:tc>
        <w:tc>
          <w:tcPr>
            <w:tcW w:w="170" w:type="pct"/>
            <w:tcBorders>
              <w:top w:val="single" w:color="auto" w:sz="4" w:space="0"/>
              <w:left w:val="single" w:color="auto" w:sz="4" w:space="0"/>
              <w:bottom w:val="single" w:color="auto" w:sz="4" w:space="0"/>
              <w:right w:val="single" w:color="auto" w:sz="4" w:space="0"/>
            </w:tcBorders>
            <w:noWrap/>
            <w:vAlign w:val="center"/>
          </w:tcPr>
          <w:p w14:paraId="2807016D">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vAlign w:val="center"/>
          </w:tcPr>
          <w:p w14:paraId="2FCE75A9">
            <w:pPr>
              <w:widowControl/>
              <w:spacing w:line="0" w:lineRule="atLeast"/>
              <w:ind w:left="-99" w:leftChars="-47" w:right="-84" w:rightChars="-40" w:firstLine="12" w:firstLineChars="7"/>
              <w:jc w:val="center"/>
              <w:rPr>
                <w:kern w:val="0"/>
                <w:sz w:val="18"/>
                <w:szCs w:val="18"/>
              </w:rPr>
            </w:pPr>
            <w:r>
              <w:rPr>
                <w:kern w:val="0"/>
                <w:sz w:val="18"/>
                <w:szCs w:val="18"/>
              </w:rPr>
              <w:t>440</w:t>
            </w:r>
          </w:p>
        </w:tc>
        <w:tc>
          <w:tcPr>
            <w:tcW w:w="171" w:type="pct"/>
            <w:tcBorders>
              <w:top w:val="single" w:color="auto" w:sz="4" w:space="0"/>
              <w:left w:val="single" w:color="auto" w:sz="4" w:space="0"/>
              <w:bottom w:val="single" w:color="auto" w:sz="4" w:space="0"/>
              <w:right w:val="single" w:color="auto" w:sz="4" w:space="0"/>
            </w:tcBorders>
            <w:vAlign w:val="center"/>
          </w:tcPr>
          <w:p w14:paraId="1E849DAD">
            <w:pPr>
              <w:widowControl/>
              <w:spacing w:line="0" w:lineRule="atLeast"/>
              <w:ind w:left="-99" w:leftChars="-47" w:right="-84" w:rightChars="-40" w:firstLine="13" w:firstLineChars="7"/>
              <w:jc w:val="center"/>
              <w:rPr>
                <w:b/>
                <w:bCs/>
                <w:kern w:val="0"/>
                <w:sz w:val="18"/>
                <w:szCs w:val="18"/>
              </w:rPr>
            </w:pPr>
            <w:r>
              <w:rPr>
                <w:b/>
                <w:bCs/>
                <w:kern w:val="0"/>
                <w:sz w:val="18"/>
                <w:szCs w:val="18"/>
              </w:rPr>
              <w:t>290</w:t>
            </w:r>
          </w:p>
        </w:tc>
        <w:tc>
          <w:tcPr>
            <w:tcW w:w="170" w:type="pct"/>
            <w:tcBorders>
              <w:top w:val="single" w:color="auto" w:sz="4" w:space="0"/>
              <w:left w:val="single" w:color="auto" w:sz="4" w:space="0"/>
              <w:bottom w:val="single" w:color="auto" w:sz="4" w:space="0"/>
              <w:right w:val="single" w:color="auto" w:sz="4" w:space="0"/>
            </w:tcBorders>
            <w:vAlign w:val="center"/>
          </w:tcPr>
          <w:p w14:paraId="60A1C20C">
            <w:pPr>
              <w:widowControl/>
              <w:spacing w:line="0" w:lineRule="atLeast"/>
              <w:ind w:left="-99" w:leftChars="-47" w:right="-84" w:rightChars="-40" w:firstLine="12" w:firstLineChars="7"/>
              <w:jc w:val="center"/>
              <w:rPr>
                <w:b/>
                <w:bCs/>
                <w:kern w:val="0"/>
                <w:sz w:val="18"/>
                <w:szCs w:val="18"/>
              </w:rPr>
            </w:pPr>
            <w:r>
              <w:rPr>
                <w:kern w:val="0"/>
                <w:sz w:val="18"/>
                <w:szCs w:val="18"/>
              </w:rPr>
              <w:t>290</w:t>
            </w:r>
          </w:p>
        </w:tc>
        <w:tc>
          <w:tcPr>
            <w:tcW w:w="127" w:type="pct"/>
            <w:tcBorders>
              <w:top w:val="single" w:color="auto" w:sz="4" w:space="0"/>
              <w:left w:val="single" w:color="auto" w:sz="4" w:space="0"/>
              <w:bottom w:val="single" w:color="auto" w:sz="4" w:space="0"/>
              <w:right w:val="single" w:color="auto" w:sz="4" w:space="0"/>
            </w:tcBorders>
            <w:vAlign w:val="center"/>
          </w:tcPr>
          <w:p w14:paraId="389E3C26">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297645F6">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3966C523">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86" w:type="pct"/>
            <w:tcBorders>
              <w:top w:val="single" w:color="auto" w:sz="4" w:space="0"/>
              <w:left w:val="single" w:color="auto" w:sz="4" w:space="0"/>
              <w:bottom w:val="single" w:color="auto" w:sz="4" w:space="0"/>
              <w:right w:val="single" w:color="auto" w:sz="4" w:space="0"/>
            </w:tcBorders>
            <w:vAlign w:val="center"/>
          </w:tcPr>
          <w:p w14:paraId="36A5903B">
            <w:pPr>
              <w:widowControl/>
              <w:spacing w:line="0" w:lineRule="atLeast"/>
              <w:ind w:left="-99" w:leftChars="-47" w:right="-84" w:rightChars="-40" w:firstLine="13" w:firstLineChars="7"/>
              <w:jc w:val="center"/>
              <w:rPr>
                <w:b/>
                <w:bCs/>
                <w:kern w:val="0"/>
                <w:sz w:val="18"/>
                <w:szCs w:val="18"/>
              </w:rPr>
            </w:pPr>
            <w:r>
              <w:rPr>
                <w:b/>
                <w:bCs/>
                <w:kern w:val="0"/>
                <w:sz w:val="18"/>
                <w:szCs w:val="18"/>
              </w:rPr>
              <w:t>62543</w:t>
            </w:r>
          </w:p>
        </w:tc>
        <w:tc>
          <w:tcPr>
            <w:tcW w:w="162" w:type="pct"/>
            <w:tcBorders>
              <w:top w:val="single" w:color="auto" w:sz="4" w:space="0"/>
              <w:left w:val="single" w:color="auto" w:sz="4" w:space="0"/>
              <w:bottom w:val="single" w:color="auto" w:sz="4" w:space="0"/>
              <w:right w:val="single" w:color="auto" w:sz="4" w:space="0"/>
            </w:tcBorders>
            <w:noWrap/>
            <w:vAlign w:val="center"/>
          </w:tcPr>
          <w:p w14:paraId="089AE9F9">
            <w:pPr>
              <w:widowControl/>
              <w:spacing w:line="0" w:lineRule="atLeast"/>
              <w:ind w:left="-99" w:leftChars="-47" w:right="-84" w:rightChars="-40" w:firstLine="12" w:firstLineChars="7"/>
              <w:jc w:val="center"/>
              <w:rPr>
                <w:kern w:val="0"/>
                <w:sz w:val="18"/>
                <w:szCs w:val="18"/>
              </w:rPr>
            </w:pPr>
            <w:r>
              <w:rPr>
                <w:kern w:val="0"/>
                <w:sz w:val="18"/>
                <w:szCs w:val="18"/>
              </w:rPr>
              <w:t>49096</w:t>
            </w:r>
          </w:p>
        </w:tc>
        <w:tc>
          <w:tcPr>
            <w:tcW w:w="165" w:type="pct"/>
            <w:tcBorders>
              <w:top w:val="single" w:color="auto" w:sz="4" w:space="0"/>
              <w:left w:val="single" w:color="auto" w:sz="4" w:space="0"/>
              <w:bottom w:val="single" w:color="auto" w:sz="4" w:space="0"/>
              <w:right w:val="single" w:color="auto" w:sz="4" w:space="0"/>
            </w:tcBorders>
            <w:noWrap/>
            <w:vAlign w:val="center"/>
          </w:tcPr>
          <w:p w14:paraId="3A0EB453">
            <w:pPr>
              <w:widowControl/>
              <w:spacing w:line="0" w:lineRule="atLeast"/>
              <w:ind w:left="-99" w:leftChars="-47" w:right="-84" w:rightChars="-40" w:firstLine="12" w:firstLineChars="7"/>
              <w:jc w:val="center"/>
              <w:rPr>
                <w:kern w:val="0"/>
                <w:sz w:val="18"/>
                <w:szCs w:val="18"/>
              </w:rPr>
            </w:pPr>
            <w:r>
              <w:rPr>
                <w:kern w:val="0"/>
                <w:sz w:val="18"/>
                <w:szCs w:val="18"/>
              </w:rPr>
              <w:t>7197</w:t>
            </w:r>
          </w:p>
        </w:tc>
        <w:tc>
          <w:tcPr>
            <w:tcW w:w="165" w:type="pct"/>
            <w:tcBorders>
              <w:top w:val="single" w:color="auto" w:sz="4" w:space="0"/>
              <w:left w:val="single" w:color="auto" w:sz="4" w:space="0"/>
              <w:bottom w:val="single" w:color="auto" w:sz="4" w:space="0"/>
              <w:right w:val="single" w:color="auto" w:sz="4" w:space="0"/>
            </w:tcBorders>
            <w:noWrap/>
            <w:vAlign w:val="center"/>
          </w:tcPr>
          <w:p w14:paraId="612896D6">
            <w:pPr>
              <w:widowControl/>
              <w:spacing w:line="0" w:lineRule="atLeast"/>
              <w:ind w:left="-99" w:leftChars="-47" w:right="-84" w:rightChars="-40" w:firstLine="12" w:firstLineChars="7"/>
              <w:jc w:val="center"/>
              <w:rPr>
                <w:kern w:val="0"/>
                <w:sz w:val="18"/>
                <w:szCs w:val="18"/>
              </w:rPr>
            </w:pPr>
            <w:r>
              <w:rPr>
                <w:kern w:val="0"/>
                <w:sz w:val="18"/>
                <w:szCs w:val="18"/>
              </w:rPr>
              <w:t>2778</w:t>
            </w:r>
          </w:p>
        </w:tc>
        <w:tc>
          <w:tcPr>
            <w:tcW w:w="175" w:type="pct"/>
            <w:tcBorders>
              <w:top w:val="single" w:color="auto" w:sz="4" w:space="0"/>
              <w:left w:val="single" w:color="auto" w:sz="4" w:space="0"/>
              <w:bottom w:val="single" w:color="auto" w:sz="4" w:space="0"/>
              <w:right w:val="single" w:color="auto" w:sz="4" w:space="0"/>
            </w:tcBorders>
            <w:noWrap/>
            <w:vAlign w:val="center"/>
          </w:tcPr>
          <w:p w14:paraId="6D2F82E8">
            <w:pPr>
              <w:widowControl/>
              <w:spacing w:line="0" w:lineRule="atLeast"/>
              <w:ind w:left="-99" w:leftChars="-47" w:right="-84" w:rightChars="-40" w:firstLine="12" w:firstLineChars="7"/>
              <w:jc w:val="center"/>
              <w:rPr>
                <w:kern w:val="0"/>
                <w:sz w:val="18"/>
                <w:szCs w:val="18"/>
              </w:rPr>
            </w:pPr>
            <w:r>
              <w:rPr>
                <w:kern w:val="0"/>
                <w:sz w:val="18"/>
                <w:szCs w:val="18"/>
              </w:rPr>
              <w:t>742</w:t>
            </w:r>
          </w:p>
        </w:tc>
        <w:tc>
          <w:tcPr>
            <w:tcW w:w="187" w:type="pct"/>
            <w:tcBorders>
              <w:top w:val="single" w:color="auto" w:sz="4" w:space="0"/>
              <w:left w:val="single" w:color="auto" w:sz="4" w:space="0"/>
              <w:bottom w:val="single" w:color="auto" w:sz="4" w:space="0"/>
              <w:right w:val="single" w:color="auto" w:sz="4" w:space="0"/>
            </w:tcBorders>
            <w:noWrap/>
            <w:vAlign w:val="center"/>
          </w:tcPr>
          <w:p w14:paraId="52BDDF16">
            <w:pPr>
              <w:widowControl/>
              <w:spacing w:line="0" w:lineRule="atLeast"/>
              <w:ind w:left="-99" w:leftChars="-47" w:right="-84" w:rightChars="-40" w:firstLine="12" w:firstLineChars="7"/>
              <w:jc w:val="center"/>
              <w:rPr>
                <w:kern w:val="0"/>
                <w:sz w:val="18"/>
                <w:szCs w:val="18"/>
              </w:rPr>
            </w:pPr>
            <w:r>
              <w:rPr>
                <w:kern w:val="0"/>
                <w:sz w:val="18"/>
                <w:szCs w:val="18"/>
              </w:rPr>
              <w:t>2730</w:t>
            </w:r>
          </w:p>
        </w:tc>
        <w:tc>
          <w:tcPr>
            <w:tcW w:w="173" w:type="pct"/>
            <w:tcBorders>
              <w:top w:val="single" w:color="auto" w:sz="4" w:space="0"/>
              <w:left w:val="single" w:color="auto" w:sz="4" w:space="0"/>
              <w:bottom w:val="single" w:color="auto" w:sz="4" w:space="0"/>
              <w:right w:val="single" w:color="auto" w:sz="4" w:space="0"/>
            </w:tcBorders>
            <w:vAlign w:val="center"/>
          </w:tcPr>
          <w:p w14:paraId="592442E8">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5F27980B">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0D00CF11">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noWrap/>
            <w:vAlign w:val="center"/>
          </w:tcPr>
          <w:p w14:paraId="73147652">
            <w:pPr>
              <w:widowControl/>
              <w:spacing w:line="0" w:lineRule="atLeast"/>
              <w:ind w:left="-99" w:leftChars="-47" w:right="-84" w:rightChars="-40" w:firstLine="13" w:firstLineChars="7"/>
              <w:jc w:val="center"/>
              <w:rPr>
                <w:b/>
                <w:bCs/>
                <w:kern w:val="0"/>
                <w:sz w:val="18"/>
                <w:szCs w:val="18"/>
              </w:rPr>
            </w:pPr>
            <w:r>
              <w:rPr>
                <w:b/>
                <w:bCs/>
                <w:kern w:val="0"/>
                <w:sz w:val="18"/>
                <w:szCs w:val="18"/>
              </w:rPr>
              <w:t>1879</w:t>
            </w:r>
          </w:p>
        </w:tc>
        <w:tc>
          <w:tcPr>
            <w:tcW w:w="127" w:type="pct"/>
            <w:tcBorders>
              <w:top w:val="single" w:color="auto" w:sz="4" w:space="0"/>
              <w:left w:val="single" w:color="auto" w:sz="4" w:space="0"/>
              <w:bottom w:val="single" w:color="auto" w:sz="4" w:space="0"/>
              <w:right w:val="single" w:color="auto" w:sz="4" w:space="0"/>
            </w:tcBorders>
            <w:noWrap/>
            <w:vAlign w:val="center"/>
          </w:tcPr>
          <w:p w14:paraId="730C1C00">
            <w:pPr>
              <w:widowControl/>
              <w:spacing w:line="0" w:lineRule="atLeast"/>
              <w:ind w:left="-99" w:leftChars="-47" w:right="-84" w:rightChars="-40" w:firstLine="12" w:firstLineChars="7"/>
              <w:jc w:val="center"/>
              <w:rPr>
                <w:kern w:val="0"/>
                <w:sz w:val="18"/>
                <w:szCs w:val="18"/>
              </w:rPr>
            </w:pPr>
            <w:r>
              <w:rPr>
                <w:kern w:val="0"/>
                <w:sz w:val="18"/>
                <w:szCs w:val="18"/>
              </w:rPr>
              <w:t>51</w:t>
            </w:r>
          </w:p>
        </w:tc>
        <w:tc>
          <w:tcPr>
            <w:tcW w:w="159" w:type="pct"/>
            <w:tcBorders>
              <w:top w:val="single" w:color="auto" w:sz="4" w:space="0"/>
              <w:left w:val="single" w:color="auto" w:sz="4" w:space="0"/>
              <w:bottom w:val="single" w:color="auto" w:sz="4" w:space="0"/>
              <w:right w:val="single" w:color="auto" w:sz="4" w:space="0"/>
            </w:tcBorders>
            <w:noWrap/>
            <w:vAlign w:val="center"/>
          </w:tcPr>
          <w:p w14:paraId="329B21B7">
            <w:pPr>
              <w:widowControl/>
              <w:spacing w:line="0" w:lineRule="atLeast"/>
              <w:ind w:left="-99" w:leftChars="-47" w:right="-84" w:rightChars="-40" w:firstLine="12" w:firstLineChars="7"/>
              <w:jc w:val="center"/>
              <w:rPr>
                <w:kern w:val="0"/>
                <w:sz w:val="18"/>
                <w:szCs w:val="18"/>
              </w:rPr>
            </w:pPr>
            <w:r>
              <w:rPr>
                <w:kern w:val="0"/>
                <w:sz w:val="18"/>
                <w:szCs w:val="18"/>
              </w:rPr>
              <w:t>1740</w:t>
            </w:r>
          </w:p>
        </w:tc>
        <w:tc>
          <w:tcPr>
            <w:tcW w:w="132" w:type="pct"/>
            <w:tcBorders>
              <w:top w:val="single" w:color="auto" w:sz="4" w:space="0"/>
              <w:left w:val="single" w:color="auto" w:sz="4" w:space="0"/>
              <w:bottom w:val="single" w:color="auto" w:sz="4" w:space="0"/>
              <w:right w:val="single" w:color="auto" w:sz="4" w:space="0"/>
            </w:tcBorders>
            <w:noWrap/>
            <w:vAlign w:val="center"/>
          </w:tcPr>
          <w:p w14:paraId="04692ABF">
            <w:pPr>
              <w:widowControl/>
              <w:spacing w:line="0" w:lineRule="atLeast"/>
              <w:ind w:left="-99" w:leftChars="-47" w:right="-84" w:rightChars="-40" w:firstLine="12" w:firstLineChars="7"/>
              <w:jc w:val="center"/>
              <w:rPr>
                <w:kern w:val="0"/>
                <w:sz w:val="18"/>
                <w:szCs w:val="18"/>
              </w:rPr>
            </w:pPr>
            <w:r>
              <w:rPr>
                <w:kern w:val="0"/>
                <w:sz w:val="18"/>
                <w:szCs w:val="18"/>
              </w:rPr>
              <w:t>88</w:t>
            </w:r>
          </w:p>
        </w:tc>
      </w:tr>
      <w:tr w14:paraId="1FB431EA">
        <w:tblPrEx>
          <w:tblCellMar>
            <w:top w:w="0" w:type="dxa"/>
            <w:left w:w="108" w:type="dxa"/>
            <w:bottom w:w="0" w:type="dxa"/>
            <w:right w:w="108" w:type="dxa"/>
          </w:tblCellMar>
        </w:tblPrEx>
        <w:trPr>
          <w:trHeight w:val="680" w:hRule="atLeast"/>
        </w:trPr>
        <w:tc>
          <w:tcPr>
            <w:tcW w:w="159" w:type="pct"/>
            <w:vMerge w:val="restart"/>
            <w:tcBorders>
              <w:top w:val="single" w:color="auto" w:sz="4" w:space="0"/>
              <w:left w:val="single" w:color="auto" w:sz="4" w:space="0"/>
              <w:bottom w:val="single" w:color="auto" w:sz="4" w:space="0"/>
              <w:right w:val="single" w:color="auto" w:sz="4" w:space="0"/>
            </w:tcBorders>
            <w:noWrap/>
            <w:vAlign w:val="center"/>
          </w:tcPr>
          <w:p w14:paraId="0D24461F">
            <w:pPr>
              <w:widowControl/>
              <w:spacing w:line="0" w:lineRule="atLeast"/>
              <w:ind w:left="-99" w:leftChars="-47" w:right="-84" w:rightChars="-40" w:firstLine="13" w:firstLineChars="7"/>
              <w:jc w:val="center"/>
              <w:rPr>
                <w:b/>
                <w:bCs/>
                <w:kern w:val="0"/>
                <w:sz w:val="18"/>
                <w:szCs w:val="18"/>
              </w:rPr>
            </w:pPr>
            <w:r>
              <w:rPr>
                <w:b/>
                <w:bCs/>
                <w:kern w:val="0"/>
                <w:sz w:val="18"/>
                <w:szCs w:val="18"/>
              </w:rPr>
              <w:t>吉阳区</w:t>
            </w:r>
          </w:p>
        </w:tc>
        <w:tc>
          <w:tcPr>
            <w:tcW w:w="237" w:type="pct"/>
            <w:tcBorders>
              <w:top w:val="single" w:color="auto" w:sz="4" w:space="0"/>
              <w:left w:val="single" w:color="auto" w:sz="4" w:space="0"/>
              <w:bottom w:val="single" w:color="auto" w:sz="4" w:space="0"/>
              <w:right w:val="single" w:color="auto" w:sz="4" w:space="0"/>
            </w:tcBorders>
            <w:vAlign w:val="center"/>
          </w:tcPr>
          <w:p w14:paraId="43A2D9B2">
            <w:pPr>
              <w:widowControl/>
              <w:spacing w:line="0" w:lineRule="atLeast"/>
              <w:ind w:left="-99" w:leftChars="-47" w:right="-84" w:rightChars="-40" w:firstLine="13" w:firstLineChars="7"/>
              <w:jc w:val="center"/>
              <w:rPr>
                <w:b/>
                <w:bCs/>
                <w:kern w:val="0"/>
                <w:sz w:val="18"/>
                <w:szCs w:val="18"/>
              </w:rPr>
            </w:pPr>
            <w:r>
              <w:rPr>
                <w:b/>
                <w:bCs/>
                <w:kern w:val="0"/>
                <w:sz w:val="18"/>
                <w:szCs w:val="18"/>
              </w:rPr>
              <w:t>生产规模</w:t>
            </w:r>
          </w:p>
        </w:tc>
        <w:tc>
          <w:tcPr>
            <w:tcW w:w="205" w:type="pct"/>
            <w:tcBorders>
              <w:top w:val="single" w:color="auto" w:sz="4" w:space="0"/>
              <w:left w:val="single" w:color="auto" w:sz="4" w:space="0"/>
              <w:bottom w:val="single" w:color="auto" w:sz="4" w:space="0"/>
              <w:right w:val="single" w:color="auto" w:sz="4" w:space="0"/>
            </w:tcBorders>
            <w:vAlign w:val="center"/>
          </w:tcPr>
          <w:p w14:paraId="5986519C">
            <w:pPr>
              <w:widowControl/>
              <w:spacing w:line="0" w:lineRule="atLeast"/>
              <w:ind w:left="-99" w:leftChars="-47" w:right="-84" w:rightChars="-40" w:firstLine="13" w:firstLineChars="7"/>
              <w:jc w:val="center"/>
              <w:rPr>
                <w:b/>
                <w:bCs/>
                <w:kern w:val="0"/>
                <w:sz w:val="18"/>
                <w:szCs w:val="18"/>
              </w:rPr>
            </w:pPr>
            <w:r>
              <w:rPr>
                <w:b/>
                <w:bCs/>
                <w:kern w:val="0"/>
                <w:sz w:val="18"/>
                <w:szCs w:val="18"/>
              </w:rPr>
              <w:t>1</w:t>
            </w:r>
            <w:r>
              <w:rPr>
                <w:rFonts w:hint="eastAsia"/>
                <w:b/>
                <w:bCs/>
                <w:kern w:val="0"/>
                <w:sz w:val="18"/>
                <w:szCs w:val="18"/>
              </w:rPr>
              <w:t>4098</w:t>
            </w:r>
          </w:p>
        </w:tc>
        <w:tc>
          <w:tcPr>
            <w:tcW w:w="133" w:type="pct"/>
            <w:tcBorders>
              <w:top w:val="single" w:color="auto" w:sz="4" w:space="0"/>
              <w:left w:val="single" w:color="auto" w:sz="4" w:space="0"/>
              <w:bottom w:val="single" w:color="auto" w:sz="4" w:space="0"/>
              <w:right w:val="single" w:color="auto" w:sz="4" w:space="0"/>
            </w:tcBorders>
            <w:vAlign w:val="center"/>
          </w:tcPr>
          <w:p w14:paraId="10F5C69C">
            <w:pPr>
              <w:widowControl/>
              <w:spacing w:line="0" w:lineRule="atLeast"/>
              <w:ind w:left="-99" w:leftChars="-47" w:right="-84" w:rightChars="-40" w:firstLine="13" w:firstLineChars="7"/>
              <w:jc w:val="center"/>
              <w:rPr>
                <w:rFonts w:hint="eastAsia"/>
                <w:b/>
                <w:bCs/>
                <w:kern w:val="0"/>
                <w:sz w:val="18"/>
                <w:szCs w:val="18"/>
              </w:rPr>
            </w:pPr>
            <w:r>
              <w:rPr>
                <w:b/>
                <w:bCs/>
                <w:kern w:val="0"/>
                <w:sz w:val="18"/>
                <w:szCs w:val="18"/>
              </w:rPr>
              <w:t>7306</w:t>
            </w:r>
          </w:p>
        </w:tc>
        <w:tc>
          <w:tcPr>
            <w:tcW w:w="133" w:type="pct"/>
            <w:tcBorders>
              <w:top w:val="single" w:color="auto" w:sz="4" w:space="0"/>
              <w:left w:val="single" w:color="auto" w:sz="4" w:space="0"/>
              <w:bottom w:val="single" w:color="auto" w:sz="4" w:space="0"/>
              <w:right w:val="single" w:color="auto" w:sz="4" w:space="0"/>
            </w:tcBorders>
            <w:vAlign w:val="center"/>
          </w:tcPr>
          <w:p w14:paraId="3FD10897">
            <w:pPr>
              <w:widowControl/>
              <w:spacing w:line="0" w:lineRule="atLeast"/>
              <w:ind w:left="-99" w:leftChars="-47" w:right="-84" w:rightChars="-40" w:firstLine="13" w:firstLineChars="7"/>
              <w:jc w:val="center"/>
              <w:rPr>
                <w:rFonts w:hint="eastAsia"/>
                <w:b/>
                <w:bCs/>
                <w:kern w:val="0"/>
                <w:sz w:val="18"/>
                <w:szCs w:val="18"/>
              </w:rPr>
            </w:pPr>
          </w:p>
        </w:tc>
        <w:tc>
          <w:tcPr>
            <w:tcW w:w="133" w:type="pct"/>
            <w:tcBorders>
              <w:top w:val="single" w:color="auto" w:sz="4" w:space="0"/>
              <w:left w:val="single" w:color="auto" w:sz="4" w:space="0"/>
              <w:bottom w:val="single" w:color="auto" w:sz="4" w:space="0"/>
              <w:right w:val="single" w:color="auto" w:sz="4" w:space="0"/>
            </w:tcBorders>
            <w:vAlign w:val="center"/>
          </w:tcPr>
          <w:p w14:paraId="5143725B">
            <w:pPr>
              <w:widowControl/>
              <w:spacing w:line="0" w:lineRule="atLeast"/>
              <w:ind w:left="-99" w:leftChars="-47" w:right="-84" w:rightChars="-40" w:firstLine="12" w:firstLineChars="7"/>
              <w:jc w:val="center"/>
              <w:rPr>
                <w:rFonts w:hint="eastAsia"/>
                <w:b/>
                <w:bCs/>
                <w:kern w:val="0"/>
                <w:sz w:val="18"/>
                <w:szCs w:val="18"/>
              </w:rPr>
            </w:pPr>
            <w:r>
              <w:rPr>
                <w:kern w:val="0"/>
                <w:sz w:val="18"/>
                <w:szCs w:val="18"/>
              </w:rPr>
              <w:t>3648</w:t>
            </w:r>
          </w:p>
        </w:tc>
        <w:tc>
          <w:tcPr>
            <w:tcW w:w="134" w:type="pct"/>
            <w:tcBorders>
              <w:top w:val="single" w:color="auto" w:sz="4" w:space="0"/>
              <w:left w:val="single" w:color="auto" w:sz="4" w:space="0"/>
              <w:bottom w:val="single" w:color="auto" w:sz="4" w:space="0"/>
              <w:right w:val="single" w:color="auto" w:sz="4" w:space="0"/>
            </w:tcBorders>
            <w:vAlign w:val="center"/>
          </w:tcPr>
          <w:p w14:paraId="2386DD4F">
            <w:pPr>
              <w:widowControl/>
              <w:spacing w:line="0" w:lineRule="atLeast"/>
              <w:ind w:left="-99" w:leftChars="-47" w:right="-84" w:rightChars="-40" w:firstLine="12" w:firstLineChars="7"/>
              <w:jc w:val="center"/>
              <w:rPr>
                <w:rFonts w:hint="eastAsia"/>
                <w:b/>
                <w:bCs/>
                <w:kern w:val="0"/>
                <w:sz w:val="18"/>
                <w:szCs w:val="18"/>
              </w:rPr>
            </w:pPr>
            <w:r>
              <w:rPr>
                <w:kern w:val="0"/>
                <w:sz w:val="18"/>
                <w:szCs w:val="18"/>
              </w:rPr>
              <w:t>3222</w:t>
            </w:r>
          </w:p>
        </w:tc>
        <w:tc>
          <w:tcPr>
            <w:tcW w:w="132" w:type="pct"/>
            <w:tcBorders>
              <w:top w:val="single" w:color="auto" w:sz="4" w:space="0"/>
              <w:left w:val="single" w:color="auto" w:sz="4" w:space="0"/>
              <w:bottom w:val="single" w:color="auto" w:sz="4" w:space="0"/>
              <w:right w:val="single" w:color="auto" w:sz="4" w:space="0"/>
            </w:tcBorders>
            <w:vAlign w:val="center"/>
          </w:tcPr>
          <w:p w14:paraId="07E4E7C9">
            <w:pPr>
              <w:widowControl/>
              <w:spacing w:line="0" w:lineRule="atLeast"/>
              <w:ind w:left="-99" w:leftChars="-47" w:right="-84" w:rightChars="-40" w:firstLine="12" w:firstLineChars="7"/>
              <w:jc w:val="center"/>
              <w:rPr>
                <w:rFonts w:hint="eastAsia"/>
                <w:b/>
                <w:bCs/>
                <w:kern w:val="0"/>
                <w:sz w:val="18"/>
                <w:szCs w:val="18"/>
              </w:rPr>
            </w:pPr>
            <w:r>
              <w:rPr>
                <w:kern w:val="0"/>
                <w:sz w:val="18"/>
                <w:szCs w:val="18"/>
              </w:rPr>
              <w:t>436</w:t>
            </w:r>
          </w:p>
        </w:tc>
        <w:tc>
          <w:tcPr>
            <w:tcW w:w="180" w:type="pct"/>
            <w:tcBorders>
              <w:top w:val="single" w:color="auto" w:sz="4" w:space="0"/>
              <w:left w:val="single" w:color="auto" w:sz="4" w:space="0"/>
              <w:bottom w:val="single" w:color="auto" w:sz="4" w:space="0"/>
              <w:right w:val="single" w:color="auto" w:sz="4" w:space="0"/>
            </w:tcBorders>
            <w:vAlign w:val="center"/>
          </w:tcPr>
          <w:p w14:paraId="739CB374">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152.6</w:t>
            </w:r>
          </w:p>
        </w:tc>
        <w:tc>
          <w:tcPr>
            <w:tcW w:w="130" w:type="pct"/>
            <w:tcBorders>
              <w:top w:val="single" w:color="auto" w:sz="4" w:space="0"/>
              <w:left w:val="single" w:color="auto" w:sz="4" w:space="0"/>
              <w:bottom w:val="single" w:color="auto" w:sz="4" w:space="0"/>
              <w:right w:val="single" w:color="auto" w:sz="4" w:space="0"/>
            </w:tcBorders>
            <w:vAlign w:val="center"/>
          </w:tcPr>
          <w:p w14:paraId="5D9D5423">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77B1AB3D">
            <w:pPr>
              <w:widowControl/>
              <w:spacing w:line="0" w:lineRule="atLeast"/>
              <w:ind w:left="-99" w:leftChars="-47" w:right="-84" w:rightChars="-40" w:firstLine="12" w:firstLineChars="7"/>
              <w:jc w:val="center"/>
              <w:rPr>
                <w:kern w:val="0"/>
                <w:sz w:val="18"/>
                <w:szCs w:val="18"/>
              </w:rPr>
            </w:pPr>
            <w:r>
              <w:rPr>
                <w:rFonts w:hint="eastAsia"/>
                <w:kern w:val="0"/>
                <w:sz w:val="18"/>
                <w:szCs w:val="18"/>
              </w:rPr>
              <w:t>151.6</w:t>
            </w:r>
          </w:p>
        </w:tc>
        <w:tc>
          <w:tcPr>
            <w:tcW w:w="168" w:type="pct"/>
            <w:tcBorders>
              <w:top w:val="single" w:color="auto" w:sz="4" w:space="0"/>
              <w:left w:val="single" w:color="auto" w:sz="4" w:space="0"/>
              <w:bottom w:val="single" w:color="auto" w:sz="4" w:space="0"/>
              <w:right w:val="single" w:color="auto" w:sz="4" w:space="0"/>
            </w:tcBorders>
            <w:vAlign w:val="center"/>
          </w:tcPr>
          <w:p w14:paraId="76032BE8">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vAlign w:val="center"/>
          </w:tcPr>
          <w:p w14:paraId="72B86115">
            <w:pPr>
              <w:widowControl/>
              <w:spacing w:line="0" w:lineRule="atLeast"/>
              <w:ind w:left="-99" w:leftChars="-47" w:right="-84" w:rightChars="-40" w:firstLine="12" w:firstLineChars="7"/>
              <w:jc w:val="center"/>
              <w:rPr>
                <w:kern w:val="0"/>
                <w:sz w:val="18"/>
                <w:szCs w:val="18"/>
              </w:rPr>
            </w:pPr>
            <w:r>
              <w:rPr>
                <w:rFonts w:hint="eastAsia"/>
                <w:kern w:val="0"/>
                <w:sz w:val="18"/>
                <w:szCs w:val="18"/>
              </w:rPr>
              <w:t>1</w:t>
            </w:r>
          </w:p>
        </w:tc>
        <w:tc>
          <w:tcPr>
            <w:tcW w:w="170" w:type="pct"/>
            <w:tcBorders>
              <w:top w:val="single" w:color="auto" w:sz="4" w:space="0"/>
              <w:left w:val="single" w:color="auto" w:sz="4" w:space="0"/>
              <w:bottom w:val="single" w:color="auto" w:sz="4" w:space="0"/>
              <w:right w:val="single" w:color="auto" w:sz="4" w:space="0"/>
            </w:tcBorders>
            <w:vAlign w:val="center"/>
          </w:tcPr>
          <w:p w14:paraId="267161EF">
            <w:pPr>
              <w:widowControl/>
              <w:spacing w:line="0" w:lineRule="atLeast"/>
              <w:ind w:left="-99" w:leftChars="-47" w:right="-84" w:rightChars="-40" w:firstLine="12" w:firstLineChars="7"/>
              <w:jc w:val="center"/>
              <w:rPr>
                <w:kern w:val="0"/>
                <w:sz w:val="18"/>
                <w:szCs w:val="18"/>
              </w:rPr>
            </w:pPr>
            <w:r>
              <w:rPr>
                <w:kern w:val="0"/>
                <w:sz w:val="18"/>
                <w:szCs w:val="18"/>
              </w:rPr>
              <w:t>53家</w:t>
            </w:r>
          </w:p>
        </w:tc>
        <w:tc>
          <w:tcPr>
            <w:tcW w:w="171" w:type="pct"/>
            <w:tcBorders>
              <w:top w:val="single" w:color="auto" w:sz="4" w:space="0"/>
              <w:left w:val="single" w:color="auto" w:sz="4" w:space="0"/>
              <w:bottom w:val="single" w:color="auto" w:sz="4" w:space="0"/>
              <w:right w:val="single" w:color="auto" w:sz="4" w:space="0"/>
            </w:tcBorders>
            <w:vAlign w:val="center"/>
          </w:tcPr>
          <w:p w14:paraId="66C6D8AD">
            <w:pPr>
              <w:widowControl/>
              <w:spacing w:line="0" w:lineRule="atLeast"/>
              <w:ind w:left="-99" w:leftChars="-47" w:right="-84" w:rightChars="-40" w:firstLine="13" w:firstLineChars="7"/>
              <w:jc w:val="center"/>
              <w:rPr>
                <w:b/>
                <w:bCs/>
                <w:kern w:val="0"/>
                <w:sz w:val="18"/>
                <w:szCs w:val="18"/>
              </w:rPr>
            </w:pPr>
            <w:r>
              <w:rPr>
                <w:b/>
                <w:bCs/>
                <w:kern w:val="0"/>
                <w:sz w:val="18"/>
                <w:szCs w:val="18"/>
              </w:rPr>
              <w:t>1384</w:t>
            </w:r>
          </w:p>
        </w:tc>
        <w:tc>
          <w:tcPr>
            <w:tcW w:w="170" w:type="pct"/>
            <w:tcBorders>
              <w:top w:val="single" w:color="auto" w:sz="4" w:space="0"/>
              <w:left w:val="single" w:color="auto" w:sz="4" w:space="0"/>
              <w:bottom w:val="single" w:color="auto" w:sz="4" w:space="0"/>
              <w:right w:val="single" w:color="auto" w:sz="4" w:space="0"/>
            </w:tcBorders>
            <w:vAlign w:val="center"/>
          </w:tcPr>
          <w:p w14:paraId="7573504B">
            <w:pPr>
              <w:widowControl/>
              <w:spacing w:line="0" w:lineRule="atLeast"/>
              <w:ind w:left="-99" w:leftChars="-47" w:right="-84" w:rightChars="-40" w:firstLine="12" w:firstLineChars="7"/>
              <w:jc w:val="center"/>
              <w:rPr>
                <w:b/>
                <w:bCs/>
                <w:kern w:val="0"/>
                <w:sz w:val="18"/>
                <w:szCs w:val="18"/>
              </w:rPr>
            </w:pPr>
            <w:r>
              <w:rPr>
                <w:kern w:val="0"/>
                <w:sz w:val="18"/>
                <w:szCs w:val="18"/>
              </w:rPr>
              <w:t>983</w:t>
            </w:r>
          </w:p>
        </w:tc>
        <w:tc>
          <w:tcPr>
            <w:tcW w:w="127" w:type="pct"/>
            <w:tcBorders>
              <w:top w:val="single" w:color="auto" w:sz="4" w:space="0"/>
              <w:left w:val="single" w:color="auto" w:sz="4" w:space="0"/>
              <w:bottom w:val="single" w:color="auto" w:sz="4" w:space="0"/>
              <w:right w:val="single" w:color="auto" w:sz="4" w:space="0"/>
            </w:tcBorders>
            <w:vAlign w:val="center"/>
          </w:tcPr>
          <w:p w14:paraId="63DC3937">
            <w:pPr>
              <w:widowControl/>
              <w:spacing w:line="0" w:lineRule="atLeast"/>
              <w:ind w:left="-99" w:leftChars="-47" w:right="-84" w:rightChars="-40" w:firstLine="12" w:firstLineChars="7"/>
              <w:jc w:val="center"/>
              <w:rPr>
                <w:b/>
                <w:bCs/>
                <w:kern w:val="0"/>
                <w:sz w:val="18"/>
                <w:szCs w:val="18"/>
              </w:rPr>
            </w:pPr>
            <w:r>
              <w:rPr>
                <w:kern w:val="0"/>
                <w:sz w:val="18"/>
                <w:szCs w:val="18"/>
              </w:rPr>
              <w:t>380</w:t>
            </w:r>
          </w:p>
        </w:tc>
        <w:tc>
          <w:tcPr>
            <w:tcW w:w="127" w:type="pct"/>
            <w:tcBorders>
              <w:top w:val="single" w:color="auto" w:sz="4" w:space="0"/>
              <w:left w:val="single" w:color="auto" w:sz="4" w:space="0"/>
              <w:bottom w:val="single" w:color="auto" w:sz="4" w:space="0"/>
              <w:right w:val="single" w:color="auto" w:sz="4" w:space="0"/>
            </w:tcBorders>
            <w:vAlign w:val="center"/>
          </w:tcPr>
          <w:p w14:paraId="128BE972">
            <w:pPr>
              <w:widowControl/>
              <w:spacing w:line="0" w:lineRule="atLeast"/>
              <w:ind w:left="-99" w:leftChars="-47" w:right="-84" w:rightChars="-40" w:firstLine="12" w:firstLineChars="7"/>
              <w:jc w:val="center"/>
              <w:rPr>
                <w:b/>
                <w:bCs/>
                <w:kern w:val="0"/>
                <w:sz w:val="18"/>
                <w:szCs w:val="18"/>
              </w:rPr>
            </w:pPr>
            <w:r>
              <w:rPr>
                <w:kern w:val="0"/>
                <w:sz w:val="18"/>
                <w:szCs w:val="18"/>
              </w:rPr>
              <w:t>16</w:t>
            </w:r>
          </w:p>
        </w:tc>
        <w:tc>
          <w:tcPr>
            <w:tcW w:w="132" w:type="pct"/>
            <w:tcBorders>
              <w:top w:val="single" w:color="auto" w:sz="4" w:space="0"/>
              <w:left w:val="single" w:color="auto" w:sz="4" w:space="0"/>
              <w:bottom w:val="single" w:color="auto" w:sz="4" w:space="0"/>
              <w:right w:val="single" w:color="auto" w:sz="4" w:space="0"/>
            </w:tcBorders>
            <w:vAlign w:val="center"/>
          </w:tcPr>
          <w:p w14:paraId="1C877490">
            <w:pPr>
              <w:widowControl/>
              <w:spacing w:line="0" w:lineRule="atLeast"/>
              <w:ind w:left="-99" w:leftChars="-47" w:right="-84" w:rightChars="-40" w:firstLine="12" w:firstLineChars="7"/>
              <w:jc w:val="center"/>
              <w:rPr>
                <w:b/>
                <w:bCs/>
                <w:kern w:val="0"/>
                <w:sz w:val="18"/>
                <w:szCs w:val="18"/>
              </w:rPr>
            </w:pPr>
            <w:r>
              <w:rPr>
                <w:kern w:val="0"/>
                <w:sz w:val="18"/>
                <w:szCs w:val="18"/>
              </w:rPr>
              <w:t>5</w:t>
            </w:r>
          </w:p>
        </w:tc>
        <w:tc>
          <w:tcPr>
            <w:tcW w:w="186" w:type="pct"/>
            <w:tcBorders>
              <w:top w:val="single" w:color="auto" w:sz="4" w:space="0"/>
              <w:left w:val="single" w:color="auto" w:sz="4" w:space="0"/>
              <w:bottom w:val="single" w:color="auto" w:sz="4" w:space="0"/>
              <w:right w:val="single" w:color="auto" w:sz="4" w:space="0"/>
            </w:tcBorders>
            <w:vAlign w:val="center"/>
          </w:tcPr>
          <w:p w14:paraId="138F69FE">
            <w:pPr>
              <w:widowControl/>
              <w:spacing w:line="0" w:lineRule="atLeast"/>
              <w:ind w:left="-99" w:leftChars="-47" w:right="-84" w:rightChars="-40" w:firstLine="13" w:firstLineChars="7"/>
              <w:jc w:val="center"/>
              <w:rPr>
                <w:b/>
                <w:bCs/>
                <w:kern w:val="0"/>
                <w:sz w:val="18"/>
                <w:szCs w:val="18"/>
              </w:rPr>
            </w:pPr>
            <w:r>
              <w:rPr>
                <w:b/>
                <w:bCs/>
                <w:kern w:val="0"/>
                <w:sz w:val="18"/>
                <w:szCs w:val="18"/>
              </w:rPr>
              <w:t>5255</w:t>
            </w:r>
          </w:p>
        </w:tc>
        <w:tc>
          <w:tcPr>
            <w:tcW w:w="162" w:type="pct"/>
            <w:tcBorders>
              <w:top w:val="single" w:color="auto" w:sz="4" w:space="0"/>
              <w:left w:val="single" w:color="auto" w:sz="4" w:space="0"/>
              <w:bottom w:val="single" w:color="auto" w:sz="4" w:space="0"/>
              <w:right w:val="single" w:color="auto" w:sz="4" w:space="0"/>
            </w:tcBorders>
            <w:noWrap/>
            <w:vAlign w:val="center"/>
          </w:tcPr>
          <w:p w14:paraId="7FE1F928">
            <w:pPr>
              <w:widowControl/>
              <w:spacing w:line="0" w:lineRule="atLeast"/>
              <w:ind w:left="-99" w:leftChars="-47" w:right="-84" w:rightChars="-40" w:firstLine="12" w:firstLineChars="7"/>
              <w:jc w:val="center"/>
              <w:rPr>
                <w:kern w:val="0"/>
                <w:sz w:val="18"/>
                <w:szCs w:val="18"/>
              </w:rPr>
            </w:pPr>
            <w:r>
              <w:rPr>
                <w:kern w:val="0"/>
                <w:sz w:val="18"/>
                <w:szCs w:val="18"/>
              </w:rPr>
              <w:t>2973</w:t>
            </w:r>
          </w:p>
        </w:tc>
        <w:tc>
          <w:tcPr>
            <w:tcW w:w="165" w:type="pct"/>
            <w:tcBorders>
              <w:top w:val="single" w:color="auto" w:sz="4" w:space="0"/>
              <w:left w:val="single" w:color="auto" w:sz="4" w:space="0"/>
              <w:bottom w:val="single" w:color="auto" w:sz="4" w:space="0"/>
              <w:right w:val="single" w:color="auto" w:sz="4" w:space="0"/>
            </w:tcBorders>
            <w:noWrap/>
            <w:vAlign w:val="center"/>
          </w:tcPr>
          <w:p w14:paraId="1B20631A">
            <w:pPr>
              <w:widowControl/>
              <w:spacing w:line="0" w:lineRule="atLeast"/>
              <w:ind w:left="-99" w:leftChars="-47" w:right="-84" w:rightChars="-40" w:firstLine="12" w:firstLineChars="7"/>
              <w:jc w:val="center"/>
              <w:rPr>
                <w:kern w:val="0"/>
                <w:sz w:val="18"/>
                <w:szCs w:val="18"/>
              </w:rPr>
            </w:pPr>
            <w:r>
              <w:rPr>
                <w:kern w:val="0"/>
                <w:sz w:val="18"/>
                <w:szCs w:val="18"/>
              </w:rPr>
              <w:t>1273</w:t>
            </w:r>
          </w:p>
        </w:tc>
        <w:tc>
          <w:tcPr>
            <w:tcW w:w="165" w:type="pct"/>
            <w:tcBorders>
              <w:top w:val="single" w:color="auto" w:sz="4" w:space="0"/>
              <w:left w:val="single" w:color="auto" w:sz="4" w:space="0"/>
              <w:bottom w:val="single" w:color="auto" w:sz="4" w:space="0"/>
              <w:right w:val="single" w:color="auto" w:sz="4" w:space="0"/>
            </w:tcBorders>
            <w:noWrap/>
            <w:vAlign w:val="center"/>
          </w:tcPr>
          <w:p w14:paraId="4486A1C1">
            <w:pPr>
              <w:widowControl/>
              <w:spacing w:line="0" w:lineRule="atLeast"/>
              <w:ind w:left="-99" w:leftChars="-47" w:right="-84" w:rightChars="-40" w:firstLine="12" w:firstLineChars="7"/>
              <w:jc w:val="center"/>
              <w:rPr>
                <w:kern w:val="0"/>
                <w:sz w:val="18"/>
                <w:szCs w:val="18"/>
              </w:rPr>
            </w:pPr>
            <w:r>
              <w:rPr>
                <w:kern w:val="0"/>
                <w:sz w:val="18"/>
                <w:szCs w:val="18"/>
              </w:rPr>
              <w:t>175</w:t>
            </w:r>
          </w:p>
        </w:tc>
        <w:tc>
          <w:tcPr>
            <w:tcW w:w="175" w:type="pct"/>
            <w:tcBorders>
              <w:top w:val="single" w:color="auto" w:sz="4" w:space="0"/>
              <w:left w:val="single" w:color="auto" w:sz="4" w:space="0"/>
              <w:bottom w:val="single" w:color="auto" w:sz="4" w:space="0"/>
              <w:right w:val="single" w:color="auto" w:sz="4" w:space="0"/>
            </w:tcBorders>
            <w:noWrap/>
            <w:vAlign w:val="center"/>
          </w:tcPr>
          <w:p w14:paraId="7BF843A0">
            <w:pPr>
              <w:widowControl/>
              <w:spacing w:line="0" w:lineRule="atLeast"/>
              <w:ind w:left="-99" w:leftChars="-47" w:right="-84" w:rightChars="-40" w:firstLine="12" w:firstLineChars="7"/>
              <w:jc w:val="center"/>
              <w:rPr>
                <w:kern w:val="0"/>
                <w:sz w:val="18"/>
                <w:szCs w:val="18"/>
              </w:rPr>
            </w:pPr>
            <w:r>
              <w:rPr>
                <w:kern w:val="0"/>
                <w:sz w:val="18"/>
                <w:szCs w:val="18"/>
              </w:rPr>
              <w:t>514</w:t>
            </w:r>
          </w:p>
        </w:tc>
        <w:tc>
          <w:tcPr>
            <w:tcW w:w="187" w:type="pct"/>
            <w:tcBorders>
              <w:top w:val="single" w:color="auto" w:sz="4" w:space="0"/>
              <w:left w:val="single" w:color="auto" w:sz="4" w:space="0"/>
              <w:bottom w:val="single" w:color="auto" w:sz="4" w:space="0"/>
              <w:right w:val="single" w:color="auto" w:sz="4" w:space="0"/>
            </w:tcBorders>
            <w:noWrap/>
            <w:vAlign w:val="center"/>
          </w:tcPr>
          <w:p w14:paraId="7E473B25">
            <w:pPr>
              <w:widowControl/>
              <w:spacing w:line="0" w:lineRule="atLeast"/>
              <w:ind w:left="-99" w:leftChars="-47" w:right="-84" w:rightChars="-40" w:firstLine="12" w:firstLineChars="7"/>
              <w:jc w:val="center"/>
              <w:rPr>
                <w:kern w:val="0"/>
                <w:sz w:val="18"/>
                <w:szCs w:val="18"/>
              </w:rPr>
            </w:pPr>
            <w:r>
              <w:rPr>
                <w:kern w:val="0"/>
                <w:sz w:val="18"/>
                <w:szCs w:val="18"/>
              </w:rPr>
              <w:t>320</w:t>
            </w:r>
          </w:p>
        </w:tc>
        <w:tc>
          <w:tcPr>
            <w:tcW w:w="173" w:type="pct"/>
            <w:tcBorders>
              <w:top w:val="single" w:color="auto" w:sz="4" w:space="0"/>
              <w:left w:val="single" w:color="auto" w:sz="4" w:space="0"/>
              <w:bottom w:val="single" w:color="auto" w:sz="4" w:space="0"/>
              <w:right w:val="single" w:color="auto" w:sz="4" w:space="0"/>
            </w:tcBorders>
            <w:vAlign w:val="center"/>
          </w:tcPr>
          <w:p w14:paraId="0DB4FB8C">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7322DC22">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1B63FFFC">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6660354B">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13E97AC8">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59" w:type="pct"/>
            <w:tcBorders>
              <w:top w:val="single" w:color="auto" w:sz="4" w:space="0"/>
              <w:left w:val="single" w:color="auto" w:sz="4" w:space="0"/>
              <w:bottom w:val="single" w:color="auto" w:sz="4" w:space="0"/>
              <w:right w:val="single" w:color="auto" w:sz="4" w:space="0"/>
            </w:tcBorders>
            <w:vAlign w:val="center"/>
          </w:tcPr>
          <w:p w14:paraId="7F17F9C8">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55D67786">
            <w:pPr>
              <w:widowControl/>
              <w:spacing w:line="0" w:lineRule="atLeast"/>
              <w:ind w:left="-99" w:leftChars="-47" w:right="-84" w:rightChars="-40" w:firstLine="12" w:firstLineChars="7"/>
              <w:jc w:val="center"/>
              <w:rPr>
                <w:kern w:val="0"/>
                <w:sz w:val="18"/>
                <w:szCs w:val="18"/>
              </w:rPr>
            </w:pPr>
            <w:r>
              <w:rPr>
                <w:kern w:val="0"/>
                <w:sz w:val="18"/>
                <w:szCs w:val="18"/>
              </w:rPr>
              <w:t>—</w:t>
            </w:r>
          </w:p>
        </w:tc>
      </w:tr>
      <w:tr w14:paraId="290726A3">
        <w:tblPrEx>
          <w:tblCellMar>
            <w:top w:w="0" w:type="dxa"/>
            <w:left w:w="108" w:type="dxa"/>
            <w:bottom w:w="0" w:type="dxa"/>
            <w:right w:w="108" w:type="dxa"/>
          </w:tblCellMar>
        </w:tblPrEx>
        <w:trPr>
          <w:trHeight w:val="680" w:hRule="atLeast"/>
        </w:trPr>
        <w:tc>
          <w:tcPr>
            <w:tcW w:w="159" w:type="pct"/>
            <w:vMerge w:val="continue"/>
            <w:tcBorders>
              <w:top w:val="single" w:color="auto" w:sz="4" w:space="0"/>
              <w:left w:val="single" w:color="auto" w:sz="4" w:space="0"/>
              <w:bottom w:val="single" w:color="auto" w:sz="4" w:space="0"/>
              <w:right w:val="single" w:color="auto" w:sz="4" w:space="0"/>
            </w:tcBorders>
            <w:vAlign w:val="center"/>
          </w:tcPr>
          <w:p w14:paraId="5EEB9681">
            <w:pPr>
              <w:widowControl/>
              <w:spacing w:line="0" w:lineRule="atLeast"/>
              <w:ind w:left="-99" w:leftChars="-47" w:right="-84" w:rightChars="-40" w:firstLine="13" w:firstLineChars="7"/>
              <w:jc w:val="center"/>
              <w:rPr>
                <w:b/>
                <w:bCs/>
                <w:kern w:val="0"/>
                <w:sz w:val="18"/>
                <w:szCs w:val="18"/>
              </w:rPr>
            </w:pPr>
          </w:p>
        </w:tc>
        <w:tc>
          <w:tcPr>
            <w:tcW w:w="237" w:type="pct"/>
            <w:tcBorders>
              <w:top w:val="single" w:color="auto" w:sz="4" w:space="0"/>
              <w:left w:val="single" w:color="auto" w:sz="4" w:space="0"/>
              <w:bottom w:val="single" w:color="auto" w:sz="4" w:space="0"/>
              <w:right w:val="single" w:color="auto" w:sz="4" w:space="0"/>
            </w:tcBorders>
            <w:vAlign w:val="center"/>
          </w:tcPr>
          <w:p w14:paraId="0EF9AB0F">
            <w:pPr>
              <w:widowControl/>
              <w:spacing w:line="0" w:lineRule="atLeast"/>
              <w:ind w:left="-99" w:leftChars="-47" w:right="-84" w:rightChars="-40" w:firstLine="13" w:firstLineChars="7"/>
              <w:jc w:val="center"/>
              <w:rPr>
                <w:b/>
                <w:bCs/>
                <w:kern w:val="0"/>
                <w:sz w:val="18"/>
                <w:szCs w:val="18"/>
              </w:rPr>
            </w:pPr>
            <w:r>
              <w:rPr>
                <w:b/>
                <w:bCs/>
                <w:kern w:val="0"/>
                <w:sz w:val="18"/>
                <w:szCs w:val="18"/>
              </w:rPr>
              <w:t>产值</w:t>
            </w:r>
            <w:r>
              <w:rPr>
                <w:b/>
                <w:bCs/>
                <w:kern w:val="0"/>
                <w:sz w:val="18"/>
                <w:szCs w:val="18"/>
              </w:rPr>
              <w:br w:type="textWrapping"/>
            </w:r>
            <w:r>
              <w:rPr>
                <w:b/>
                <w:bCs/>
                <w:kern w:val="0"/>
                <w:sz w:val="18"/>
                <w:szCs w:val="18"/>
              </w:rPr>
              <w:t>（万元）</w:t>
            </w:r>
          </w:p>
        </w:tc>
        <w:tc>
          <w:tcPr>
            <w:tcW w:w="205" w:type="pct"/>
            <w:tcBorders>
              <w:top w:val="single" w:color="auto" w:sz="4" w:space="0"/>
              <w:left w:val="single" w:color="auto" w:sz="4" w:space="0"/>
              <w:bottom w:val="single" w:color="auto" w:sz="4" w:space="0"/>
              <w:right w:val="single" w:color="auto" w:sz="4" w:space="0"/>
            </w:tcBorders>
            <w:vAlign w:val="center"/>
          </w:tcPr>
          <w:p w14:paraId="1B2409E9">
            <w:pPr>
              <w:widowControl/>
              <w:spacing w:line="0" w:lineRule="atLeast"/>
              <w:ind w:left="-99" w:leftChars="-47" w:right="-84" w:rightChars="-40" w:firstLine="13" w:firstLineChars="7"/>
              <w:jc w:val="center"/>
              <w:rPr>
                <w:b/>
                <w:bCs/>
                <w:kern w:val="0"/>
                <w:sz w:val="18"/>
                <w:szCs w:val="18"/>
              </w:rPr>
            </w:pPr>
            <w:r>
              <w:rPr>
                <w:b/>
                <w:bCs/>
                <w:kern w:val="0"/>
                <w:sz w:val="18"/>
                <w:szCs w:val="18"/>
              </w:rPr>
              <w:t>1</w:t>
            </w:r>
            <w:r>
              <w:rPr>
                <w:rFonts w:hint="eastAsia"/>
                <w:b/>
                <w:bCs/>
                <w:kern w:val="0"/>
                <w:sz w:val="18"/>
                <w:szCs w:val="18"/>
              </w:rPr>
              <w:t>11299</w:t>
            </w:r>
          </w:p>
        </w:tc>
        <w:tc>
          <w:tcPr>
            <w:tcW w:w="133" w:type="pct"/>
            <w:tcBorders>
              <w:top w:val="single" w:color="auto" w:sz="4" w:space="0"/>
              <w:left w:val="single" w:color="auto" w:sz="4" w:space="0"/>
              <w:bottom w:val="single" w:color="auto" w:sz="4" w:space="0"/>
              <w:right w:val="single" w:color="auto" w:sz="4" w:space="0"/>
            </w:tcBorders>
            <w:vAlign w:val="center"/>
          </w:tcPr>
          <w:p w14:paraId="509CF09B">
            <w:pPr>
              <w:widowControl/>
              <w:spacing w:line="0" w:lineRule="atLeast"/>
              <w:ind w:left="-99" w:leftChars="-47" w:right="-84" w:rightChars="-40" w:firstLine="13" w:firstLineChars="7"/>
              <w:jc w:val="center"/>
              <w:rPr>
                <w:rFonts w:hint="eastAsia"/>
                <w:b/>
                <w:bCs/>
                <w:kern w:val="0"/>
                <w:sz w:val="18"/>
                <w:szCs w:val="18"/>
              </w:rPr>
            </w:pPr>
            <w:r>
              <w:rPr>
                <w:b/>
                <w:bCs/>
                <w:kern w:val="0"/>
                <w:sz w:val="18"/>
                <w:szCs w:val="18"/>
              </w:rPr>
              <w:t>43573</w:t>
            </w:r>
          </w:p>
        </w:tc>
        <w:tc>
          <w:tcPr>
            <w:tcW w:w="133" w:type="pct"/>
            <w:tcBorders>
              <w:top w:val="single" w:color="auto" w:sz="4" w:space="0"/>
              <w:left w:val="single" w:color="auto" w:sz="4" w:space="0"/>
              <w:bottom w:val="single" w:color="auto" w:sz="4" w:space="0"/>
              <w:right w:val="single" w:color="auto" w:sz="4" w:space="0"/>
            </w:tcBorders>
            <w:vAlign w:val="center"/>
          </w:tcPr>
          <w:p w14:paraId="2FC756A8">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0D543789">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4" w:type="pct"/>
            <w:tcBorders>
              <w:top w:val="single" w:color="auto" w:sz="4" w:space="0"/>
              <w:left w:val="single" w:color="auto" w:sz="4" w:space="0"/>
              <w:bottom w:val="single" w:color="auto" w:sz="4" w:space="0"/>
              <w:right w:val="single" w:color="auto" w:sz="4" w:space="0"/>
            </w:tcBorders>
            <w:vAlign w:val="center"/>
          </w:tcPr>
          <w:p w14:paraId="72E347B3">
            <w:pPr>
              <w:widowControl/>
              <w:spacing w:line="0" w:lineRule="atLeast"/>
              <w:ind w:left="-99" w:leftChars="-47" w:right="-84" w:rightChars="-40" w:firstLine="12" w:firstLineChars="7"/>
              <w:jc w:val="center"/>
              <w:rPr>
                <w:rFonts w:hint="eastAsia"/>
                <w:b/>
                <w:bCs/>
                <w:kern w:val="0"/>
                <w:sz w:val="18"/>
                <w:szCs w:val="18"/>
              </w:rPr>
            </w:pPr>
            <w:r>
              <w:rPr>
                <w:kern w:val="0"/>
                <w:sz w:val="18"/>
                <w:szCs w:val="18"/>
              </w:rPr>
              <w:t>43573</w:t>
            </w:r>
          </w:p>
        </w:tc>
        <w:tc>
          <w:tcPr>
            <w:tcW w:w="132" w:type="pct"/>
            <w:tcBorders>
              <w:top w:val="single" w:color="auto" w:sz="4" w:space="0"/>
              <w:left w:val="single" w:color="auto" w:sz="4" w:space="0"/>
              <w:bottom w:val="single" w:color="auto" w:sz="4" w:space="0"/>
              <w:right w:val="single" w:color="auto" w:sz="4" w:space="0"/>
            </w:tcBorders>
            <w:vAlign w:val="center"/>
          </w:tcPr>
          <w:p w14:paraId="1442A26E">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5B5E07F0">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21532</w:t>
            </w:r>
          </w:p>
        </w:tc>
        <w:tc>
          <w:tcPr>
            <w:tcW w:w="130" w:type="pct"/>
            <w:tcBorders>
              <w:top w:val="single" w:color="auto" w:sz="4" w:space="0"/>
              <w:left w:val="single" w:color="auto" w:sz="4" w:space="0"/>
              <w:bottom w:val="single" w:color="auto" w:sz="4" w:space="0"/>
              <w:right w:val="single" w:color="auto" w:sz="4" w:space="0"/>
            </w:tcBorders>
            <w:vAlign w:val="center"/>
          </w:tcPr>
          <w:p w14:paraId="416361F2">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1CB16000">
            <w:pPr>
              <w:widowControl/>
              <w:spacing w:line="0" w:lineRule="atLeast"/>
              <w:ind w:left="-99" w:leftChars="-47" w:right="-84" w:rightChars="-40" w:firstLine="12" w:firstLineChars="7"/>
              <w:jc w:val="center"/>
              <w:rPr>
                <w:kern w:val="0"/>
                <w:sz w:val="18"/>
                <w:szCs w:val="18"/>
              </w:rPr>
            </w:pPr>
            <w:r>
              <w:rPr>
                <w:kern w:val="0"/>
                <w:sz w:val="18"/>
                <w:szCs w:val="18"/>
              </w:rPr>
              <w:t>7283</w:t>
            </w:r>
          </w:p>
        </w:tc>
        <w:tc>
          <w:tcPr>
            <w:tcW w:w="168" w:type="pct"/>
            <w:tcBorders>
              <w:top w:val="single" w:color="auto" w:sz="4" w:space="0"/>
              <w:left w:val="single" w:color="auto" w:sz="4" w:space="0"/>
              <w:bottom w:val="single" w:color="auto" w:sz="4" w:space="0"/>
              <w:right w:val="single" w:color="auto" w:sz="4" w:space="0"/>
            </w:tcBorders>
            <w:vAlign w:val="center"/>
          </w:tcPr>
          <w:p w14:paraId="5BBCA6BB">
            <w:pPr>
              <w:widowControl/>
              <w:spacing w:line="0" w:lineRule="atLeast"/>
              <w:ind w:left="-99" w:leftChars="-47" w:right="-84" w:rightChars="-40" w:firstLine="12" w:firstLineChars="7"/>
              <w:jc w:val="center"/>
              <w:rPr>
                <w:kern w:val="0"/>
                <w:sz w:val="18"/>
                <w:szCs w:val="18"/>
              </w:rPr>
            </w:pPr>
            <w:r>
              <w:rPr>
                <w:rFonts w:hint="eastAsia"/>
                <w:kern w:val="0"/>
                <w:sz w:val="18"/>
                <w:szCs w:val="18"/>
              </w:rPr>
              <w:t>7102</w:t>
            </w:r>
          </w:p>
        </w:tc>
        <w:tc>
          <w:tcPr>
            <w:tcW w:w="170" w:type="pct"/>
            <w:tcBorders>
              <w:top w:val="single" w:color="auto" w:sz="4" w:space="0"/>
              <w:left w:val="single" w:color="auto" w:sz="4" w:space="0"/>
              <w:bottom w:val="single" w:color="auto" w:sz="4" w:space="0"/>
              <w:right w:val="single" w:color="auto" w:sz="4" w:space="0"/>
            </w:tcBorders>
            <w:vAlign w:val="center"/>
          </w:tcPr>
          <w:p w14:paraId="6F553FC1">
            <w:pPr>
              <w:widowControl/>
              <w:spacing w:line="0" w:lineRule="atLeast"/>
              <w:ind w:left="-99" w:leftChars="-47" w:right="-84" w:rightChars="-40" w:firstLine="12" w:firstLineChars="7"/>
              <w:jc w:val="center"/>
              <w:rPr>
                <w:kern w:val="0"/>
                <w:sz w:val="18"/>
                <w:szCs w:val="18"/>
              </w:rPr>
            </w:pPr>
            <w:r>
              <w:rPr>
                <w:kern w:val="0"/>
                <w:sz w:val="18"/>
                <w:szCs w:val="18"/>
              </w:rPr>
              <w:t>3234</w:t>
            </w:r>
          </w:p>
        </w:tc>
        <w:tc>
          <w:tcPr>
            <w:tcW w:w="170" w:type="pct"/>
            <w:tcBorders>
              <w:top w:val="single" w:color="auto" w:sz="4" w:space="0"/>
              <w:left w:val="single" w:color="auto" w:sz="4" w:space="0"/>
              <w:bottom w:val="single" w:color="auto" w:sz="4" w:space="0"/>
              <w:right w:val="single" w:color="auto" w:sz="4" w:space="0"/>
            </w:tcBorders>
            <w:vAlign w:val="center"/>
          </w:tcPr>
          <w:p w14:paraId="347BB790">
            <w:pPr>
              <w:widowControl/>
              <w:spacing w:line="0" w:lineRule="atLeast"/>
              <w:ind w:left="-99" w:leftChars="-47" w:right="-84" w:rightChars="-40" w:firstLine="12" w:firstLineChars="7"/>
              <w:jc w:val="center"/>
              <w:rPr>
                <w:kern w:val="0"/>
                <w:sz w:val="18"/>
                <w:szCs w:val="18"/>
              </w:rPr>
            </w:pPr>
            <w:r>
              <w:rPr>
                <w:kern w:val="0"/>
                <w:sz w:val="18"/>
                <w:szCs w:val="18"/>
              </w:rPr>
              <w:t>3913</w:t>
            </w:r>
          </w:p>
        </w:tc>
        <w:tc>
          <w:tcPr>
            <w:tcW w:w="171" w:type="pct"/>
            <w:tcBorders>
              <w:top w:val="single" w:color="auto" w:sz="4" w:space="0"/>
              <w:left w:val="single" w:color="auto" w:sz="4" w:space="0"/>
              <w:bottom w:val="single" w:color="auto" w:sz="4" w:space="0"/>
              <w:right w:val="single" w:color="auto" w:sz="4" w:space="0"/>
            </w:tcBorders>
            <w:vAlign w:val="center"/>
          </w:tcPr>
          <w:p w14:paraId="093DF13F">
            <w:pPr>
              <w:widowControl/>
              <w:spacing w:line="0" w:lineRule="atLeast"/>
              <w:ind w:left="-99" w:leftChars="-47" w:right="-84" w:rightChars="-40" w:firstLine="13" w:firstLineChars="7"/>
              <w:jc w:val="center"/>
              <w:rPr>
                <w:b/>
                <w:bCs/>
                <w:kern w:val="0"/>
                <w:sz w:val="18"/>
                <w:szCs w:val="18"/>
              </w:rPr>
            </w:pPr>
            <w:r>
              <w:rPr>
                <w:b/>
                <w:bCs/>
                <w:kern w:val="0"/>
                <w:sz w:val="18"/>
                <w:szCs w:val="18"/>
              </w:rPr>
              <w:t>888</w:t>
            </w:r>
          </w:p>
        </w:tc>
        <w:tc>
          <w:tcPr>
            <w:tcW w:w="170" w:type="pct"/>
            <w:tcBorders>
              <w:top w:val="single" w:color="auto" w:sz="4" w:space="0"/>
              <w:left w:val="single" w:color="auto" w:sz="4" w:space="0"/>
              <w:bottom w:val="single" w:color="auto" w:sz="4" w:space="0"/>
              <w:right w:val="single" w:color="auto" w:sz="4" w:space="0"/>
            </w:tcBorders>
            <w:vAlign w:val="center"/>
          </w:tcPr>
          <w:p w14:paraId="285CC0E0">
            <w:pPr>
              <w:widowControl/>
              <w:spacing w:line="0" w:lineRule="atLeast"/>
              <w:ind w:left="-99" w:leftChars="-47" w:right="-84" w:rightChars="-40" w:firstLine="12" w:firstLineChars="7"/>
              <w:jc w:val="center"/>
              <w:rPr>
                <w:b/>
                <w:bCs/>
                <w:kern w:val="0"/>
                <w:sz w:val="18"/>
                <w:szCs w:val="18"/>
              </w:rPr>
            </w:pPr>
            <w:r>
              <w:rPr>
                <w:kern w:val="0"/>
                <w:sz w:val="18"/>
                <w:szCs w:val="18"/>
              </w:rPr>
              <w:t>888</w:t>
            </w:r>
          </w:p>
        </w:tc>
        <w:tc>
          <w:tcPr>
            <w:tcW w:w="127" w:type="pct"/>
            <w:tcBorders>
              <w:top w:val="single" w:color="auto" w:sz="4" w:space="0"/>
              <w:left w:val="single" w:color="auto" w:sz="4" w:space="0"/>
              <w:bottom w:val="single" w:color="auto" w:sz="4" w:space="0"/>
              <w:right w:val="single" w:color="auto" w:sz="4" w:space="0"/>
            </w:tcBorders>
            <w:vAlign w:val="center"/>
          </w:tcPr>
          <w:p w14:paraId="096013B1">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45E01743">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40E93464">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86" w:type="pct"/>
            <w:tcBorders>
              <w:top w:val="single" w:color="auto" w:sz="4" w:space="0"/>
              <w:left w:val="single" w:color="auto" w:sz="4" w:space="0"/>
              <w:bottom w:val="single" w:color="auto" w:sz="4" w:space="0"/>
              <w:right w:val="single" w:color="auto" w:sz="4" w:space="0"/>
            </w:tcBorders>
            <w:vAlign w:val="center"/>
          </w:tcPr>
          <w:p w14:paraId="4D8BAC01">
            <w:pPr>
              <w:widowControl/>
              <w:spacing w:line="0" w:lineRule="atLeast"/>
              <w:ind w:left="-99" w:leftChars="-47" w:right="-84" w:rightChars="-40" w:firstLine="13" w:firstLineChars="7"/>
              <w:jc w:val="center"/>
              <w:rPr>
                <w:b/>
                <w:bCs/>
                <w:kern w:val="0"/>
                <w:sz w:val="18"/>
                <w:szCs w:val="18"/>
              </w:rPr>
            </w:pPr>
            <w:r>
              <w:rPr>
                <w:b/>
                <w:bCs/>
                <w:kern w:val="0"/>
                <w:sz w:val="18"/>
                <w:szCs w:val="18"/>
              </w:rPr>
              <w:t>40050</w:t>
            </w:r>
          </w:p>
        </w:tc>
        <w:tc>
          <w:tcPr>
            <w:tcW w:w="162" w:type="pct"/>
            <w:tcBorders>
              <w:top w:val="single" w:color="auto" w:sz="4" w:space="0"/>
              <w:left w:val="single" w:color="auto" w:sz="4" w:space="0"/>
              <w:bottom w:val="single" w:color="auto" w:sz="4" w:space="0"/>
              <w:right w:val="single" w:color="auto" w:sz="4" w:space="0"/>
            </w:tcBorders>
            <w:noWrap/>
            <w:vAlign w:val="center"/>
          </w:tcPr>
          <w:p w14:paraId="02528DBD">
            <w:pPr>
              <w:widowControl/>
              <w:spacing w:line="0" w:lineRule="atLeast"/>
              <w:ind w:left="-99" w:leftChars="-47" w:right="-84" w:rightChars="-40" w:firstLine="12" w:firstLineChars="7"/>
              <w:jc w:val="center"/>
              <w:rPr>
                <w:kern w:val="0"/>
                <w:sz w:val="18"/>
                <w:szCs w:val="18"/>
              </w:rPr>
            </w:pPr>
            <w:r>
              <w:rPr>
                <w:kern w:val="0"/>
                <w:sz w:val="18"/>
                <w:szCs w:val="18"/>
              </w:rPr>
              <w:t>23333</w:t>
            </w:r>
          </w:p>
        </w:tc>
        <w:tc>
          <w:tcPr>
            <w:tcW w:w="165" w:type="pct"/>
            <w:tcBorders>
              <w:top w:val="single" w:color="auto" w:sz="4" w:space="0"/>
              <w:left w:val="single" w:color="auto" w:sz="4" w:space="0"/>
              <w:bottom w:val="single" w:color="auto" w:sz="4" w:space="0"/>
              <w:right w:val="single" w:color="auto" w:sz="4" w:space="0"/>
            </w:tcBorders>
            <w:noWrap/>
            <w:vAlign w:val="center"/>
          </w:tcPr>
          <w:p w14:paraId="34144A4D">
            <w:pPr>
              <w:widowControl/>
              <w:spacing w:line="0" w:lineRule="atLeast"/>
              <w:ind w:left="-99" w:leftChars="-47" w:right="-84" w:rightChars="-40" w:firstLine="12" w:firstLineChars="7"/>
              <w:jc w:val="center"/>
              <w:rPr>
                <w:kern w:val="0"/>
                <w:sz w:val="18"/>
                <w:szCs w:val="18"/>
              </w:rPr>
            </w:pPr>
            <w:r>
              <w:rPr>
                <w:kern w:val="0"/>
                <w:sz w:val="18"/>
                <w:szCs w:val="18"/>
              </w:rPr>
              <w:t>11047</w:t>
            </w:r>
          </w:p>
        </w:tc>
        <w:tc>
          <w:tcPr>
            <w:tcW w:w="165" w:type="pct"/>
            <w:tcBorders>
              <w:top w:val="single" w:color="auto" w:sz="4" w:space="0"/>
              <w:left w:val="single" w:color="auto" w:sz="4" w:space="0"/>
              <w:bottom w:val="single" w:color="auto" w:sz="4" w:space="0"/>
              <w:right w:val="single" w:color="auto" w:sz="4" w:space="0"/>
            </w:tcBorders>
            <w:noWrap/>
            <w:vAlign w:val="center"/>
          </w:tcPr>
          <w:p w14:paraId="09734020">
            <w:pPr>
              <w:widowControl/>
              <w:spacing w:line="0" w:lineRule="atLeast"/>
              <w:ind w:left="-99" w:leftChars="-47" w:right="-84" w:rightChars="-40" w:firstLine="12" w:firstLineChars="7"/>
              <w:jc w:val="center"/>
              <w:rPr>
                <w:kern w:val="0"/>
                <w:sz w:val="18"/>
                <w:szCs w:val="18"/>
              </w:rPr>
            </w:pPr>
            <w:r>
              <w:rPr>
                <w:kern w:val="0"/>
                <w:sz w:val="18"/>
                <w:szCs w:val="18"/>
              </w:rPr>
              <w:t>2200</w:t>
            </w:r>
          </w:p>
        </w:tc>
        <w:tc>
          <w:tcPr>
            <w:tcW w:w="175" w:type="pct"/>
            <w:tcBorders>
              <w:top w:val="single" w:color="auto" w:sz="4" w:space="0"/>
              <w:left w:val="single" w:color="auto" w:sz="4" w:space="0"/>
              <w:bottom w:val="single" w:color="auto" w:sz="4" w:space="0"/>
              <w:right w:val="single" w:color="auto" w:sz="4" w:space="0"/>
            </w:tcBorders>
            <w:noWrap/>
            <w:vAlign w:val="center"/>
          </w:tcPr>
          <w:p w14:paraId="256FAF11">
            <w:pPr>
              <w:widowControl/>
              <w:spacing w:line="0" w:lineRule="atLeast"/>
              <w:ind w:left="-99" w:leftChars="-47" w:right="-84" w:rightChars="-40" w:firstLine="12" w:firstLineChars="7"/>
              <w:jc w:val="center"/>
              <w:rPr>
                <w:kern w:val="0"/>
                <w:sz w:val="18"/>
                <w:szCs w:val="18"/>
              </w:rPr>
            </w:pPr>
            <w:r>
              <w:rPr>
                <w:kern w:val="0"/>
                <w:sz w:val="18"/>
                <w:szCs w:val="18"/>
              </w:rPr>
              <w:t>327</w:t>
            </w:r>
          </w:p>
        </w:tc>
        <w:tc>
          <w:tcPr>
            <w:tcW w:w="187" w:type="pct"/>
            <w:tcBorders>
              <w:top w:val="single" w:color="auto" w:sz="4" w:space="0"/>
              <w:left w:val="single" w:color="auto" w:sz="4" w:space="0"/>
              <w:bottom w:val="single" w:color="auto" w:sz="4" w:space="0"/>
              <w:right w:val="single" w:color="auto" w:sz="4" w:space="0"/>
            </w:tcBorders>
            <w:noWrap/>
            <w:vAlign w:val="center"/>
          </w:tcPr>
          <w:p w14:paraId="489BF5CB">
            <w:pPr>
              <w:widowControl/>
              <w:spacing w:line="0" w:lineRule="atLeast"/>
              <w:ind w:left="-99" w:leftChars="-47" w:right="-84" w:rightChars="-40" w:firstLine="12" w:firstLineChars="7"/>
              <w:jc w:val="center"/>
              <w:rPr>
                <w:kern w:val="0"/>
                <w:sz w:val="18"/>
                <w:szCs w:val="18"/>
              </w:rPr>
            </w:pPr>
            <w:r>
              <w:rPr>
                <w:kern w:val="0"/>
                <w:sz w:val="18"/>
                <w:szCs w:val="18"/>
              </w:rPr>
              <w:t>3143</w:t>
            </w:r>
          </w:p>
        </w:tc>
        <w:tc>
          <w:tcPr>
            <w:tcW w:w="173" w:type="pct"/>
            <w:tcBorders>
              <w:top w:val="single" w:color="auto" w:sz="4" w:space="0"/>
              <w:left w:val="single" w:color="auto" w:sz="4" w:space="0"/>
              <w:bottom w:val="single" w:color="auto" w:sz="4" w:space="0"/>
              <w:right w:val="single" w:color="auto" w:sz="4" w:space="0"/>
            </w:tcBorders>
            <w:vAlign w:val="center"/>
          </w:tcPr>
          <w:p w14:paraId="223145B0">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574B3BB7">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7C3EBFF5">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noWrap/>
            <w:vAlign w:val="center"/>
          </w:tcPr>
          <w:p w14:paraId="0E570A1A">
            <w:pPr>
              <w:widowControl/>
              <w:spacing w:line="0" w:lineRule="atLeast"/>
              <w:ind w:left="-99" w:leftChars="-47" w:right="-84" w:rightChars="-40" w:firstLine="13" w:firstLineChars="7"/>
              <w:jc w:val="center"/>
              <w:rPr>
                <w:b/>
                <w:bCs/>
                <w:kern w:val="0"/>
                <w:sz w:val="18"/>
                <w:szCs w:val="18"/>
              </w:rPr>
            </w:pPr>
            <w:r>
              <w:rPr>
                <w:b/>
                <w:bCs/>
                <w:kern w:val="0"/>
                <w:sz w:val="18"/>
                <w:szCs w:val="18"/>
              </w:rPr>
              <w:t>5256</w:t>
            </w:r>
          </w:p>
        </w:tc>
        <w:tc>
          <w:tcPr>
            <w:tcW w:w="127" w:type="pct"/>
            <w:tcBorders>
              <w:top w:val="single" w:color="auto" w:sz="4" w:space="0"/>
              <w:left w:val="single" w:color="auto" w:sz="4" w:space="0"/>
              <w:bottom w:val="single" w:color="auto" w:sz="4" w:space="0"/>
              <w:right w:val="single" w:color="auto" w:sz="4" w:space="0"/>
            </w:tcBorders>
            <w:noWrap/>
            <w:vAlign w:val="center"/>
          </w:tcPr>
          <w:p w14:paraId="3C2B30BB">
            <w:pPr>
              <w:widowControl/>
              <w:spacing w:line="0" w:lineRule="atLeast"/>
              <w:ind w:left="-99" w:leftChars="-47" w:right="-84" w:rightChars="-40" w:firstLine="12" w:firstLineChars="7"/>
              <w:jc w:val="center"/>
              <w:rPr>
                <w:kern w:val="0"/>
                <w:sz w:val="18"/>
                <w:szCs w:val="18"/>
              </w:rPr>
            </w:pPr>
            <w:r>
              <w:rPr>
                <w:kern w:val="0"/>
                <w:sz w:val="18"/>
                <w:szCs w:val="18"/>
              </w:rPr>
              <w:t>1899</w:t>
            </w:r>
          </w:p>
        </w:tc>
        <w:tc>
          <w:tcPr>
            <w:tcW w:w="159" w:type="pct"/>
            <w:tcBorders>
              <w:top w:val="single" w:color="auto" w:sz="4" w:space="0"/>
              <w:left w:val="single" w:color="auto" w:sz="4" w:space="0"/>
              <w:bottom w:val="single" w:color="auto" w:sz="4" w:space="0"/>
              <w:right w:val="single" w:color="auto" w:sz="4" w:space="0"/>
            </w:tcBorders>
            <w:noWrap/>
            <w:vAlign w:val="center"/>
          </w:tcPr>
          <w:p w14:paraId="5FF952FE">
            <w:pPr>
              <w:widowControl/>
              <w:spacing w:line="0" w:lineRule="atLeast"/>
              <w:ind w:left="-99" w:leftChars="-47" w:right="-84" w:rightChars="-40" w:firstLine="12" w:firstLineChars="7"/>
              <w:jc w:val="center"/>
              <w:rPr>
                <w:kern w:val="0"/>
                <w:sz w:val="18"/>
                <w:szCs w:val="18"/>
              </w:rPr>
            </w:pPr>
            <w:r>
              <w:rPr>
                <w:kern w:val="0"/>
                <w:sz w:val="18"/>
                <w:szCs w:val="18"/>
              </w:rPr>
              <w:t>981</w:t>
            </w:r>
          </w:p>
        </w:tc>
        <w:tc>
          <w:tcPr>
            <w:tcW w:w="132" w:type="pct"/>
            <w:tcBorders>
              <w:top w:val="single" w:color="auto" w:sz="4" w:space="0"/>
              <w:left w:val="single" w:color="auto" w:sz="4" w:space="0"/>
              <w:bottom w:val="single" w:color="auto" w:sz="4" w:space="0"/>
              <w:right w:val="single" w:color="auto" w:sz="4" w:space="0"/>
            </w:tcBorders>
            <w:noWrap/>
            <w:vAlign w:val="center"/>
          </w:tcPr>
          <w:p w14:paraId="7AF1CB0A">
            <w:pPr>
              <w:widowControl/>
              <w:spacing w:line="0" w:lineRule="atLeast"/>
              <w:ind w:left="-99" w:leftChars="-47" w:right="-84" w:rightChars="-40" w:firstLine="12" w:firstLineChars="7"/>
              <w:jc w:val="center"/>
              <w:rPr>
                <w:kern w:val="0"/>
                <w:sz w:val="18"/>
                <w:szCs w:val="18"/>
              </w:rPr>
            </w:pPr>
            <w:r>
              <w:rPr>
                <w:kern w:val="0"/>
                <w:sz w:val="18"/>
                <w:szCs w:val="18"/>
              </w:rPr>
              <w:t>2376</w:t>
            </w:r>
          </w:p>
        </w:tc>
      </w:tr>
      <w:tr w14:paraId="639C6432">
        <w:tblPrEx>
          <w:tblCellMar>
            <w:top w:w="0" w:type="dxa"/>
            <w:left w:w="108" w:type="dxa"/>
            <w:bottom w:w="0" w:type="dxa"/>
            <w:right w:w="108" w:type="dxa"/>
          </w:tblCellMar>
        </w:tblPrEx>
        <w:trPr>
          <w:trHeight w:val="680" w:hRule="atLeast"/>
        </w:trPr>
        <w:tc>
          <w:tcPr>
            <w:tcW w:w="159" w:type="pct"/>
            <w:vMerge w:val="restart"/>
            <w:tcBorders>
              <w:top w:val="single" w:color="auto" w:sz="4" w:space="0"/>
              <w:left w:val="single" w:color="auto" w:sz="4" w:space="0"/>
              <w:bottom w:val="single" w:color="auto" w:sz="4" w:space="0"/>
              <w:right w:val="single" w:color="auto" w:sz="4" w:space="0"/>
            </w:tcBorders>
            <w:noWrap/>
            <w:vAlign w:val="center"/>
          </w:tcPr>
          <w:p w14:paraId="1261F330">
            <w:pPr>
              <w:widowControl/>
              <w:spacing w:line="0" w:lineRule="atLeast"/>
              <w:ind w:left="-99" w:leftChars="-47" w:right="-84" w:rightChars="-40" w:firstLine="13" w:firstLineChars="7"/>
              <w:jc w:val="center"/>
              <w:rPr>
                <w:b/>
                <w:bCs/>
                <w:kern w:val="0"/>
                <w:sz w:val="18"/>
                <w:szCs w:val="18"/>
              </w:rPr>
            </w:pPr>
            <w:r>
              <w:rPr>
                <w:b/>
                <w:bCs/>
                <w:kern w:val="0"/>
                <w:sz w:val="18"/>
                <w:szCs w:val="18"/>
              </w:rPr>
              <w:t>天涯区</w:t>
            </w:r>
          </w:p>
        </w:tc>
        <w:tc>
          <w:tcPr>
            <w:tcW w:w="237" w:type="pct"/>
            <w:tcBorders>
              <w:top w:val="single" w:color="auto" w:sz="4" w:space="0"/>
              <w:left w:val="single" w:color="auto" w:sz="4" w:space="0"/>
              <w:bottom w:val="single" w:color="auto" w:sz="4" w:space="0"/>
              <w:right w:val="single" w:color="auto" w:sz="4" w:space="0"/>
            </w:tcBorders>
            <w:vAlign w:val="center"/>
          </w:tcPr>
          <w:p w14:paraId="52BB4636">
            <w:pPr>
              <w:widowControl/>
              <w:spacing w:line="0" w:lineRule="atLeast"/>
              <w:ind w:left="-99" w:leftChars="-47" w:right="-84" w:rightChars="-40" w:firstLine="13" w:firstLineChars="7"/>
              <w:jc w:val="center"/>
              <w:rPr>
                <w:b/>
                <w:bCs/>
                <w:kern w:val="0"/>
                <w:sz w:val="18"/>
                <w:szCs w:val="18"/>
              </w:rPr>
            </w:pPr>
            <w:r>
              <w:rPr>
                <w:b/>
                <w:bCs/>
                <w:kern w:val="0"/>
                <w:sz w:val="18"/>
                <w:szCs w:val="18"/>
              </w:rPr>
              <w:t>生产规模</w:t>
            </w:r>
          </w:p>
        </w:tc>
        <w:tc>
          <w:tcPr>
            <w:tcW w:w="205" w:type="pct"/>
            <w:tcBorders>
              <w:top w:val="single" w:color="auto" w:sz="4" w:space="0"/>
              <w:left w:val="single" w:color="auto" w:sz="4" w:space="0"/>
              <w:bottom w:val="single" w:color="auto" w:sz="4" w:space="0"/>
              <w:right w:val="single" w:color="auto" w:sz="4" w:space="0"/>
            </w:tcBorders>
            <w:vAlign w:val="center"/>
          </w:tcPr>
          <w:p w14:paraId="75817449">
            <w:pPr>
              <w:widowControl/>
              <w:spacing w:line="0" w:lineRule="atLeast"/>
              <w:ind w:left="-99" w:leftChars="-47" w:right="-84" w:rightChars="-40" w:firstLine="13" w:firstLineChars="7"/>
              <w:jc w:val="center"/>
              <w:rPr>
                <w:b/>
                <w:bCs/>
                <w:kern w:val="0"/>
                <w:sz w:val="18"/>
                <w:szCs w:val="18"/>
              </w:rPr>
            </w:pPr>
            <w:r>
              <w:rPr>
                <w:b/>
                <w:bCs/>
                <w:kern w:val="0"/>
                <w:sz w:val="18"/>
                <w:szCs w:val="18"/>
              </w:rPr>
              <w:t>23</w:t>
            </w:r>
            <w:r>
              <w:rPr>
                <w:rFonts w:hint="eastAsia"/>
                <w:b/>
                <w:bCs/>
                <w:kern w:val="0"/>
                <w:sz w:val="18"/>
                <w:szCs w:val="18"/>
              </w:rPr>
              <w:t>2</w:t>
            </w:r>
            <w:r>
              <w:rPr>
                <w:b/>
                <w:bCs/>
                <w:kern w:val="0"/>
                <w:sz w:val="18"/>
                <w:szCs w:val="18"/>
              </w:rPr>
              <w:t>83</w:t>
            </w:r>
          </w:p>
        </w:tc>
        <w:tc>
          <w:tcPr>
            <w:tcW w:w="133" w:type="pct"/>
            <w:tcBorders>
              <w:top w:val="single" w:color="auto" w:sz="4" w:space="0"/>
              <w:left w:val="single" w:color="auto" w:sz="4" w:space="0"/>
              <w:bottom w:val="single" w:color="auto" w:sz="4" w:space="0"/>
              <w:right w:val="single" w:color="auto" w:sz="4" w:space="0"/>
            </w:tcBorders>
            <w:vAlign w:val="center"/>
          </w:tcPr>
          <w:p w14:paraId="0256F93A">
            <w:pPr>
              <w:widowControl/>
              <w:spacing w:line="0" w:lineRule="atLeast"/>
              <w:ind w:left="-99" w:leftChars="-47" w:right="-84" w:rightChars="-40" w:firstLine="13" w:firstLineChars="7"/>
              <w:jc w:val="center"/>
              <w:rPr>
                <w:rFonts w:hint="eastAsia"/>
                <w:b/>
                <w:bCs/>
                <w:kern w:val="0"/>
                <w:sz w:val="18"/>
                <w:szCs w:val="18"/>
              </w:rPr>
            </w:pPr>
            <w:r>
              <w:rPr>
                <w:b/>
                <w:bCs/>
                <w:kern w:val="0"/>
                <w:sz w:val="18"/>
                <w:szCs w:val="18"/>
              </w:rPr>
              <w:t>4728</w:t>
            </w:r>
          </w:p>
        </w:tc>
        <w:tc>
          <w:tcPr>
            <w:tcW w:w="133" w:type="pct"/>
            <w:tcBorders>
              <w:top w:val="single" w:color="auto" w:sz="4" w:space="0"/>
              <w:left w:val="single" w:color="auto" w:sz="4" w:space="0"/>
              <w:bottom w:val="single" w:color="auto" w:sz="4" w:space="0"/>
              <w:right w:val="single" w:color="auto" w:sz="4" w:space="0"/>
            </w:tcBorders>
            <w:vAlign w:val="center"/>
          </w:tcPr>
          <w:p w14:paraId="5DA3DE57">
            <w:pPr>
              <w:widowControl/>
              <w:spacing w:line="0" w:lineRule="atLeast"/>
              <w:ind w:left="-99" w:leftChars="-47" w:right="-84" w:rightChars="-40" w:firstLine="13" w:firstLineChars="7"/>
              <w:jc w:val="center"/>
              <w:rPr>
                <w:rFonts w:hint="eastAsia"/>
                <w:b/>
                <w:bCs/>
                <w:kern w:val="0"/>
                <w:sz w:val="18"/>
                <w:szCs w:val="18"/>
              </w:rPr>
            </w:pPr>
          </w:p>
        </w:tc>
        <w:tc>
          <w:tcPr>
            <w:tcW w:w="133" w:type="pct"/>
            <w:tcBorders>
              <w:top w:val="single" w:color="auto" w:sz="4" w:space="0"/>
              <w:left w:val="single" w:color="auto" w:sz="4" w:space="0"/>
              <w:bottom w:val="single" w:color="auto" w:sz="4" w:space="0"/>
              <w:right w:val="single" w:color="auto" w:sz="4" w:space="0"/>
            </w:tcBorders>
            <w:vAlign w:val="center"/>
          </w:tcPr>
          <w:p w14:paraId="72959941">
            <w:pPr>
              <w:widowControl/>
              <w:spacing w:line="0" w:lineRule="atLeast"/>
              <w:ind w:left="-99" w:leftChars="-47" w:right="-84" w:rightChars="-40" w:firstLine="13" w:firstLineChars="7"/>
              <w:jc w:val="center"/>
              <w:rPr>
                <w:rFonts w:hint="eastAsia"/>
                <w:b/>
                <w:bCs/>
                <w:kern w:val="0"/>
                <w:sz w:val="18"/>
                <w:szCs w:val="18"/>
              </w:rPr>
            </w:pPr>
          </w:p>
        </w:tc>
        <w:tc>
          <w:tcPr>
            <w:tcW w:w="134" w:type="pct"/>
            <w:tcBorders>
              <w:top w:val="single" w:color="auto" w:sz="4" w:space="0"/>
              <w:left w:val="single" w:color="auto" w:sz="4" w:space="0"/>
              <w:bottom w:val="single" w:color="auto" w:sz="4" w:space="0"/>
              <w:right w:val="single" w:color="auto" w:sz="4" w:space="0"/>
            </w:tcBorders>
            <w:vAlign w:val="center"/>
          </w:tcPr>
          <w:p w14:paraId="702547CC">
            <w:pPr>
              <w:widowControl/>
              <w:spacing w:line="0" w:lineRule="atLeast"/>
              <w:ind w:left="-99" w:leftChars="-47" w:right="-84" w:rightChars="-40" w:firstLine="12" w:firstLineChars="7"/>
              <w:jc w:val="center"/>
              <w:rPr>
                <w:rFonts w:hint="eastAsia"/>
                <w:b/>
                <w:bCs/>
                <w:kern w:val="0"/>
                <w:sz w:val="18"/>
                <w:szCs w:val="18"/>
              </w:rPr>
            </w:pPr>
            <w:r>
              <w:rPr>
                <w:kern w:val="0"/>
                <w:sz w:val="18"/>
                <w:szCs w:val="18"/>
              </w:rPr>
              <w:t>2884</w:t>
            </w:r>
          </w:p>
        </w:tc>
        <w:tc>
          <w:tcPr>
            <w:tcW w:w="132" w:type="pct"/>
            <w:tcBorders>
              <w:top w:val="single" w:color="auto" w:sz="4" w:space="0"/>
              <w:left w:val="single" w:color="auto" w:sz="4" w:space="0"/>
              <w:bottom w:val="single" w:color="auto" w:sz="4" w:space="0"/>
              <w:right w:val="single" w:color="auto" w:sz="4" w:space="0"/>
            </w:tcBorders>
            <w:vAlign w:val="center"/>
          </w:tcPr>
          <w:p w14:paraId="6140609B">
            <w:pPr>
              <w:widowControl/>
              <w:spacing w:line="0" w:lineRule="atLeast"/>
              <w:ind w:left="-99" w:leftChars="-47" w:right="-84" w:rightChars="-40" w:firstLine="12" w:firstLineChars="7"/>
              <w:jc w:val="center"/>
              <w:rPr>
                <w:rFonts w:hint="eastAsia"/>
                <w:b/>
                <w:bCs/>
                <w:kern w:val="0"/>
                <w:sz w:val="18"/>
                <w:szCs w:val="18"/>
              </w:rPr>
            </w:pPr>
            <w:r>
              <w:rPr>
                <w:kern w:val="0"/>
                <w:sz w:val="18"/>
                <w:szCs w:val="18"/>
              </w:rPr>
              <w:t>1843</w:t>
            </w:r>
          </w:p>
        </w:tc>
        <w:tc>
          <w:tcPr>
            <w:tcW w:w="180" w:type="pct"/>
            <w:tcBorders>
              <w:top w:val="single" w:color="auto" w:sz="4" w:space="0"/>
              <w:left w:val="single" w:color="auto" w:sz="4" w:space="0"/>
              <w:bottom w:val="single" w:color="auto" w:sz="4" w:space="0"/>
              <w:right w:val="single" w:color="auto" w:sz="4" w:space="0"/>
            </w:tcBorders>
            <w:vAlign w:val="center"/>
          </w:tcPr>
          <w:p w14:paraId="7DC7121E">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114.6</w:t>
            </w:r>
          </w:p>
        </w:tc>
        <w:tc>
          <w:tcPr>
            <w:tcW w:w="130" w:type="pct"/>
            <w:tcBorders>
              <w:top w:val="single" w:color="auto" w:sz="4" w:space="0"/>
              <w:left w:val="single" w:color="auto" w:sz="4" w:space="0"/>
              <w:bottom w:val="single" w:color="auto" w:sz="4" w:space="0"/>
              <w:right w:val="single" w:color="auto" w:sz="4" w:space="0"/>
            </w:tcBorders>
            <w:vAlign w:val="center"/>
          </w:tcPr>
          <w:p w14:paraId="590EF3BF">
            <w:pPr>
              <w:widowControl/>
              <w:spacing w:line="0" w:lineRule="atLeast"/>
              <w:ind w:left="-99" w:leftChars="-47" w:right="-84" w:rightChars="-40" w:firstLine="12" w:firstLineChars="7"/>
              <w:jc w:val="center"/>
              <w:rPr>
                <w:kern w:val="0"/>
                <w:sz w:val="18"/>
                <w:szCs w:val="18"/>
              </w:rPr>
            </w:pPr>
            <w:r>
              <w:rPr>
                <w:rFonts w:hint="eastAsia"/>
                <w:kern w:val="0"/>
                <w:sz w:val="18"/>
                <w:szCs w:val="18"/>
              </w:rPr>
              <w:t>66.7</w:t>
            </w:r>
          </w:p>
        </w:tc>
        <w:tc>
          <w:tcPr>
            <w:tcW w:w="172" w:type="pct"/>
            <w:tcBorders>
              <w:top w:val="single" w:color="auto" w:sz="4" w:space="0"/>
              <w:left w:val="single" w:color="auto" w:sz="4" w:space="0"/>
              <w:bottom w:val="single" w:color="auto" w:sz="4" w:space="0"/>
              <w:right w:val="single" w:color="auto" w:sz="4" w:space="0"/>
            </w:tcBorders>
            <w:vAlign w:val="center"/>
          </w:tcPr>
          <w:p w14:paraId="2DA9C120">
            <w:pPr>
              <w:widowControl/>
              <w:spacing w:line="0" w:lineRule="atLeast"/>
              <w:ind w:left="-99" w:leftChars="-47" w:right="-84" w:rightChars="-40" w:firstLine="12" w:firstLineChars="7"/>
              <w:jc w:val="center"/>
              <w:rPr>
                <w:kern w:val="0"/>
                <w:sz w:val="18"/>
                <w:szCs w:val="18"/>
              </w:rPr>
            </w:pPr>
            <w:r>
              <w:rPr>
                <w:rFonts w:hint="eastAsia"/>
                <w:kern w:val="0"/>
                <w:sz w:val="18"/>
                <w:szCs w:val="18"/>
              </w:rPr>
              <w:t>47.5</w:t>
            </w:r>
          </w:p>
        </w:tc>
        <w:tc>
          <w:tcPr>
            <w:tcW w:w="168" w:type="pct"/>
            <w:tcBorders>
              <w:top w:val="single" w:color="auto" w:sz="4" w:space="0"/>
              <w:left w:val="single" w:color="auto" w:sz="4" w:space="0"/>
              <w:bottom w:val="single" w:color="auto" w:sz="4" w:space="0"/>
              <w:right w:val="single" w:color="auto" w:sz="4" w:space="0"/>
            </w:tcBorders>
            <w:vAlign w:val="center"/>
          </w:tcPr>
          <w:p w14:paraId="6462C130">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vAlign w:val="center"/>
          </w:tcPr>
          <w:p w14:paraId="3B9A431A">
            <w:pPr>
              <w:widowControl/>
              <w:spacing w:line="0" w:lineRule="atLeast"/>
              <w:ind w:left="-99" w:leftChars="-47" w:right="-84" w:rightChars="-40" w:firstLine="12" w:firstLineChars="7"/>
              <w:jc w:val="center"/>
              <w:rPr>
                <w:kern w:val="0"/>
                <w:sz w:val="18"/>
                <w:szCs w:val="18"/>
              </w:rPr>
            </w:pPr>
            <w:r>
              <w:rPr>
                <w:rFonts w:hint="eastAsia"/>
                <w:kern w:val="0"/>
                <w:sz w:val="18"/>
                <w:szCs w:val="18"/>
              </w:rPr>
              <w:t>0</w:t>
            </w:r>
            <w:r>
              <w:rPr>
                <w:kern w:val="0"/>
                <w:sz w:val="18"/>
                <w:szCs w:val="18"/>
              </w:rPr>
              <w:t>.4</w:t>
            </w:r>
          </w:p>
        </w:tc>
        <w:tc>
          <w:tcPr>
            <w:tcW w:w="170" w:type="pct"/>
            <w:tcBorders>
              <w:top w:val="single" w:color="auto" w:sz="4" w:space="0"/>
              <w:left w:val="single" w:color="auto" w:sz="4" w:space="0"/>
              <w:bottom w:val="single" w:color="auto" w:sz="4" w:space="0"/>
              <w:right w:val="single" w:color="auto" w:sz="4" w:space="0"/>
            </w:tcBorders>
            <w:vAlign w:val="center"/>
          </w:tcPr>
          <w:p w14:paraId="280D0F2B">
            <w:pPr>
              <w:widowControl/>
              <w:spacing w:line="0" w:lineRule="atLeast"/>
              <w:ind w:left="-99" w:leftChars="-47" w:right="-84" w:rightChars="-40" w:firstLine="12" w:firstLineChars="7"/>
              <w:jc w:val="center"/>
              <w:rPr>
                <w:kern w:val="0"/>
                <w:sz w:val="18"/>
                <w:szCs w:val="18"/>
              </w:rPr>
            </w:pPr>
            <w:r>
              <w:rPr>
                <w:kern w:val="0"/>
                <w:sz w:val="18"/>
                <w:szCs w:val="18"/>
              </w:rPr>
              <w:t>51家</w:t>
            </w:r>
          </w:p>
        </w:tc>
        <w:tc>
          <w:tcPr>
            <w:tcW w:w="171" w:type="pct"/>
            <w:tcBorders>
              <w:top w:val="single" w:color="auto" w:sz="4" w:space="0"/>
              <w:left w:val="single" w:color="auto" w:sz="4" w:space="0"/>
              <w:bottom w:val="single" w:color="auto" w:sz="4" w:space="0"/>
              <w:right w:val="single" w:color="auto" w:sz="4" w:space="0"/>
            </w:tcBorders>
            <w:vAlign w:val="center"/>
          </w:tcPr>
          <w:p w14:paraId="180BAC7B">
            <w:pPr>
              <w:widowControl/>
              <w:spacing w:line="0" w:lineRule="atLeast"/>
              <w:ind w:left="-99" w:leftChars="-47" w:right="-84" w:rightChars="-40" w:firstLine="13" w:firstLineChars="7"/>
              <w:jc w:val="center"/>
              <w:rPr>
                <w:b/>
                <w:bCs/>
                <w:kern w:val="0"/>
                <w:sz w:val="18"/>
                <w:szCs w:val="18"/>
              </w:rPr>
            </w:pPr>
            <w:r>
              <w:rPr>
                <w:b/>
                <w:bCs/>
                <w:kern w:val="0"/>
                <w:sz w:val="18"/>
                <w:szCs w:val="18"/>
              </w:rPr>
              <w:t>1938</w:t>
            </w:r>
          </w:p>
        </w:tc>
        <w:tc>
          <w:tcPr>
            <w:tcW w:w="170" w:type="pct"/>
            <w:tcBorders>
              <w:top w:val="single" w:color="auto" w:sz="4" w:space="0"/>
              <w:left w:val="single" w:color="auto" w:sz="4" w:space="0"/>
              <w:bottom w:val="single" w:color="auto" w:sz="4" w:space="0"/>
              <w:right w:val="single" w:color="auto" w:sz="4" w:space="0"/>
            </w:tcBorders>
            <w:vAlign w:val="center"/>
          </w:tcPr>
          <w:p w14:paraId="12E4A595">
            <w:pPr>
              <w:widowControl/>
              <w:spacing w:line="0" w:lineRule="atLeast"/>
              <w:ind w:left="-99" w:leftChars="-47" w:right="-84" w:rightChars="-40" w:firstLine="12" w:firstLineChars="7"/>
              <w:jc w:val="center"/>
              <w:rPr>
                <w:b/>
                <w:bCs/>
                <w:kern w:val="0"/>
                <w:sz w:val="18"/>
                <w:szCs w:val="18"/>
              </w:rPr>
            </w:pPr>
            <w:r>
              <w:rPr>
                <w:kern w:val="0"/>
                <w:sz w:val="18"/>
                <w:szCs w:val="18"/>
              </w:rPr>
              <w:t>1029</w:t>
            </w:r>
          </w:p>
        </w:tc>
        <w:tc>
          <w:tcPr>
            <w:tcW w:w="127" w:type="pct"/>
            <w:tcBorders>
              <w:top w:val="single" w:color="auto" w:sz="4" w:space="0"/>
              <w:left w:val="single" w:color="auto" w:sz="4" w:space="0"/>
              <w:bottom w:val="single" w:color="auto" w:sz="4" w:space="0"/>
              <w:right w:val="single" w:color="auto" w:sz="4" w:space="0"/>
            </w:tcBorders>
            <w:vAlign w:val="center"/>
          </w:tcPr>
          <w:p w14:paraId="68B0EFC3">
            <w:pPr>
              <w:widowControl/>
              <w:spacing w:line="0" w:lineRule="atLeast"/>
              <w:ind w:left="-99" w:leftChars="-47" w:right="-84" w:rightChars="-40" w:firstLine="12" w:firstLineChars="7"/>
              <w:jc w:val="center"/>
              <w:rPr>
                <w:b/>
                <w:bCs/>
                <w:kern w:val="0"/>
                <w:sz w:val="18"/>
                <w:szCs w:val="18"/>
              </w:rPr>
            </w:pPr>
            <w:r>
              <w:rPr>
                <w:kern w:val="0"/>
                <w:sz w:val="18"/>
                <w:szCs w:val="18"/>
              </w:rPr>
              <w:t>770</w:t>
            </w:r>
          </w:p>
        </w:tc>
        <w:tc>
          <w:tcPr>
            <w:tcW w:w="127" w:type="pct"/>
            <w:tcBorders>
              <w:top w:val="single" w:color="auto" w:sz="4" w:space="0"/>
              <w:left w:val="single" w:color="auto" w:sz="4" w:space="0"/>
              <w:bottom w:val="single" w:color="auto" w:sz="4" w:space="0"/>
              <w:right w:val="single" w:color="auto" w:sz="4" w:space="0"/>
            </w:tcBorders>
            <w:vAlign w:val="center"/>
          </w:tcPr>
          <w:p w14:paraId="66EAF33D">
            <w:pPr>
              <w:widowControl/>
              <w:spacing w:line="0" w:lineRule="atLeast"/>
              <w:ind w:left="-99" w:leftChars="-47" w:right="-84" w:rightChars="-40" w:firstLine="12" w:firstLineChars="7"/>
              <w:jc w:val="center"/>
              <w:rPr>
                <w:b/>
                <w:bCs/>
                <w:kern w:val="0"/>
                <w:sz w:val="18"/>
                <w:szCs w:val="18"/>
              </w:rPr>
            </w:pPr>
            <w:r>
              <w:rPr>
                <w:kern w:val="0"/>
                <w:sz w:val="18"/>
                <w:szCs w:val="18"/>
              </w:rPr>
              <w:t>104</w:t>
            </w:r>
          </w:p>
        </w:tc>
        <w:tc>
          <w:tcPr>
            <w:tcW w:w="132" w:type="pct"/>
            <w:tcBorders>
              <w:top w:val="single" w:color="auto" w:sz="4" w:space="0"/>
              <w:left w:val="single" w:color="auto" w:sz="4" w:space="0"/>
              <w:bottom w:val="single" w:color="auto" w:sz="4" w:space="0"/>
              <w:right w:val="single" w:color="auto" w:sz="4" w:space="0"/>
            </w:tcBorders>
            <w:vAlign w:val="center"/>
          </w:tcPr>
          <w:p w14:paraId="5E825E79">
            <w:pPr>
              <w:widowControl/>
              <w:spacing w:line="0" w:lineRule="atLeast"/>
              <w:ind w:left="-99" w:leftChars="-47" w:right="-84" w:rightChars="-40" w:firstLine="12" w:firstLineChars="7"/>
              <w:jc w:val="center"/>
              <w:rPr>
                <w:b/>
                <w:bCs/>
                <w:kern w:val="0"/>
                <w:sz w:val="18"/>
                <w:szCs w:val="18"/>
              </w:rPr>
            </w:pPr>
            <w:r>
              <w:rPr>
                <w:kern w:val="0"/>
                <w:sz w:val="18"/>
                <w:szCs w:val="18"/>
              </w:rPr>
              <w:t>35</w:t>
            </w:r>
          </w:p>
        </w:tc>
        <w:tc>
          <w:tcPr>
            <w:tcW w:w="186" w:type="pct"/>
            <w:tcBorders>
              <w:top w:val="single" w:color="auto" w:sz="4" w:space="0"/>
              <w:left w:val="single" w:color="auto" w:sz="4" w:space="0"/>
              <w:bottom w:val="single" w:color="auto" w:sz="4" w:space="0"/>
              <w:right w:val="single" w:color="auto" w:sz="4" w:space="0"/>
            </w:tcBorders>
            <w:vAlign w:val="center"/>
          </w:tcPr>
          <w:p w14:paraId="4A6F36B3">
            <w:pPr>
              <w:widowControl/>
              <w:spacing w:line="0" w:lineRule="atLeast"/>
              <w:ind w:left="-99" w:leftChars="-47" w:right="-84" w:rightChars="-40" w:firstLine="13" w:firstLineChars="7"/>
              <w:jc w:val="center"/>
              <w:rPr>
                <w:b/>
                <w:bCs/>
                <w:kern w:val="0"/>
                <w:sz w:val="18"/>
                <w:szCs w:val="18"/>
              </w:rPr>
            </w:pPr>
            <w:r>
              <w:rPr>
                <w:b/>
                <w:bCs/>
                <w:kern w:val="0"/>
                <w:sz w:val="18"/>
                <w:szCs w:val="18"/>
              </w:rPr>
              <w:t>16291</w:t>
            </w:r>
          </w:p>
        </w:tc>
        <w:tc>
          <w:tcPr>
            <w:tcW w:w="162" w:type="pct"/>
            <w:tcBorders>
              <w:top w:val="single" w:color="auto" w:sz="4" w:space="0"/>
              <w:left w:val="single" w:color="auto" w:sz="4" w:space="0"/>
              <w:bottom w:val="single" w:color="auto" w:sz="4" w:space="0"/>
              <w:right w:val="single" w:color="auto" w:sz="4" w:space="0"/>
            </w:tcBorders>
            <w:noWrap/>
            <w:vAlign w:val="center"/>
          </w:tcPr>
          <w:p w14:paraId="27925CB3">
            <w:pPr>
              <w:widowControl/>
              <w:spacing w:line="0" w:lineRule="atLeast"/>
              <w:ind w:left="-99" w:leftChars="-47" w:right="-84" w:rightChars="-40" w:firstLine="12" w:firstLineChars="7"/>
              <w:jc w:val="center"/>
              <w:rPr>
                <w:kern w:val="0"/>
                <w:sz w:val="18"/>
                <w:szCs w:val="18"/>
              </w:rPr>
            </w:pPr>
            <w:r>
              <w:rPr>
                <w:kern w:val="0"/>
                <w:sz w:val="18"/>
                <w:szCs w:val="18"/>
              </w:rPr>
              <w:t>5694</w:t>
            </w:r>
          </w:p>
        </w:tc>
        <w:tc>
          <w:tcPr>
            <w:tcW w:w="165" w:type="pct"/>
            <w:tcBorders>
              <w:top w:val="single" w:color="auto" w:sz="4" w:space="0"/>
              <w:left w:val="single" w:color="auto" w:sz="4" w:space="0"/>
              <w:bottom w:val="single" w:color="auto" w:sz="4" w:space="0"/>
              <w:right w:val="single" w:color="auto" w:sz="4" w:space="0"/>
            </w:tcBorders>
            <w:noWrap/>
            <w:vAlign w:val="center"/>
          </w:tcPr>
          <w:p w14:paraId="34FB198B">
            <w:pPr>
              <w:widowControl/>
              <w:spacing w:line="0" w:lineRule="atLeast"/>
              <w:ind w:left="-99" w:leftChars="-47" w:right="-84" w:rightChars="-40" w:firstLine="12" w:firstLineChars="7"/>
              <w:jc w:val="center"/>
              <w:rPr>
                <w:kern w:val="0"/>
                <w:sz w:val="18"/>
                <w:szCs w:val="18"/>
              </w:rPr>
            </w:pPr>
            <w:r>
              <w:rPr>
                <w:kern w:val="0"/>
                <w:sz w:val="18"/>
                <w:szCs w:val="18"/>
              </w:rPr>
              <w:t>4405</w:t>
            </w:r>
          </w:p>
        </w:tc>
        <w:tc>
          <w:tcPr>
            <w:tcW w:w="165" w:type="pct"/>
            <w:tcBorders>
              <w:top w:val="single" w:color="auto" w:sz="4" w:space="0"/>
              <w:left w:val="single" w:color="auto" w:sz="4" w:space="0"/>
              <w:bottom w:val="single" w:color="auto" w:sz="4" w:space="0"/>
              <w:right w:val="single" w:color="auto" w:sz="4" w:space="0"/>
            </w:tcBorders>
            <w:noWrap/>
            <w:vAlign w:val="center"/>
          </w:tcPr>
          <w:p w14:paraId="200FAD29">
            <w:pPr>
              <w:widowControl/>
              <w:spacing w:line="0" w:lineRule="atLeast"/>
              <w:ind w:left="-99" w:leftChars="-47" w:right="-84" w:rightChars="-40" w:firstLine="12" w:firstLineChars="7"/>
              <w:jc w:val="center"/>
              <w:rPr>
                <w:kern w:val="0"/>
                <w:sz w:val="18"/>
                <w:szCs w:val="18"/>
              </w:rPr>
            </w:pPr>
            <w:r>
              <w:rPr>
                <w:kern w:val="0"/>
                <w:sz w:val="18"/>
                <w:szCs w:val="18"/>
              </w:rPr>
              <w:t>149</w:t>
            </w:r>
          </w:p>
        </w:tc>
        <w:tc>
          <w:tcPr>
            <w:tcW w:w="175" w:type="pct"/>
            <w:tcBorders>
              <w:top w:val="single" w:color="auto" w:sz="4" w:space="0"/>
              <w:left w:val="single" w:color="auto" w:sz="4" w:space="0"/>
              <w:bottom w:val="single" w:color="auto" w:sz="4" w:space="0"/>
              <w:right w:val="single" w:color="auto" w:sz="4" w:space="0"/>
            </w:tcBorders>
            <w:noWrap/>
            <w:vAlign w:val="center"/>
          </w:tcPr>
          <w:p w14:paraId="1472B233">
            <w:pPr>
              <w:widowControl/>
              <w:spacing w:line="0" w:lineRule="atLeast"/>
              <w:ind w:left="-99" w:leftChars="-47" w:right="-84" w:rightChars="-40" w:firstLine="12" w:firstLineChars="7"/>
              <w:jc w:val="center"/>
              <w:rPr>
                <w:kern w:val="0"/>
                <w:sz w:val="18"/>
                <w:szCs w:val="18"/>
              </w:rPr>
            </w:pPr>
            <w:r>
              <w:rPr>
                <w:kern w:val="0"/>
                <w:sz w:val="18"/>
                <w:szCs w:val="18"/>
              </w:rPr>
              <w:t>5682</w:t>
            </w:r>
          </w:p>
        </w:tc>
        <w:tc>
          <w:tcPr>
            <w:tcW w:w="187" w:type="pct"/>
            <w:tcBorders>
              <w:top w:val="single" w:color="auto" w:sz="4" w:space="0"/>
              <w:left w:val="single" w:color="auto" w:sz="4" w:space="0"/>
              <w:bottom w:val="single" w:color="auto" w:sz="4" w:space="0"/>
              <w:right w:val="single" w:color="auto" w:sz="4" w:space="0"/>
            </w:tcBorders>
            <w:noWrap/>
            <w:vAlign w:val="center"/>
          </w:tcPr>
          <w:p w14:paraId="0F2AF9C4">
            <w:pPr>
              <w:widowControl/>
              <w:spacing w:line="0" w:lineRule="atLeast"/>
              <w:ind w:left="-99" w:leftChars="-47" w:right="-84" w:rightChars="-40" w:firstLine="12" w:firstLineChars="7"/>
              <w:jc w:val="center"/>
              <w:rPr>
                <w:kern w:val="0"/>
                <w:sz w:val="18"/>
                <w:szCs w:val="18"/>
              </w:rPr>
            </w:pPr>
            <w:r>
              <w:rPr>
                <w:kern w:val="0"/>
                <w:sz w:val="18"/>
                <w:szCs w:val="18"/>
              </w:rPr>
              <w:t>361</w:t>
            </w:r>
          </w:p>
        </w:tc>
        <w:tc>
          <w:tcPr>
            <w:tcW w:w="173" w:type="pct"/>
            <w:tcBorders>
              <w:top w:val="single" w:color="auto" w:sz="4" w:space="0"/>
              <w:left w:val="single" w:color="auto" w:sz="4" w:space="0"/>
              <w:bottom w:val="single" w:color="auto" w:sz="4" w:space="0"/>
              <w:right w:val="single" w:color="auto" w:sz="4" w:space="0"/>
            </w:tcBorders>
            <w:vAlign w:val="center"/>
          </w:tcPr>
          <w:p w14:paraId="7EBC8042">
            <w:pPr>
              <w:widowControl/>
              <w:spacing w:line="0" w:lineRule="atLeast"/>
              <w:ind w:left="-99" w:leftChars="-47" w:right="-84" w:rightChars="-40" w:firstLine="13" w:firstLineChars="7"/>
              <w:jc w:val="center"/>
              <w:rPr>
                <w:b/>
                <w:bCs/>
                <w:kern w:val="0"/>
                <w:sz w:val="18"/>
                <w:szCs w:val="18"/>
              </w:rPr>
            </w:pPr>
            <w:r>
              <w:rPr>
                <w:b/>
                <w:bCs/>
                <w:kern w:val="0"/>
                <w:sz w:val="18"/>
                <w:szCs w:val="18"/>
              </w:rPr>
              <w:t>212</w:t>
            </w:r>
          </w:p>
        </w:tc>
        <w:tc>
          <w:tcPr>
            <w:tcW w:w="127" w:type="pct"/>
            <w:tcBorders>
              <w:top w:val="single" w:color="auto" w:sz="4" w:space="0"/>
              <w:left w:val="single" w:color="auto" w:sz="4" w:space="0"/>
              <w:bottom w:val="single" w:color="auto" w:sz="4" w:space="0"/>
              <w:right w:val="single" w:color="auto" w:sz="4" w:space="0"/>
            </w:tcBorders>
            <w:vAlign w:val="center"/>
          </w:tcPr>
          <w:p w14:paraId="20915CB0">
            <w:pPr>
              <w:widowControl/>
              <w:spacing w:line="0" w:lineRule="atLeast"/>
              <w:ind w:left="-99" w:leftChars="-47" w:right="-84" w:rightChars="-40" w:firstLine="12" w:firstLineChars="7"/>
              <w:jc w:val="center"/>
              <w:rPr>
                <w:b/>
                <w:bCs/>
                <w:kern w:val="0"/>
                <w:sz w:val="18"/>
                <w:szCs w:val="18"/>
              </w:rPr>
            </w:pPr>
            <w:r>
              <w:rPr>
                <w:kern w:val="0"/>
                <w:sz w:val="18"/>
                <w:szCs w:val="18"/>
              </w:rPr>
              <w:t>48</w:t>
            </w:r>
          </w:p>
        </w:tc>
        <w:tc>
          <w:tcPr>
            <w:tcW w:w="132" w:type="pct"/>
            <w:tcBorders>
              <w:top w:val="single" w:color="auto" w:sz="4" w:space="0"/>
              <w:left w:val="single" w:color="auto" w:sz="4" w:space="0"/>
              <w:bottom w:val="single" w:color="auto" w:sz="4" w:space="0"/>
              <w:right w:val="single" w:color="auto" w:sz="4" w:space="0"/>
            </w:tcBorders>
            <w:vAlign w:val="center"/>
          </w:tcPr>
          <w:p w14:paraId="039D9765">
            <w:pPr>
              <w:widowControl/>
              <w:spacing w:line="0" w:lineRule="atLeast"/>
              <w:ind w:left="-99" w:leftChars="-47" w:right="-84" w:rightChars="-40" w:firstLine="12" w:firstLineChars="7"/>
              <w:jc w:val="center"/>
              <w:rPr>
                <w:b/>
                <w:bCs/>
                <w:kern w:val="0"/>
                <w:sz w:val="18"/>
                <w:szCs w:val="18"/>
              </w:rPr>
            </w:pPr>
            <w:r>
              <w:rPr>
                <w:kern w:val="0"/>
                <w:sz w:val="18"/>
                <w:szCs w:val="18"/>
              </w:rPr>
              <w:t>164</w:t>
            </w:r>
          </w:p>
        </w:tc>
        <w:tc>
          <w:tcPr>
            <w:tcW w:w="127" w:type="pct"/>
            <w:tcBorders>
              <w:top w:val="single" w:color="auto" w:sz="4" w:space="0"/>
              <w:left w:val="single" w:color="auto" w:sz="4" w:space="0"/>
              <w:bottom w:val="single" w:color="auto" w:sz="4" w:space="0"/>
              <w:right w:val="single" w:color="auto" w:sz="4" w:space="0"/>
            </w:tcBorders>
            <w:vAlign w:val="center"/>
          </w:tcPr>
          <w:p w14:paraId="4FC5ADCB">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6DA9361C">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59" w:type="pct"/>
            <w:tcBorders>
              <w:top w:val="single" w:color="auto" w:sz="4" w:space="0"/>
              <w:left w:val="single" w:color="auto" w:sz="4" w:space="0"/>
              <w:bottom w:val="single" w:color="auto" w:sz="4" w:space="0"/>
              <w:right w:val="single" w:color="auto" w:sz="4" w:space="0"/>
            </w:tcBorders>
            <w:vAlign w:val="center"/>
          </w:tcPr>
          <w:p w14:paraId="0F8DC98F">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4D7A3051">
            <w:pPr>
              <w:widowControl/>
              <w:spacing w:line="0" w:lineRule="atLeast"/>
              <w:ind w:left="-99" w:leftChars="-47" w:right="-84" w:rightChars="-40" w:firstLine="12" w:firstLineChars="7"/>
              <w:jc w:val="center"/>
              <w:rPr>
                <w:kern w:val="0"/>
                <w:sz w:val="18"/>
                <w:szCs w:val="18"/>
              </w:rPr>
            </w:pPr>
            <w:r>
              <w:rPr>
                <w:kern w:val="0"/>
                <w:sz w:val="18"/>
                <w:szCs w:val="18"/>
              </w:rPr>
              <w:t>—</w:t>
            </w:r>
          </w:p>
        </w:tc>
      </w:tr>
      <w:tr w14:paraId="20053963">
        <w:tblPrEx>
          <w:tblCellMar>
            <w:top w:w="0" w:type="dxa"/>
            <w:left w:w="108" w:type="dxa"/>
            <w:bottom w:w="0" w:type="dxa"/>
            <w:right w:w="108" w:type="dxa"/>
          </w:tblCellMar>
        </w:tblPrEx>
        <w:trPr>
          <w:trHeight w:val="680" w:hRule="atLeast"/>
        </w:trPr>
        <w:tc>
          <w:tcPr>
            <w:tcW w:w="159" w:type="pct"/>
            <w:vMerge w:val="continue"/>
            <w:tcBorders>
              <w:top w:val="single" w:color="auto" w:sz="4" w:space="0"/>
              <w:left w:val="single" w:color="auto" w:sz="4" w:space="0"/>
              <w:bottom w:val="single" w:color="auto" w:sz="4" w:space="0"/>
              <w:right w:val="single" w:color="auto" w:sz="4" w:space="0"/>
            </w:tcBorders>
            <w:vAlign w:val="center"/>
          </w:tcPr>
          <w:p w14:paraId="01BCCB07">
            <w:pPr>
              <w:widowControl/>
              <w:spacing w:line="0" w:lineRule="atLeast"/>
              <w:ind w:left="-99" w:leftChars="-47" w:right="-84" w:rightChars="-40" w:firstLine="13" w:firstLineChars="7"/>
              <w:jc w:val="center"/>
              <w:rPr>
                <w:b/>
                <w:bCs/>
                <w:kern w:val="0"/>
                <w:sz w:val="18"/>
                <w:szCs w:val="18"/>
              </w:rPr>
            </w:pPr>
          </w:p>
        </w:tc>
        <w:tc>
          <w:tcPr>
            <w:tcW w:w="237" w:type="pct"/>
            <w:tcBorders>
              <w:top w:val="single" w:color="auto" w:sz="4" w:space="0"/>
              <w:left w:val="single" w:color="auto" w:sz="4" w:space="0"/>
              <w:bottom w:val="single" w:color="auto" w:sz="4" w:space="0"/>
              <w:right w:val="single" w:color="auto" w:sz="4" w:space="0"/>
            </w:tcBorders>
            <w:vAlign w:val="center"/>
          </w:tcPr>
          <w:p w14:paraId="42C57E7F">
            <w:pPr>
              <w:widowControl/>
              <w:spacing w:line="0" w:lineRule="atLeast"/>
              <w:ind w:left="-99" w:leftChars="-47" w:right="-84" w:rightChars="-40" w:firstLine="13" w:firstLineChars="7"/>
              <w:jc w:val="center"/>
              <w:rPr>
                <w:b/>
                <w:bCs/>
                <w:kern w:val="0"/>
                <w:sz w:val="18"/>
                <w:szCs w:val="18"/>
              </w:rPr>
            </w:pPr>
            <w:r>
              <w:rPr>
                <w:b/>
                <w:bCs/>
                <w:kern w:val="0"/>
                <w:sz w:val="18"/>
                <w:szCs w:val="18"/>
              </w:rPr>
              <w:t>产值</w:t>
            </w:r>
            <w:r>
              <w:rPr>
                <w:b/>
                <w:bCs/>
                <w:kern w:val="0"/>
                <w:sz w:val="18"/>
                <w:szCs w:val="18"/>
              </w:rPr>
              <w:br w:type="textWrapping"/>
            </w:r>
            <w:r>
              <w:rPr>
                <w:b/>
                <w:bCs/>
                <w:kern w:val="0"/>
                <w:sz w:val="18"/>
                <w:szCs w:val="18"/>
              </w:rPr>
              <w:t>（万元）</w:t>
            </w:r>
          </w:p>
        </w:tc>
        <w:tc>
          <w:tcPr>
            <w:tcW w:w="205" w:type="pct"/>
            <w:tcBorders>
              <w:top w:val="single" w:color="auto" w:sz="4" w:space="0"/>
              <w:left w:val="single" w:color="auto" w:sz="4" w:space="0"/>
              <w:bottom w:val="single" w:color="auto" w:sz="4" w:space="0"/>
              <w:right w:val="single" w:color="auto" w:sz="4" w:space="0"/>
            </w:tcBorders>
            <w:vAlign w:val="center"/>
          </w:tcPr>
          <w:p w14:paraId="2D929566">
            <w:pPr>
              <w:widowControl/>
              <w:spacing w:line="0" w:lineRule="atLeast"/>
              <w:ind w:left="-99" w:leftChars="-47" w:right="-84" w:rightChars="-40" w:firstLine="13" w:firstLineChars="7"/>
              <w:jc w:val="center"/>
              <w:rPr>
                <w:b/>
                <w:bCs/>
                <w:kern w:val="0"/>
                <w:sz w:val="18"/>
                <w:szCs w:val="18"/>
              </w:rPr>
            </w:pPr>
            <w:r>
              <w:rPr>
                <w:b/>
                <w:bCs/>
                <w:kern w:val="0"/>
                <w:sz w:val="18"/>
                <w:szCs w:val="18"/>
              </w:rPr>
              <w:t>10</w:t>
            </w:r>
            <w:r>
              <w:rPr>
                <w:rFonts w:hint="eastAsia"/>
                <w:b/>
                <w:bCs/>
                <w:kern w:val="0"/>
                <w:sz w:val="18"/>
                <w:szCs w:val="18"/>
              </w:rPr>
              <w:t>8746</w:t>
            </w:r>
          </w:p>
        </w:tc>
        <w:tc>
          <w:tcPr>
            <w:tcW w:w="133" w:type="pct"/>
            <w:tcBorders>
              <w:top w:val="single" w:color="auto" w:sz="4" w:space="0"/>
              <w:left w:val="single" w:color="auto" w:sz="4" w:space="0"/>
              <w:bottom w:val="single" w:color="auto" w:sz="4" w:space="0"/>
              <w:right w:val="single" w:color="auto" w:sz="4" w:space="0"/>
            </w:tcBorders>
            <w:vAlign w:val="center"/>
          </w:tcPr>
          <w:p w14:paraId="6B7A2A91">
            <w:pPr>
              <w:widowControl/>
              <w:spacing w:line="0" w:lineRule="atLeast"/>
              <w:ind w:left="-99" w:leftChars="-47" w:right="-84" w:rightChars="-40" w:firstLine="13" w:firstLineChars="7"/>
              <w:jc w:val="center"/>
              <w:rPr>
                <w:rFonts w:hint="eastAsia"/>
                <w:b/>
                <w:bCs/>
                <w:kern w:val="0"/>
                <w:sz w:val="18"/>
                <w:szCs w:val="18"/>
              </w:rPr>
            </w:pPr>
            <w:r>
              <w:rPr>
                <w:b/>
                <w:bCs/>
                <w:kern w:val="0"/>
                <w:sz w:val="18"/>
                <w:szCs w:val="18"/>
              </w:rPr>
              <w:t>139</w:t>
            </w:r>
          </w:p>
        </w:tc>
        <w:tc>
          <w:tcPr>
            <w:tcW w:w="133" w:type="pct"/>
            <w:tcBorders>
              <w:top w:val="single" w:color="auto" w:sz="4" w:space="0"/>
              <w:left w:val="single" w:color="auto" w:sz="4" w:space="0"/>
              <w:bottom w:val="single" w:color="auto" w:sz="4" w:space="0"/>
              <w:right w:val="single" w:color="auto" w:sz="4" w:space="0"/>
            </w:tcBorders>
            <w:vAlign w:val="center"/>
          </w:tcPr>
          <w:p w14:paraId="48BFE593">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04D71DA2">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4" w:type="pct"/>
            <w:tcBorders>
              <w:top w:val="single" w:color="auto" w:sz="4" w:space="0"/>
              <w:left w:val="single" w:color="auto" w:sz="4" w:space="0"/>
              <w:bottom w:val="single" w:color="auto" w:sz="4" w:space="0"/>
              <w:right w:val="single" w:color="auto" w:sz="4" w:space="0"/>
            </w:tcBorders>
            <w:vAlign w:val="center"/>
          </w:tcPr>
          <w:p w14:paraId="4B98928A">
            <w:pPr>
              <w:widowControl/>
              <w:spacing w:line="0" w:lineRule="atLeast"/>
              <w:ind w:left="-99" w:leftChars="-47" w:right="-84" w:rightChars="-40" w:firstLine="12" w:firstLineChars="7"/>
              <w:jc w:val="center"/>
              <w:rPr>
                <w:rFonts w:hint="eastAsia"/>
                <w:b/>
                <w:bCs/>
                <w:kern w:val="0"/>
                <w:sz w:val="18"/>
                <w:szCs w:val="18"/>
              </w:rPr>
            </w:pPr>
            <w:r>
              <w:rPr>
                <w:kern w:val="0"/>
                <w:sz w:val="18"/>
                <w:szCs w:val="18"/>
              </w:rPr>
              <w:t>139</w:t>
            </w:r>
          </w:p>
        </w:tc>
        <w:tc>
          <w:tcPr>
            <w:tcW w:w="132" w:type="pct"/>
            <w:tcBorders>
              <w:top w:val="single" w:color="auto" w:sz="4" w:space="0"/>
              <w:left w:val="single" w:color="auto" w:sz="4" w:space="0"/>
              <w:bottom w:val="single" w:color="auto" w:sz="4" w:space="0"/>
              <w:right w:val="single" w:color="auto" w:sz="4" w:space="0"/>
            </w:tcBorders>
            <w:vAlign w:val="center"/>
          </w:tcPr>
          <w:p w14:paraId="373A84EF">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5B0AA5A1">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13549</w:t>
            </w:r>
          </w:p>
        </w:tc>
        <w:tc>
          <w:tcPr>
            <w:tcW w:w="130" w:type="pct"/>
            <w:tcBorders>
              <w:top w:val="single" w:color="auto" w:sz="4" w:space="0"/>
              <w:left w:val="single" w:color="auto" w:sz="4" w:space="0"/>
              <w:bottom w:val="single" w:color="auto" w:sz="4" w:space="0"/>
              <w:right w:val="single" w:color="auto" w:sz="4" w:space="0"/>
            </w:tcBorders>
            <w:vAlign w:val="center"/>
          </w:tcPr>
          <w:p w14:paraId="42810567">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6AB91A2E">
            <w:pPr>
              <w:widowControl/>
              <w:spacing w:line="0" w:lineRule="atLeast"/>
              <w:ind w:left="-99" w:leftChars="-47" w:right="-84" w:rightChars="-40" w:firstLine="12" w:firstLineChars="7"/>
              <w:jc w:val="center"/>
              <w:rPr>
                <w:kern w:val="0"/>
                <w:sz w:val="18"/>
                <w:szCs w:val="18"/>
              </w:rPr>
            </w:pPr>
            <w:r>
              <w:rPr>
                <w:kern w:val="0"/>
                <w:sz w:val="18"/>
                <w:szCs w:val="18"/>
              </w:rPr>
              <w:t>2942</w:t>
            </w:r>
          </w:p>
        </w:tc>
        <w:tc>
          <w:tcPr>
            <w:tcW w:w="168" w:type="pct"/>
            <w:tcBorders>
              <w:top w:val="single" w:color="auto" w:sz="4" w:space="0"/>
              <w:left w:val="single" w:color="auto" w:sz="4" w:space="0"/>
              <w:bottom w:val="single" w:color="auto" w:sz="4" w:space="0"/>
              <w:right w:val="single" w:color="auto" w:sz="4" w:space="0"/>
            </w:tcBorders>
            <w:vAlign w:val="center"/>
          </w:tcPr>
          <w:p w14:paraId="5A2E47C7">
            <w:pPr>
              <w:widowControl/>
              <w:spacing w:line="0" w:lineRule="atLeast"/>
              <w:ind w:left="-99" w:leftChars="-47" w:right="-84" w:rightChars="-40" w:firstLine="12" w:firstLineChars="7"/>
              <w:jc w:val="center"/>
              <w:rPr>
                <w:kern w:val="0"/>
                <w:sz w:val="18"/>
                <w:szCs w:val="18"/>
              </w:rPr>
            </w:pPr>
            <w:r>
              <w:rPr>
                <w:rFonts w:hint="eastAsia"/>
                <w:kern w:val="0"/>
                <w:sz w:val="18"/>
                <w:szCs w:val="18"/>
              </w:rPr>
              <w:t>5920</w:t>
            </w:r>
          </w:p>
        </w:tc>
        <w:tc>
          <w:tcPr>
            <w:tcW w:w="170" w:type="pct"/>
            <w:tcBorders>
              <w:top w:val="single" w:color="auto" w:sz="4" w:space="0"/>
              <w:left w:val="single" w:color="auto" w:sz="4" w:space="0"/>
              <w:bottom w:val="single" w:color="auto" w:sz="4" w:space="0"/>
              <w:right w:val="single" w:color="auto" w:sz="4" w:space="0"/>
            </w:tcBorders>
            <w:vAlign w:val="center"/>
          </w:tcPr>
          <w:p w14:paraId="3C847ACE">
            <w:pPr>
              <w:widowControl/>
              <w:spacing w:line="0" w:lineRule="atLeast"/>
              <w:ind w:left="-99" w:leftChars="-47" w:right="-84" w:rightChars="-40" w:firstLine="12" w:firstLineChars="7"/>
              <w:jc w:val="center"/>
              <w:rPr>
                <w:kern w:val="0"/>
                <w:sz w:val="18"/>
                <w:szCs w:val="18"/>
              </w:rPr>
            </w:pPr>
            <w:r>
              <w:rPr>
                <w:kern w:val="0"/>
                <w:sz w:val="18"/>
                <w:szCs w:val="18"/>
              </w:rPr>
              <w:t>966</w:t>
            </w:r>
          </w:p>
        </w:tc>
        <w:tc>
          <w:tcPr>
            <w:tcW w:w="170" w:type="pct"/>
            <w:tcBorders>
              <w:top w:val="single" w:color="auto" w:sz="4" w:space="0"/>
              <w:left w:val="single" w:color="auto" w:sz="4" w:space="0"/>
              <w:bottom w:val="single" w:color="auto" w:sz="4" w:space="0"/>
              <w:right w:val="single" w:color="auto" w:sz="4" w:space="0"/>
            </w:tcBorders>
            <w:vAlign w:val="center"/>
          </w:tcPr>
          <w:p w14:paraId="4167FEB0">
            <w:pPr>
              <w:widowControl/>
              <w:spacing w:line="0" w:lineRule="atLeast"/>
              <w:ind w:left="-99" w:leftChars="-47" w:right="-84" w:rightChars="-40" w:firstLine="12" w:firstLineChars="7"/>
              <w:jc w:val="center"/>
              <w:rPr>
                <w:kern w:val="0"/>
                <w:sz w:val="18"/>
                <w:szCs w:val="18"/>
              </w:rPr>
            </w:pPr>
            <w:r>
              <w:rPr>
                <w:kern w:val="0"/>
                <w:sz w:val="18"/>
                <w:szCs w:val="18"/>
              </w:rPr>
              <w:t>3721</w:t>
            </w:r>
          </w:p>
        </w:tc>
        <w:tc>
          <w:tcPr>
            <w:tcW w:w="171" w:type="pct"/>
            <w:tcBorders>
              <w:top w:val="single" w:color="auto" w:sz="4" w:space="0"/>
              <w:left w:val="single" w:color="auto" w:sz="4" w:space="0"/>
              <w:bottom w:val="single" w:color="auto" w:sz="4" w:space="0"/>
              <w:right w:val="single" w:color="auto" w:sz="4" w:space="0"/>
            </w:tcBorders>
            <w:vAlign w:val="center"/>
          </w:tcPr>
          <w:p w14:paraId="4DA27536">
            <w:pPr>
              <w:widowControl/>
              <w:spacing w:line="0" w:lineRule="atLeast"/>
              <w:ind w:left="-99" w:leftChars="-47" w:right="-84" w:rightChars="-40" w:firstLine="13" w:firstLineChars="7"/>
              <w:jc w:val="center"/>
              <w:rPr>
                <w:b/>
                <w:bCs/>
                <w:kern w:val="0"/>
                <w:sz w:val="18"/>
                <w:szCs w:val="18"/>
              </w:rPr>
            </w:pPr>
            <w:r>
              <w:rPr>
                <w:b/>
                <w:bCs/>
                <w:kern w:val="0"/>
                <w:sz w:val="18"/>
                <w:szCs w:val="18"/>
              </w:rPr>
              <w:t>1033</w:t>
            </w:r>
          </w:p>
        </w:tc>
        <w:tc>
          <w:tcPr>
            <w:tcW w:w="170" w:type="pct"/>
            <w:tcBorders>
              <w:top w:val="single" w:color="auto" w:sz="4" w:space="0"/>
              <w:left w:val="single" w:color="auto" w:sz="4" w:space="0"/>
              <w:bottom w:val="single" w:color="auto" w:sz="4" w:space="0"/>
              <w:right w:val="single" w:color="auto" w:sz="4" w:space="0"/>
            </w:tcBorders>
            <w:vAlign w:val="center"/>
          </w:tcPr>
          <w:p w14:paraId="6C777933">
            <w:pPr>
              <w:widowControl/>
              <w:spacing w:line="0" w:lineRule="atLeast"/>
              <w:ind w:left="-99" w:leftChars="-47" w:right="-84" w:rightChars="-40" w:firstLine="12" w:firstLineChars="7"/>
              <w:jc w:val="center"/>
              <w:rPr>
                <w:b/>
                <w:bCs/>
                <w:kern w:val="0"/>
                <w:sz w:val="18"/>
                <w:szCs w:val="18"/>
              </w:rPr>
            </w:pPr>
            <w:r>
              <w:rPr>
                <w:kern w:val="0"/>
                <w:sz w:val="18"/>
                <w:szCs w:val="18"/>
              </w:rPr>
              <w:t>1033</w:t>
            </w:r>
          </w:p>
        </w:tc>
        <w:tc>
          <w:tcPr>
            <w:tcW w:w="127" w:type="pct"/>
            <w:tcBorders>
              <w:top w:val="single" w:color="auto" w:sz="4" w:space="0"/>
              <w:left w:val="single" w:color="auto" w:sz="4" w:space="0"/>
              <w:bottom w:val="single" w:color="auto" w:sz="4" w:space="0"/>
              <w:right w:val="single" w:color="auto" w:sz="4" w:space="0"/>
            </w:tcBorders>
            <w:vAlign w:val="center"/>
          </w:tcPr>
          <w:p w14:paraId="3E717889">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222A05E6">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41311222">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86" w:type="pct"/>
            <w:tcBorders>
              <w:top w:val="single" w:color="auto" w:sz="4" w:space="0"/>
              <w:left w:val="single" w:color="auto" w:sz="4" w:space="0"/>
              <w:bottom w:val="single" w:color="auto" w:sz="4" w:space="0"/>
              <w:right w:val="single" w:color="auto" w:sz="4" w:space="0"/>
            </w:tcBorders>
            <w:vAlign w:val="center"/>
          </w:tcPr>
          <w:p w14:paraId="12918A6E">
            <w:pPr>
              <w:widowControl/>
              <w:spacing w:line="0" w:lineRule="atLeast"/>
              <w:ind w:left="-99" w:leftChars="-47" w:right="-84" w:rightChars="-40" w:firstLine="13" w:firstLineChars="7"/>
              <w:jc w:val="center"/>
              <w:rPr>
                <w:b/>
                <w:bCs/>
                <w:kern w:val="0"/>
                <w:sz w:val="18"/>
                <w:szCs w:val="18"/>
              </w:rPr>
            </w:pPr>
            <w:r>
              <w:rPr>
                <w:b/>
                <w:bCs/>
                <w:kern w:val="0"/>
                <w:sz w:val="18"/>
                <w:szCs w:val="18"/>
              </w:rPr>
              <w:t>92001</w:t>
            </w:r>
          </w:p>
        </w:tc>
        <w:tc>
          <w:tcPr>
            <w:tcW w:w="162" w:type="pct"/>
            <w:tcBorders>
              <w:top w:val="single" w:color="auto" w:sz="4" w:space="0"/>
              <w:left w:val="single" w:color="auto" w:sz="4" w:space="0"/>
              <w:bottom w:val="single" w:color="auto" w:sz="4" w:space="0"/>
              <w:right w:val="single" w:color="auto" w:sz="4" w:space="0"/>
            </w:tcBorders>
            <w:noWrap/>
            <w:vAlign w:val="center"/>
          </w:tcPr>
          <w:p w14:paraId="74785CE6">
            <w:pPr>
              <w:widowControl/>
              <w:spacing w:line="0" w:lineRule="atLeast"/>
              <w:ind w:left="-99" w:leftChars="-47" w:right="-84" w:rightChars="-40" w:firstLine="12" w:firstLineChars="7"/>
              <w:jc w:val="center"/>
              <w:rPr>
                <w:kern w:val="0"/>
                <w:sz w:val="18"/>
                <w:szCs w:val="18"/>
              </w:rPr>
            </w:pPr>
            <w:r>
              <w:rPr>
                <w:kern w:val="0"/>
                <w:sz w:val="18"/>
                <w:szCs w:val="18"/>
              </w:rPr>
              <w:t>44686</w:t>
            </w:r>
          </w:p>
        </w:tc>
        <w:tc>
          <w:tcPr>
            <w:tcW w:w="165" w:type="pct"/>
            <w:tcBorders>
              <w:top w:val="single" w:color="auto" w:sz="4" w:space="0"/>
              <w:left w:val="single" w:color="auto" w:sz="4" w:space="0"/>
              <w:bottom w:val="single" w:color="auto" w:sz="4" w:space="0"/>
              <w:right w:val="single" w:color="auto" w:sz="4" w:space="0"/>
            </w:tcBorders>
            <w:noWrap/>
            <w:vAlign w:val="center"/>
          </w:tcPr>
          <w:p w14:paraId="4890D393">
            <w:pPr>
              <w:widowControl/>
              <w:spacing w:line="0" w:lineRule="atLeast"/>
              <w:ind w:left="-99" w:leftChars="-47" w:right="-84" w:rightChars="-40" w:firstLine="12" w:firstLineChars="7"/>
              <w:jc w:val="center"/>
              <w:rPr>
                <w:kern w:val="0"/>
                <w:sz w:val="18"/>
                <w:szCs w:val="18"/>
              </w:rPr>
            </w:pPr>
            <w:r>
              <w:rPr>
                <w:kern w:val="0"/>
                <w:sz w:val="18"/>
                <w:szCs w:val="18"/>
              </w:rPr>
              <w:t>38282</w:t>
            </w:r>
          </w:p>
        </w:tc>
        <w:tc>
          <w:tcPr>
            <w:tcW w:w="165" w:type="pct"/>
            <w:tcBorders>
              <w:top w:val="single" w:color="auto" w:sz="4" w:space="0"/>
              <w:left w:val="single" w:color="auto" w:sz="4" w:space="0"/>
              <w:bottom w:val="single" w:color="auto" w:sz="4" w:space="0"/>
              <w:right w:val="single" w:color="auto" w:sz="4" w:space="0"/>
            </w:tcBorders>
            <w:noWrap/>
            <w:vAlign w:val="center"/>
          </w:tcPr>
          <w:p w14:paraId="77117728">
            <w:pPr>
              <w:widowControl/>
              <w:spacing w:line="0" w:lineRule="atLeast"/>
              <w:ind w:left="-99" w:leftChars="-47" w:right="-84" w:rightChars="-40" w:firstLine="12" w:firstLineChars="7"/>
              <w:jc w:val="center"/>
              <w:rPr>
                <w:kern w:val="0"/>
                <w:sz w:val="18"/>
                <w:szCs w:val="18"/>
              </w:rPr>
            </w:pPr>
            <w:r>
              <w:rPr>
                <w:kern w:val="0"/>
                <w:sz w:val="18"/>
                <w:szCs w:val="18"/>
              </w:rPr>
              <w:t>1873</w:t>
            </w:r>
          </w:p>
        </w:tc>
        <w:tc>
          <w:tcPr>
            <w:tcW w:w="175" w:type="pct"/>
            <w:tcBorders>
              <w:top w:val="single" w:color="auto" w:sz="4" w:space="0"/>
              <w:left w:val="single" w:color="auto" w:sz="4" w:space="0"/>
              <w:bottom w:val="single" w:color="auto" w:sz="4" w:space="0"/>
              <w:right w:val="single" w:color="auto" w:sz="4" w:space="0"/>
            </w:tcBorders>
            <w:noWrap/>
            <w:vAlign w:val="center"/>
          </w:tcPr>
          <w:p w14:paraId="741521AE">
            <w:pPr>
              <w:widowControl/>
              <w:spacing w:line="0" w:lineRule="atLeast"/>
              <w:ind w:left="-99" w:leftChars="-47" w:right="-84" w:rightChars="-40" w:firstLine="12" w:firstLineChars="7"/>
              <w:jc w:val="center"/>
              <w:rPr>
                <w:kern w:val="0"/>
                <w:sz w:val="18"/>
                <w:szCs w:val="18"/>
              </w:rPr>
            </w:pPr>
            <w:r>
              <w:rPr>
                <w:kern w:val="0"/>
                <w:sz w:val="18"/>
                <w:szCs w:val="18"/>
              </w:rPr>
              <w:t>3614</w:t>
            </w:r>
          </w:p>
        </w:tc>
        <w:tc>
          <w:tcPr>
            <w:tcW w:w="187" w:type="pct"/>
            <w:tcBorders>
              <w:top w:val="single" w:color="auto" w:sz="4" w:space="0"/>
              <w:left w:val="single" w:color="auto" w:sz="4" w:space="0"/>
              <w:bottom w:val="single" w:color="auto" w:sz="4" w:space="0"/>
              <w:right w:val="single" w:color="auto" w:sz="4" w:space="0"/>
            </w:tcBorders>
            <w:noWrap/>
            <w:vAlign w:val="center"/>
          </w:tcPr>
          <w:p w14:paraId="69B9FCA1">
            <w:pPr>
              <w:widowControl/>
              <w:spacing w:line="0" w:lineRule="atLeast"/>
              <w:ind w:left="-99" w:leftChars="-47" w:right="-84" w:rightChars="-40" w:firstLine="12" w:firstLineChars="7"/>
              <w:jc w:val="center"/>
              <w:rPr>
                <w:kern w:val="0"/>
                <w:sz w:val="18"/>
                <w:szCs w:val="18"/>
              </w:rPr>
            </w:pPr>
            <w:r>
              <w:rPr>
                <w:kern w:val="0"/>
                <w:sz w:val="18"/>
                <w:szCs w:val="18"/>
              </w:rPr>
              <w:t>3546</w:t>
            </w:r>
          </w:p>
        </w:tc>
        <w:tc>
          <w:tcPr>
            <w:tcW w:w="173" w:type="pct"/>
            <w:tcBorders>
              <w:top w:val="single" w:color="auto" w:sz="4" w:space="0"/>
              <w:left w:val="single" w:color="auto" w:sz="4" w:space="0"/>
              <w:bottom w:val="single" w:color="auto" w:sz="4" w:space="0"/>
              <w:right w:val="single" w:color="auto" w:sz="4" w:space="0"/>
            </w:tcBorders>
            <w:vAlign w:val="center"/>
          </w:tcPr>
          <w:p w14:paraId="1F1DA666">
            <w:pPr>
              <w:widowControl/>
              <w:spacing w:line="0" w:lineRule="atLeast"/>
              <w:ind w:left="-99" w:leftChars="-47" w:right="-84" w:rightChars="-40" w:firstLine="13" w:firstLineChars="7"/>
              <w:jc w:val="center"/>
              <w:rPr>
                <w:b/>
                <w:bCs/>
                <w:kern w:val="0"/>
                <w:sz w:val="18"/>
                <w:szCs w:val="18"/>
              </w:rPr>
            </w:pPr>
            <w:r>
              <w:rPr>
                <w:b/>
                <w:bCs/>
                <w:kern w:val="0"/>
                <w:sz w:val="18"/>
                <w:szCs w:val="18"/>
              </w:rPr>
              <w:t>1217</w:t>
            </w:r>
          </w:p>
        </w:tc>
        <w:tc>
          <w:tcPr>
            <w:tcW w:w="127" w:type="pct"/>
            <w:tcBorders>
              <w:top w:val="single" w:color="auto" w:sz="4" w:space="0"/>
              <w:left w:val="single" w:color="auto" w:sz="4" w:space="0"/>
              <w:bottom w:val="single" w:color="auto" w:sz="4" w:space="0"/>
              <w:right w:val="single" w:color="auto" w:sz="4" w:space="0"/>
            </w:tcBorders>
            <w:vAlign w:val="center"/>
          </w:tcPr>
          <w:p w14:paraId="4F855ED6">
            <w:pPr>
              <w:widowControl/>
              <w:spacing w:line="0" w:lineRule="atLeast"/>
              <w:ind w:left="-99" w:leftChars="-47" w:right="-84" w:rightChars="-40" w:firstLine="12" w:firstLineChars="7"/>
              <w:jc w:val="center"/>
              <w:rPr>
                <w:b/>
                <w:bCs/>
                <w:kern w:val="0"/>
                <w:sz w:val="18"/>
                <w:szCs w:val="18"/>
              </w:rPr>
            </w:pPr>
            <w:r>
              <w:rPr>
                <w:kern w:val="0"/>
                <w:sz w:val="18"/>
                <w:szCs w:val="18"/>
              </w:rPr>
              <w:t>17</w:t>
            </w:r>
          </w:p>
        </w:tc>
        <w:tc>
          <w:tcPr>
            <w:tcW w:w="132" w:type="pct"/>
            <w:tcBorders>
              <w:top w:val="single" w:color="auto" w:sz="4" w:space="0"/>
              <w:left w:val="single" w:color="auto" w:sz="4" w:space="0"/>
              <w:bottom w:val="single" w:color="auto" w:sz="4" w:space="0"/>
              <w:right w:val="single" w:color="auto" w:sz="4" w:space="0"/>
            </w:tcBorders>
            <w:vAlign w:val="center"/>
          </w:tcPr>
          <w:p w14:paraId="4A941208">
            <w:pPr>
              <w:widowControl/>
              <w:spacing w:line="0" w:lineRule="atLeast"/>
              <w:ind w:left="-99" w:leftChars="-47" w:right="-84" w:rightChars="-40" w:firstLine="12" w:firstLineChars="7"/>
              <w:jc w:val="center"/>
              <w:rPr>
                <w:b/>
                <w:bCs/>
                <w:kern w:val="0"/>
                <w:sz w:val="18"/>
                <w:szCs w:val="18"/>
              </w:rPr>
            </w:pPr>
            <w:r>
              <w:rPr>
                <w:kern w:val="0"/>
                <w:sz w:val="18"/>
                <w:szCs w:val="18"/>
              </w:rPr>
              <w:t>1200</w:t>
            </w:r>
          </w:p>
        </w:tc>
        <w:tc>
          <w:tcPr>
            <w:tcW w:w="127" w:type="pct"/>
            <w:tcBorders>
              <w:top w:val="single" w:color="auto" w:sz="4" w:space="0"/>
              <w:left w:val="single" w:color="auto" w:sz="4" w:space="0"/>
              <w:bottom w:val="single" w:color="auto" w:sz="4" w:space="0"/>
              <w:right w:val="single" w:color="auto" w:sz="4" w:space="0"/>
            </w:tcBorders>
            <w:noWrap/>
            <w:vAlign w:val="center"/>
          </w:tcPr>
          <w:p w14:paraId="2D849207">
            <w:pPr>
              <w:widowControl/>
              <w:spacing w:line="0" w:lineRule="atLeast"/>
              <w:ind w:left="-99" w:leftChars="-47" w:right="-84" w:rightChars="-40" w:firstLine="13" w:firstLineChars="7"/>
              <w:jc w:val="center"/>
              <w:rPr>
                <w:b/>
                <w:bCs/>
                <w:kern w:val="0"/>
                <w:sz w:val="18"/>
                <w:szCs w:val="18"/>
              </w:rPr>
            </w:pPr>
            <w:r>
              <w:rPr>
                <w:b/>
                <w:bCs/>
                <w:kern w:val="0"/>
                <w:sz w:val="18"/>
                <w:szCs w:val="18"/>
              </w:rPr>
              <w:t>807</w:t>
            </w:r>
          </w:p>
        </w:tc>
        <w:tc>
          <w:tcPr>
            <w:tcW w:w="127" w:type="pct"/>
            <w:tcBorders>
              <w:top w:val="single" w:color="auto" w:sz="4" w:space="0"/>
              <w:left w:val="single" w:color="auto" w:sz="4" w:space="0"/>
              <w:bottom w:val="single" w:color="auto" w:sz="4" w:space="0"/>
              <w:right w:val="single" w:color="auto" w:sz="4" w:space="0"/>
            </w:tcBorders>
            <w:noWrap/>
            <w:vAlign w:val="center"/>
          </w:tcPr>
          <w:p w14:paraId="51E2D735">
            <w:pPr>
              <w:widowControl/>
              <w:spacing w:line="0" w:lineRule="atLeast"/>
              <w:ind w:left="-99" w:leftChars="-47" w:right="-84" w:rightChars="-40" w:firstLine="12" w:firstLineChars="7"/>
              <w:jc w:val="center"/>
              <w:rPr>
                <w:kern w:val="0"/>
                <w:sz w:val="18"/>
                <w:szCs w:val="18"/>
              </w:rPr>
            </w:pPr>
            <w:r>
              <w:rPr>
                <w:kern w:val="0"/>
                <w:sz w:val="18"/>
                <w:szCs w:val="18"/>
              </w:rPr>
              <w:t>80</w:t>
            </w:r>
          </w:p>
        </w:tc>
        <w:tc>
          <w:tcPr>
            <w:tcW w:w="159" w:type="pct"/>
            <w:tcBorders>
              <w:top w:val="single" w:color="auto" w:sz="4" w:space="0"/>
              <w:left w:val="single" w:color="auto" w:sz="4" w:space="0"/>
              <w:bottom w:val="single" w:color="auto" w:sz="4" w:space="0"/>
              <w:right w:val="single" w:color="auto" w:sz="4" w:space="0"/>
            </w:tcBorders>
            <w:noWrap/>
            <w:vAlign w:val="center"/>
          </w:tcPr>
          <w:p w14:paraId="0666DCBB">
            <w:pPr>
              <w:widowControl/>
              <w:spacing w:line="0" w:lineRule="atLeast"/>
              <w:ind w:left="-99" w:leftChars="-47" w:right="-84" w:rightChars="-40" w:firstLine="12" w:firstLineChars="7"/>
              <w:jc w:val="center"/>
              <w:rPr>
                <w:kern w:val="0"/>
                <w:sz w:val="18"/>
                <w:szCs w:val="18"/>
              </w:rPr>
            </w:pPr>
          </w:p>
        </w:tc>
        <w:tc>
          <w:tcPr>
            <w:tcW w:w="132" w:type="pct"/>
            <w:tcBorders>
              <w:top w:val="single" w:color="auto" w:sz="4" w:space="0"/>
              <w:left w:val="single" w:color="auto" w:sz="4" w:space="0"/>
              <w:bottom w:val="single" w:color="auto" w:sz="4" w:space="0"/>
              <w:right w:val="single" w:color="auto" w:sz="4" w:space="0"/>
            </w:tcBorders>
            <w:noWrap/>
            <w:vAlign w:val="center"/>
          </w:tcPr>
          <w:p w14:paraId="332EA88F">
            <w:pPr>
              <w:widowControl/>
              <w:spacing w:line="0" w:lineRule="atLeast"/>
              <w:ind w:left="-99" w:leftChars="-47" w:right="-84" w:rightChars="-40" w:firstLine="12" w:firstLineChars="7"/>
              <w:jc w:val="center"/>
              <w:rPr>
                <w:kern w:val="0"/>
                <w:sz w:val="18"/>
                <w:szCs w:val="18"/>
              </w:rPr>
            </w:pPr>
            <w:r>
              <w:rPr>
                <w:kern w:val="0"/>
                <w:sz w:val="18"/>
                <w:szCs w:val="18"/>
              </w:rPr>
              <w:t>727</w:t>
            </w:r>
          </w:p>
        </w:tc>
      </w:tr>
      <w:tr w14:paraId="670011D6">
        <w:tblPrEx>
          <w:tblCellMar>
            <w:top w:w="0" w:type="dxa"/>
            <w:left w:w="108" w:type="dxa"/>
            <w:bottom w:w="0" w:type="dxa"/>
            <w:right w:w="108" w:type="dxa"/>
          </w:tblCellMar>
        </w:tblPrEx>
        <w:trPr>
          <w:trHeight w:val="680" w:hRule="atLeast"/>
        </w:trPr>
        <w:tc>
          <w:tcPr>
            <w:tcW w:w="159" w:type="pct"/>
            <w:vMerge w:val="restart"/>
            <w:tcBorders>
              <w:top w:val="single" w:color="auto" w:sz="4" w:space="0"/>
              <w:left w:val="single" w:color="auto" w:sz="4" w:space="0"/>
              <w:bottom w:val="single" w:color="auto" w:sz="4" w:space="0"/>
              <w:right w:val="single" w:color="auto" w:sz="4" w:space="0"/>
            </w:tcBorders>
            <w:noWrap/>
            <w:vAlign w:val="center"/>
          </w:tcPr>
          <w:p w14:paraId="037750BA">
            <w:pPr>
              <w:widowControl/>
              <w:spacing w:line="0" w:lineRule="atLeast"/>
              <w:ind w:left="-99" w:leftChars="-47" w:right="-84" w:rightChars="-40" w:firstLine="13" w:firstLineChars="7"/>
              <w:jc w:val="center"/>
              <w:rPr>
                <w:b/>
                <w:bCs/>
                <w:kern w:val="0"/>
                <w:sz w:val="18"/>
                <w:szCs w:val="18"/>
              </w:rPr>
            </w:pPr>
            <w:r>
              <w:rPr>
                <w:b/>
                <w:bCs/>
                <w:kern w:val="0"/>
                <w:sz w:val="18"/>
                <w:szCs w:val="18"/>
              </w:rPr>
              <w:t>崖州区</w:t>
            </w:r>
          </w:p>
        </w:tc>
        <w:tc>
          <w:tcPr>
            <w:tcW w:w="237" w:type="pct"/>
            <w:tcBorders>
              <w:top w:val="single" w:color="auto" w:sz="4" w:space="0"/>
              <w:left w:val="single" w:color="auto" w:sz="4" w:space="0"/>
              <w:bottom w:val="single" w:color="auto" w:sz="4" w:space="0"/>
              <w:right w:val="single" w:color="auto" w:sz="4" w:space="0"/>
            </w:tcBorders>
            <w:vAlign w:val="center"/>
          </w:tcPr>
          <w:p w14:paraId="1360A72C">
            <w:pPr>
              <w:widowControl/>
              <w:spacing w:line="0" w:lineRule="atLeast"/>
              <w:ind w:left="-99" w:leftChars="-47" w:right="-84" w:rightChars="-40" w:firstLine="13" w:firstLineChars="7"/>
              <w:jc w:val="center"/>
              <w:rPr>
                <w:b/>
                <w:bCs/>
                <w:kern w:val="0"/>
                <w:sz w:val="18"/>
                <w:szCs w:val="18"/>
              </w:rPr>
            </w:pPr>
            <w:r>
              <w:rPr>
                <w:b/>
                <w:bCs/>
                <w:kern w:val="0"/>
                <w:sz w:val="18"/>
                <w:szCs w:val="18"/>
              </w:rPr>
              <w:t>生产规模</w:t>
            </w:r>
          </w:p>
        </w:tc>
        <w:tc>
          <w:tcPr>
            <w:tcW w:w="205" w:type="pct"/>
            <w:tcBorders>
              <w:top w:val="single" w:color="auto" w:sz="4" w:space="0"/>
              <w:left w:val="single" w:color="auto" w:sz="4" w:space="0"/>
              <w:bottom w:val="single" w:color="auto" w:sz="4" w:space="0"/>
              <w:right w:val="single" w:color="auto" w:sz="4" w:space="0"/>
            </w:tcBorders>
            <w:vAlign w:val="center"/>
          </w:tcPr>
          <w:p w14:paraId="7DF9EDEA">
            <w:pPr>
              <w:widowControl/>
              <w:spacing w:line="0" w:lineRule="atLeast"/>
              <w:ind w:left="-99" w:leftChars="-47" w:right="-84" w:rightChars="-40" w:firstLine="13" w:firstLineChars="7"/>
              <w:jc w:val="center"/>
              <w:rPr>
                <w:b/>
                <w:bCs/>
                <w:kern w:val="0"/>
                <w:sz w:val="18"/>
                <w:szCs w:val="18"/>
              </w:rPr>
            </w:pPr>
            <w:r>
              <w:rPr>
                <w:b/>
                <w:bCs/>
                <w:kern w:val="0"/>
                <w:sz w:val="18"/>
                <w:szCs w:val="18"/>
              </w:rPr>
              <w:t>15</w:t>
            </w:r>
            <w:r>
              <w:rPr>
                <w:rFonts w:hint="eastAsia"/>
                <w:b/>
                <w:bCs/>
                <w:kern w:val="0"/>
                <w:sz w:val="18"/>
                <w:szCs w:val="18"/>
              </w:rPr>
              <w:t>520</w:t>
            </w:r>
          </w:p>
        </w:tc>
        <w:tc>
          <w:tcPr>
            <w:tcW w:w="133" w:type="pct"/>
            <w:tcBorders>
              <w:top w:val="single" w:color="auto" w:sz="4" w:space="0"/>
              <w:left w:val="single" w:color="auto" w:sz="4" w:space="0"/>
              <w:bottom w:val="single" w:color="auto" w:sz="4" w:space="0"/>
              <w:right w:val="single" w:color="auto" w:sz="4" w:space="0"/>
            </w:tcBorders>
            <w:vAlign w:val="center"/>
          </w:tcPr>
          <w:p w14:paraId="78292D47">
            <w:pPr>
              <w:widowControl/>
              <w:spacing w:line="0" w:lineRule="atLeast"/>
              <w:ind w:left="-99" w:leftChars="-47" w:right="-84" w:rightChars="-40" w:firstLine="13" w:firstLineChars="7"/>
              <w:jc w:val="center"/>
              <w:rPr>
                <w:rFonts w:hint="eastAsia"/>
                <w:b/>
                <w:bCs/>
                <w:kern w:val="0"/>
                <w:sz w:val="18"/>
                <w:szCs w:val="18"/>
              </w:rPr>
            </w:pPr>
            <w:r>
              <w:rPr>
                <w:b/>
                <w:bCs/>
                <w:kern w:val="0"/>
                <w:sz w:val="18"/>
                <w:szCs w:val="18"/>
              </w:rPr>
              <w:t>179</w:t>
            </w:r>
          </w:p>
        </w:tc>
        <w:tc>
          <w:tcPr>
            <w:tcW w:w="133" w:type="pct"/>
            <w:tcBorders>
              <w:top w:val="single" w:color="auto" w:sz="4" w:space="0"/>
              <w:left w:val="single" w:color="auto" w:sz="4" w:space="0"/>
              <w:bottom w:val="single" w:color="auto" w:sz="4" w:space="0"/>
              <w:right w:val="single" w:color="auto" w:sz="4" w:space="0"/>
            </w:tcBorders>
            <w:vAlign w:val="center"/>
          </w:tcPr>
          <w:p w14:paraId="5EBB05FC">
            <w:pPr>
              <w:widowControl/>
              <w:spacing w:line="0" w:lineRule="atLeast"/>
              <w:ind w:left="-99" w:leftChars="-47" w:right="-84" w:rightChars="-40" w:firstLine="13" w:firstLineChars="7"/>
              <w:jc w:val="center"/>
              <w:rPr>
                <w:rFonts w:hint="eastAsia"/>
                <w:b/>
                <w:bCs/>
                <w:kern w:val="0"/>
                <w:sz w:val="18"/>
                <w:szCs w:val="18"/>
              </w:rPr>
            </w:pPr>
          </w:p>
        </w:tc>
        <w:tc>
          <w:tcPr>
            <w:tcW w:w="133" w:type="pct"/>
            <w:tcBorders>
              <w:top w:val="single" w:color="auto" w:sz="4" w:space="0"/>
              <w:left w:val="single" w:color="auto" w:sz="4" w:space="0"/>
              <w:bottom w:val="single" w:color="auto" w:sz="4" w:space="0"/>
              <w:right w:val="single" w:color="auto" w:sz="4" w:space="0"/>
            </w:tcBorders>
            <w:vAlign w:val="center"/>
          </w:tcPr>
          <w:p w14:paraId="47E184DD">
            <w:pPr>
              <w:widowControl/>
              <w:spacing w:line="0" w:lineRule="atLeast"/>
              <w:ind w:left="-99" w:leftChars="-47" w:right="-84" w:rightChars="-40" w:firstLine="13" w:firstLineChars="7"/>
              <w:jc w:val="center"/>
              <w:rPr>
                <w:rFonts w:hint="eastAsia"/>
                <w:b/>
                <w:bCs/>
                <w:kern w:val="0"/>
                <w:sz w:val="18"/>
                <w:szCs w:val="18"/>
              </w:rPr>
            </w:pPr>
          </w:p>
        </w:tc>
        <w:tc>
          <w:tcPr>
            <w:tcW w:w="134" w:type="pct"/>
            <w:tcBorders>
              <w:top w:val="single" w:color="auto" w:sz="4" w:space="0"/>
              <w:left w:val="single" w:color="auto" w:sz="4" w:space="0"/>
              <w:bottom w:val="single" w:color="auto" w:sz="4" w:space="0"/>
              <w:right w:val="single" w:color="auto" w:sz="4" w:space="0"/>
            </w:tcBorders>
            <w:vAlign w:val="center"/>
          </w:tcPr>
          <w:p w14:paraId="31B2F6D7">
            <w:pPr>
              <w:widowControl/>
              <w:spacing w:line="0" w:lineRule="atLeast"/>
              <w:ind w:left="-99" w:leftChars="-47" w:right="-84" w:rightChars="-40" w:firstLine="12" w:firstLineChars="7"/>
              <w:jc w:val="center"/>
              <w:rPr>
                <w:rFonts w:hint="eastAsia"/>
                <w:b/>
                <w:bCs/>
                <w:kern w:val="0"/>
                <w:sz w:val="18"/>
                <w:szCs w:val="18"/>
              </w:rPr>
            </w:pPr>
            <w:r>
              <w:rPr>
                <w:kern w:val="0"/>
                <w:sz w:val="18"/>
                <w:szCs w:val="18"/>
              </w:rPr>
              <w:t>179</w:t>
            </w:r>
          </w:p>
        </w:tc>
        <w:tc>
          <w:tcPr>
            <w:tcW w:w="132" w:type="pct"/>
            <w:tcBorders>
              <w:top w:val="single" w:color="auto" w:sz="4" w:space="0"/>
              <w:left w:val="single" w:color="auto" w:sz="4" w:space="0"/>
              <w:bottom w:val="single" w:color="auto" w:sz="4" w:space="0"/>
              <w:right w:val="single" w:color="auto" w:sz="4" w:space="0"/>
            </w:tcBorders>
            <w:vAlign w:val="center"/>
          </w:tcPr>
          <w:p w14:paraId="39B466CE">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58D8B85D">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13.5</w:t>
            </w:r>
          </w:p>
        </w:tc>
        <w:tc>
          <w:tcPr>
            <w:tcW w:w="130" w:type="pct"/>
            <w:tcBorders>
              <w:top w:val="single" w:color="auto" w:sz="4" w:space="0"/>
              <w:left w:val="single" w:color="auto" w:sz="4" w:space="0"/>
              <w:bottom w:val="single" w:color="auto" w:sz="4" w:space="0"/>
              <w:right w:val="single" w:color="auto" w:sz="4" w:space="0"/>
            </w:tcBorders>
            <w:vAlign w:val="center"/>
          </w:tcPr>
          <w:p w14:paraId="0D25A539">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78404296">
            <w:pPr>
              <w:widowControl/>
              <w:spacing w:line="0" w:lineRule="atLeast"/>
              <w:ind w:left="-99" w:leftChars="-47" w:right="-84" w:rightChars="-40" w:firstLine="12" w:firstLineChars="7"/>
              <w:jc w:val="center"/>
              <w:rPr>
                <w:kern w:val="0"/>
                <w:sz w:val="18"/>
                <w:szCs w:val="18"/>
              </w:rPr>
            </w:pPr>
            <w:r>
              <w:rPr>
                <w:rFonts w:hint="eastAsia"/>
                <w:kern w:val="0"/>
                <w:sz w:val="18"/>
                <w:szCs w:val="18"/>
              </w:rPr>
              <w:t>13.5</w:t>
            </w:r>
          </w:p>
        </w:tc>
        <w:tc>
          <w:tcPr>
            <w:tcW w:w="168" w:type="pct"/>
            <w:tcBorders>
              <w:top w:val="single" w:color="auto" w:sz="4" w:space="0"/>
              <w:left w:val="single" w:color="auto" w:sz="4" w:space="0"/>
              <w:bottom w:val="single" w:color="auto" w:sz="4" w:space="0"/>
              <w:right w:val="single" w:color="auto" w:sz="4" w:space="0"/>
            </w:tcBorders>
            <w:vAlign w:val="center"/>
          </w:tcPr>
          <w:p w14:paraId="54476E40">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noWrap/>
            <w:vAlign w:val="center"/>
          </w:tcPr>
          <w:p w14:paraId="535D6D88">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vAlign w:val="center"/>
          </w:tcPr>
          <w:p w14:paraId="423FE3E8">
            <w:pPr>
              <w:widowControl/>
              <w:spacing w:line="0" w:lineRule="atLeast"/>
              <w:ind w:left="-99" w:leftChars="-47" w:right="-84" w:rightChars="-40" w:firstLine="12" w:firstLineChars="7"/>
              <w:jc w:val="center"/>
              <w:rPr>
                <w:kern w:val="0"/>
                <w:sz w:val="18"/>
                <w:szCs w:val="18"/>
              </w:rPr>
            </w:pPr>
            <w:r>
              <w:rPr>
                <w:kern w:val="0"/>
                <w:sz w:val="18"/>
                <w:szCs w:val="18"/>
              </w:rPr>
              <w:t>2家</w:t>
            </w:r>
          </w:p>
        </w:tc>
        <w:tc>
          <w:tcPr>
            <w:tcW w:w="171" w:type="pct"/>
            <w:tcBorders>
              <w:top w:val="single" w:color="auto" w:sz="4" w:space="0"/>
              <w:left w:val="single" w:color="auto" w:sz="4" w:space="0"/>
              <w:bottom w:val="single" w:color="auto" w:sz="4" w:space="0"/>
              <w:right w:val="single" w:color="auto" w:sz="4" w:space="0"/>
            </w:tcBorders>
            <w:vAlign w:val="center"/>
          </w:tcPr>
          <w:p w14:paraId="28170B88">
            <w:pPr>
              <w:widowControl/>
              <w:spacing w:line="0" w:lineRule="atLeast"/>
              <w:ind w:left="-99" w:leftChars="-47" w:right="-84" w:rightChars="-40" w:firstLine="13" w:firstLineChars="7"/>
              <w:jc w:val="center"/>
              <w:rPr>
                <w:b/>
                <w:bCs/>
                <w:kern w:val="0"/>
                <w:sz w:val="18"/>
                <w:szCs w:val="18"/>
              </w:rPr>
            </w:pPr>
            <w:r>
              <w:rPr>
                <w:b/>
                <w:bCs/>
                <w:kern w:val="0"/>
                <w:sz w:val="18"/>
                <w:szCs w:val="18"/>
              </w:rPr>
              <w:t>1069</w:t>
            </w:r>
          </w:p>
        </w:tc>
        <w:tc>
          <w:tcPr>
            <w:tcW w:w="170" w:type="pct"/>
            <w:tcBorders>
              <w:top w:val="single" w:color="auto" w:sz="4" w:space="0"/>
              <w:left w:val="single" w:color="auto" w:sz="4" w:space="0"/>
              <w:bottom w:val="single" w:color="auto" w:sz="4" w:space="0"/>
              <w:right w:val="single" w:color="auto" w:sz="4" w:space="0"/>
            </w:tcBorders>
            <w:vAlign w:val="center"/>
          </w:tcPr>
          <w:p w14:paraId="1722287D">
            <w:pPr>
              <w:widowControl/>
              <w:spacing w:line="0" w:lineRule="atLeast"/>
              <w:ind w:left="-99" w:leftChars="-47" w:right="-84" w:rightChars="-40" w:firstLine="12" w:firstLineChars="7"/>
              <w:jc w:val="center"/>
              <w:rPr>
                <w:b/>
                <w:bCs/>
                <w:kern w:val="0"/>
                <w:sz w:val="18"/>
                <w:szCs w:val="18"/>
              </w:rPr>
            </w:pPr>
            <w:r>
              <w:rPr>
                <w:kern w:val="0"/>
                <w:sz w:val="18"/>
                <w:szCs w:val="18"/>
              </w:rPr>
              <w:t>843</w:t>
            </w:r>
          </w:p>
        </w:tc>
        <w:tc>
          <w:tcPr>
            <w:tcW w:w="127" w:type="pct"/>
            <w:tcBorders>
              <w:top w:val="single" w:color="auto" w:sz="4" w:space="0"/>
              <w:left w:val="single" w:color="auto" w:sz="4" w:space="0"/>
              <w:bottom w:val="single" w:color="auto" w:sz="4" w:space="0"/>
              <w:right w:val="single" w:color="auto" w:sz="4" w:space="0"/>
            </w:tcBorders>
            <w:vAlign w:val="center"/>
          </w:tcPr>
          <w:p w14:paraId="14781336">
            <w:pPr>
              <w:widowControl/>
              <w:spacing w:line="0" w:lineRule="atLeast"/>
              <w:ind w:left="-99" w:leftChars="-47" w:right="-84" w:rightChars="-40" w:firstLine="12" w:firstLineChars="7"/>
              <w:jc w:val="center"/>
              <w:rPr>
                <w:b/>
                <w:bCs/>
                <w:kern w:val="0"/>
                <w:sz w:val="18"/>
                <w:szCs w:val="18"/>
              </w:rPr>
            </w:pPr>
            <w:r>
              <w:rPr>
                <w:kern w:val="0"/>
                <w:sz w:val="18"/>
                <w:szCs w:val="18"/>
              </w:rPr>
              <w:t>147</w:t>
            </w:r>
          </w:p>
        </w:tc>
        <w:tc>
          <w:tcPr>
            <w:tcW w:w="127" w:type="pct"/>
            <w:tcBorders>
              <w:top w:val="single" w:color="auto" w:sz="4" w:space="0"/>
              <w:left w:val="single" w:color="auto" w:sz="4" w:space="0"/>
              <w:bottom w:val="single" w:color="auto" w:sz="4" w:space="0"/>
              <w:right w:val="single" w:color="auto" w:sz="4" w:space="0"/>
            </w:tcBorders>
            <w:vAlign w:val="center"/>
          </w:tcPr>
          <w:p w14:paraId="5D85C340">
            <w:pPr>
              <w:widowControl/>
              <w:spacing w:line="0" w:lineRule="atLeast"/>
              <w:ind w:left="-99" w:leftChars="-47" w:right="-84" w:rightChars="-40" w:firstLine="12" w:firstLineChars="7"/>
              <w:jc w:val="center"/>
              <w:rPr>
                <w:b/>
                <w:bCs/>
                <w:kern w:val="0"/>
                <w:sz w:val="18"/>
                <w:szCs w:val="18"/>
              </w:rPr>
            </w:pPr>
            <w:r>
              <w:rPr>
                <w:kern w:val="0"/>
                <w:sz w:val="18"/>
                <w:szCs w:val="18"/>
              </w:rPr>
              <w:t>65</w:t>
            </w:r>
          </w:p>
        </w:tc>
        <w:tc>
          <w:tcPr>
            <w:tcW w:w="132" w:type="pct"/>
            <w:tcBorders>
              <w:top w:val="single" w:color="auto" w:sz="4" w:space="0"/>
              <w:left w:val="single" w:color="auto" w:sz="4" w:space="0"/>
              <w:bottom w:val="single" w:color="auto" w:sz="4" w:space="0"/>
              <w:right w:val="single" w:color="auto" w:sz="4" w:space="0"/>
            </w:tcBorders>
            <w:vAlign w:val="center"/>
          </w:tcPr>
          <w:p w14:paraId="6FA056C6">
            <w:pPr>
              <w:widowControl/>
              <w:spacing w:line="0" w:lineRule="atLeast"/>
              <w:ind w:left="-99" w:leftChars="-47" w:right="-84" w:rightChars="-40" w:firstLine="12" w:firstLineChars="7"/>
              <w:jc w:val="center"/>
              <w:rPr>
                <w:b/>
                <w:bCs/>
                <w:kern w:val="0"/>
                <w:sz w:val="18"/>
                <w:szCs w:val="18"/>
              </w:rPr>
            </w:pPr>
            <w:r>
              <w:rPr>
                <w:kern w:val="0"/>
                <w:sz w:val="18"/>
                <w:szCs w:val="18"/>
              </w:rPr>
              <w:t>15</w:t>
            </w:r>
          </w:p>
        </w:tc>
        <w:tc>
          <w:tcPr>
            <w:tcW w:w="186" w:type="pct"/>
            <w:tcBorders>
              <w:top w:val="single" w:color="auto" w:sz="4" w:space="0"/>
              <w:left w:val="single" w:color="auto" w:sz="4" w:space="0"/>
              <w:bottom w:val="single" w:color="auto" w:sz="4" w:space="0"/>
              <w:right w:val="single" w:color="auto" w:sz="4" w:space="0"/>
            </w:tcBorders>
            <w:vAlign w:val="center"/>
          </w:tcPr>
          <w:p w14:paraId="752DD2AD">
            <w:pPr>
              <w:widowControl/>
              <w:spacing w:line="0" w:lineRule="atLeast"/>
              <w:ind w:left="-99" w:leftChars="-47" w:right="-84" w:rightChars="-40" w:firstLine="13" w:firstLineChars="7"/>
              <w:jc w:val="center"/>
              <w:rPr>
                <w:b/>
                <w:bCs/>
                <w:kern w:val="0"/>
                <w:sz w:val="18"/>
                <w:szCs w:val="18"/>
              </w:rPr>
            </w:pPr>
            <w:r>
              <w:rPr>
                <w:b/>
                <w:bCs/>
                <w:kern w:val="0"/>
                <w:sz w:val="18"/>
                <w:szCs w:val="18"/>
              </w:rPr>
              <w:t>14247</w:t>
            </w:r>
          </w:p>
        </w:tc>
        <w:tc>
          <w:tcPr>
            <w:tcW w:w="162" w:type="pct"/>
            <w:tcBorders>
              <w:top w:val="single" w:color="auto" w:sz="4" w:space="0"/>
              <w:left w:val="single" w:color="auto" w:sz="4" w:space="0"/>
              <w:bottom w:val="single" w:color="auto" w:sz="4" w:space="0"/>
              <w:right w:val="single" w:color="auto" w:sz="4" w:space="0"/>
            </w:tcBorders>
            <w:noWrap/>
            <w:vAlign w:val="center"/>
          </w:tcPr>
          <w:p w14:paraId="79F834A6">
            <w:pPr>
              <w:widowControl/>
              <w:spacing w:line="0" w:lineRule="atLeast"/>
              <w:ind w:left="-99" w:leftChars="-47" w:right="-84" w:rightChars="-40" w:firstLine="12" w:firstLineChars="7"/>
              <w:jc w:val="center"/>
              <w:rPr>
                <w:kern w:val="0"/>
                <w:sz w:val="18"/>
                <w:szCs w:val="18"/>
              </w:rPr>
            </w:pPr>
            <w:r>
              <w:rPr>
                <w:kern w:val="0"/>
                <w:sz w:val="18"/>
                <w:szCs w:val="18"/>
              </w:rPr>
              <w:t>10743</w:t>
            </w:r>
          </w:p>
        </w:tc>
        <w:tc>
          <w:tcPr>
            <w:tcW w:w="165" w:type="pct"/>
            <w:tcBorders>
              <w:top w:val="single" w:color="auto" w:sz="4" w:space="0"/>
              <w:left w:val="single" w:color="auto" w:sz="4" w:space="0"/>
              <w:bottom w:val="single" w:color="auto" w:sz="4" w:space="0"/>
              <w:right w:val="single" w:color="auto" w:sz="4" w:space="0"/>
            </w:tcBorders>
            <w:noWrap/>
            <w:vAlign w:val="center"/>
          </w:tcPr>
          <w:p w14:paraId="4208C39C">
            <w:pPr>
              <w:widowControl/>
              <w:spacing w:line="0" w:lineRule="atLeast"/>
              <w:ind w:left="-99" w:leftChars="-47" w:right="-84" w:rightChars="-40" w:firstLine="12" w:firstLineChars="7"/>
              <w:jc w:val="center"/>
              <w:rPr>
                <w:kern w:val="0"/>
                <w:sz w:val="18"/>
                <w:szCs w:val="18"/>
              </w:rPr>
            </w:pPr>
            <w:r>
              <w:rPr>
                <w:kern w:val="0"/>
                <w:sz w:val="18"/>
                <w:szCs w:val="18"/>
              </w:rPr>
              <w:t>2034</w:t>
            </w:r>
          </w:p>
        </w:tc>
        <w:tc>
          <w:tcPr>
            <w:tcW w:w="165" w:type="pct"/>
            <w:tcBorders>
              <w:top w:val="single" w:color="auto" w:sz="4" w:space="0"/>
              <w:left w:val="single" w:color="auto" w:sz="4" w:space="0"/>
              <w:bottom w:val="single" w:color="auto" w:sz="4" w:space="0"/>
              <w:right w:val="single" w:color="auto" w:sz="4" w:space="0"/>
            </w:tcBorders>
            <w:noWrap/>
            <w:vAlign w:val="center"/>
          </w:tcPr>
          <w:p w14:paraId="65450286">
            <w:pPr>
              <w:widowControl/>
              <w:spacing w:line="0" w:lineRule="atLeast"/>
              <w:ind w:left="-99" w:leftChars="-47" w:right="-84" w:rightChars="-40" w:firstLine="12" w:firstLineChars="7"/>
              <w:jc w:val="center"/>
              <w:rPr>
                <w:kern w:val="0"/>
                <w:sz w:val="18"/>
                <w:szCs w:val="18"/>
              </w:rPr>
            </w:pPr>
            <w:r>
              <w:rPr>
                <w:kern w:val="0"/>
                <w:sz w:val="18"/>
                <w:szCs w:val="18"/>
              </w:rPr>
              <w:t>56</w:t>
            </w:r>
          </w:p>
        </w:tc>
        <w:tc>
          <w:tcPr>
            <w:tcW w:w="175" w:type="pct"/>
            <w:tcBorders>
              <w:top w:val="single" w:color="auto" w:sz="4" w:space="0"/>
              <w:left w:val="single" w:color="auto" w:sz="4" w:space="0"/>
              <w:bottom w:val="single" w:color="auto" w:sz="4" w:space="0"/>
              <w:right w:val="single" w:color="auto" w:sz="4" w:space="0"/>
            </w:tcBorders>
            <w:noWrap/>
            <w:vAlign w:val="center"/>
          </w:tcPr>
          <w:p w14:paraId="237EBA21">
            <w:pPr>
              <w:widowControl/>
              <w:spacing w:line="0" w:lineRule="atLeast"/>
              <w:ind w:left="-99" w:leftChars="-47" w:right="-84" w:rightChars="-40" w:firstLine="12" w:firstLineChars="7"/>
              <w:jc w:val="center"/>
              <w:rPr>
                <w:kern w:val="0"/>
                <w:sz w:val="18"/>
                <w:szCs w:val="18"/>
              </w:rPr>
            </w:pPr>
            <w:r>
              <w:rPr>
                <w:kern w:val="0"/>
                <w:sz w:val="18"/>
                <w:szCs w:val="18"/>
              </w:rPr>
              <w:t>1313</w:t>
            </w:r>
          </w:p>
        </w:tc>
        <w:tc>
          <w:tcPr>
            <w:tcW w:w="187" w:type="pct"/>
            <w:tcBorders>
              <w:top w:val="single" w:color="auto" w:sz="4" w:space="0"/>
              <w:left w:val="single" w:color="auto" w:sz="4" w:space="0"/>
              <w:bottom w:val="single" w:color="auto" w:sz="4" w:space="0"/>
              <w:right w:val="single" w:color="auto" w:sz="4" w:space="0"/>
            </w:tcBorders>
            <w:noWrap/>
            <w:vAlign w:val="center"/>
          </w:tcPr>
          <w:p w14:paraId="4FB74999">
            <w:pPr>
              <w:widowControl/>
              <w:spacing w:line="0" w:lineRule="atLeast"/>
              <w:ind w:left="-99" w:leftChars="-47" w:right="-84" w:rightChars="-40" w:firstLine="12" w:firstLineChars="7"/>
              <w:jc w:val="center"/>
              <w:rPr>
                <w:kern w:val="0"/>
                <w:sz w:val="18"/>
                <w:szCs w:val="18"/>
              </w:rPr>
            </w:pPr>
            <w:r>
              <w:rPr>
                <w:kern w:val="0"/>
                <w:sz w:val="18"/>
                <w:szCs w:val="18"/>
              </w:rPr>
              <w:t>101</w:t>
            </w:r>
          </w:p>
        </w:tc>
        <w:tc>
          <w:tcPr>
            <w:tcW w:w="173" w:type="pct"/>
            <w:tcBorders>
              <w:top w:val="single" w:color="auto" w:sz="4" w:space="0"/>
              <w:left w:val="single" w:color="auto" w:sz="4" w:space="0"/>
              <w:bottom w:val="single" w:color="auto" w:sz="4" w:space="0"/>
              <w:right w:val="single" w:color="auto" w:sz="4" w:space="0"/>
            </w:tcBorders>
            <w:vAlign w:val="center"/>
          </w:tcPr>
          <w:p w14:paraId="458F429B">
            <w:pPr>
              <w:widowControl/>
              <w:spacing w:line="0" w:lineRule="atLeast"/>
              <w:ind w:left="-99" w:leftChars="-47" w:right="-84" w:rightChars="-40" w:firstLine="13" w:firstLineChars="7"/>
              <w:jc w:val="center"/>
              <w:rPr>
                <w:b/>
                <w:bCs/>
                <w:kern w:val="0"/>
                <w:sz w:val="18"/>
                <w:szCs w:val="18"/>
              </w:rPr>
            </w:pPr>
            <w:r>
              <w:rPr>
                <w:b/>
                <w:bCs/>
                <w:kern w:val="0"/>
                <w:sz w:val="18"/>
                <w:szCs w:val="18"/>
              </w:rPr>
              <w:t>12</w:t>
            </w:r>
          </w:p>
        </w:tc>
        <w:tc>
          <w:tcPr>
            <w:tcW w:w="127" w:type="pct"/>
            <w:tcBorders>
              <w:top w:val="single" w:color="auto" w:sz="4" w:space="0"/>
              <w:left w:val="single" w:color="auto" w:sz="4" w:space="0"/>
              <w:bottom w:val="single" w:color="auto" w:sz="4" w:space="0"/>
              <w:right w:val="single" w:color="auto" w:sz="4" w:space="0"/>
            </w:tcBorders>
            <w:vAlign w:val="center"/>
          </w:tcPr>
          <w:p w14:paraId="23FB0DDA">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714F19FE">
            <w:pPr>
              <w:widowControl/>
              <w:spacing w:line="0" w:lineRule="atLeast"/>
              <w:ind w:left="-99" w:leftChars="-47" w:right="-84" w:rightChars="-40" w:firstLine="12" w:firstLineChars="7"/>
              <w:jc w:val="center"/>
              <w:rPr>
                <w:b/>
                <w:bCs/>
                <w:kern w:val="0"/>
                <w:sz w:val="18"/>
                <w:szCs w:val="18"/>
              </w:rPr>
            </w:pPr>
            <w:r>
              <w:rPr>
                <w:kern w:val="0"/>
                <w:sz w:val="18"/>
                <w:szCs w:val="18"/>
              </w:rPr>
              <w:t>12</w:t>
            </w:r>
          </w:p>
        </w:tc>
        <w:tc>
          <w:tcPr>
            <w:tcW w:w="127" w:type="pct"/>
            <w:tcBorders>
              <w:top w:val="single" w:color="auto" w:sz="4" w:space="0"/>
              <w:left w:val="single" w:color="auto" w:sz="4" w:space="0"/>
              <w:bottom w:val="single" w:color="auto" w:sz="4" w:space="0"/>
              <w:right w:val="single" w:color="auto" w:sz="4" w:space="0"/>
            </w:tcBorders>
            <w:vAlign w:val="center"/>
          </w:tcPr>
          <w:p w14:paraId="02A50F27">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1142F19C">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59" w:type="pct"/>
            <w:tcBorders>
              <w:top w:val="single" w:color="auto" w:sz="4" w:space="0"/>
              <w:left w:val="single" w:color="auto" w:sz="4" w:space="0"/>
              <w:bottom w:val="single" w:color="auto" w:sz="4" w:space="0"/>
              <w:right w:val="single" w:color="auto" w:sz="4" w:space="0"/>
            </w:tcBorders>
            <w:vAlign w:val="center"/>
          </w:tcPr>
          <w:p w14:paraId="503BA81E">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1BAD6B74">
            <w:pPr>
              <w:widowControl/>
              <w:spacing w:line="0" w:lineRule="atLeast"/>
              <w:ind w:left="-99" w:leftChars="-47" w:right="-84" w:rightChars="-40" w:firstLine="12" w:firstLineChars="7"/>
              <w:jc w:val="center"/>
              <w:rPr>
                <w:kern w:val="0"/>
                <w:sz w:val="18"/>
                <w:szCs w:val="18"/>
              </w:rPr>
            </w:pPr>
            <w:r>
              <w:rPr>
                <w:kern w:val="0"/>
                <w:sz w:val="18"/>
                <w:szCs w:val="18"/>
              </w:rPr>
              <w:t>—</w:t>
            </w:r>
          </w:p>
        </w:tc>
      </w:tr>
      <w:tr w14:paraId="4E71FAE8">
        <w:tblPrEx>
          <w:tblCellMar>
            <w:top w:w="0" w:type="dxa"/>
            <w:left w:w="108" w:type="dxa"/>
            <w:bottom w:w="0" w:type="dxa"/>
            <w:right w:w="108" w:type="dxa"/>
          </w:tblCellMar>
        </w:tblPrEx>
        <w:trPr>
          <w:trHeight w:val="680" w:hRule="atLeast"/>
        </w:trPr>
        <w:tc>
          <w:tcPr>
            <w:tcW w:w="159" w:type="pct"/>
            <w:vMerge w:val="continue"/>
            <w:tcBorders>
              <w:top w:val="single" w:color="auto" w:sz="4" w:space="0"/>
              <w:left w:val="single" w:color="auto" w:sz="4" w:space="0"/>
              <w:bottom w:val="single" w:color="auto" w:sz="4" w:space="0"/>
              <w:right w:val="single" w:color="auto" w:sz="4" w:space="0"/>
            </w:tcBorders>
            <w:vAlign w:val="center"/>
          </w:tcPr>
          <w:p w14:paraId="08B930A3">
            <w:pPr>
              <w:widowControl/>
              <w:spacing w:line="0" w:lineRule="atLeast"/>
              <w:ind w:left="-99" w:leftChars="-47" w:right="-84" w:rightChars="-40" w:firstLine="13" w:firstLineChars="7"/>
              <w:jc w:val="center"/>
              <w:rPr>
                <w:b/>
                <w:bCs/>
                <w:kern w:val="0"/>
                <w:sz w:val="18"/>
                <w:szCs w:val="18"/>
              </w:rPr>
            </w:pPr>
          </w:p>
        </w:tc>
        <w:tc>
          <w:tcPr>
            <w:tcW w:w="237" w:type="pct"/>
            <w:tcBorders>
              <w:top w:val="single" w:color="auto" w:sz="4" w:space="0"/>
              <w:left w:val="single" w:color="auto" w:sz="4" w:space="0"/>
              <w:bottom w:val="single" w:color="auto" w:sz="4" w:space="0"/>
              <w:right w:val="single" w:color="auto" w:sz="4" w:space="0"/>
            </w:tcBorders>
            <w:vAlign w:val="center"/>
          </w:tcPr>
          <w:p w14:paraId="438B944A">
            <w:pPr>
              <w:widowControl/>
              <w:spacing w:line="0" w:lineRule="atLeast"/>
              <w:ind w:left="-99" w:leftChars="-47" w:right="-84" w:rightChars="-40" w:firstLine="13" w:firstLineChars="7"/>
              <w:jc w:val="center"/>
              <w:rPr>
                <w:b/>
                <w:bCs/>
                <w:kern w:val="0"/>
                <w:sz w:val="18"/>
                <w:szCs w:val="18"/>
              </w:rPr>
            </w:pPr>
            <w:r>
              <w:rPr>
                <w:b/>
                <w:bCs/>
                <w:kern w:val="0"/>
                <w:sz w:val="18"/>
                <w:szCs w:val="18"/>
              </w:rPr>
              <w:t>产值</w:t>
            </w:r>
            <w:r>
              <w:rPr>
                <w:b/>
                <w:bCs/>
                <w:kern w:val="0"/>
                <w:sz w:val="18"/>
                <w:szCs w:val="18"/>
              </w:rPr>
              <w:br w:type="textWrapping"/>
            </w:r>
            <w:r>
              <w:rPr>
                <w:b/>
                <w:bCs/>
                <w:kern w:val="0"/>
                <w:sz w:val="18"/>
                <w:szCs w:val="18"/>
              </w:rPr>
              <w:t>（万元）</w:t>
            </w:r>
          </w:p>
        </w:tc>
        <w:tc>
          <w:tcPr>
            <w:tcW w:w="205" w:type="pct"/>
            <w:tcBorders>
              <w:top w:val="single" w:color="auto" w:sz="4" w:space="0"/>
              <w:left w:val="single" w:color="auto" w:sz="4" w:space="0"/>
              <w:bottom w:val="single" w:color="auto" w:sz="4" w:space="0"/>
              <w:right w:val="single" w:color="auto" w:sz="4" w:space="0"/>
            </w:tcBorders>
            <w:vAlign w:val="center"/>
          </w:tcPr>
          <w:p w14:paraId="5CC4A1C3">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112387</w:t>
            </w:r>
          </w:p>
        </w:tc>
        <w:tc>
          <w:tcPr>
            <w:tcW w:w="133" w:type="pct"/>
            <w:tcBorders>
              <w:top w:val="single" w:color="auto" w:sz="4" w:space="0"/>
              <w:left w:val="single" w:color="auto" w:sz="4" w:space="0"/>
              <w:bottom w:val="single" w:color="auto" w:sz="4" w:space="0"/>
              <w:right w:val="single" w:color="auto" w:sz="4" w:space="0"/>
            </w:tcBorders>
            <w:vAlign w:val="center"/>
          </w:tcPr>
          <w:p w14:paraId="7E7EAF98">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5D2360CA">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314507EA">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4" w:type="pct"/>
            <w:tcBorders>
              <w:top w:val="single" w:color="auto" w:sz="4" w:space="0"/>
              <w:left w:val="single" w:color="auto" w:sz="4" w:space="0"/>
              <w:bottom w:val="single" w:color="auto" w:sz="4" w:space="0"/>
              <w:right w:val="single" w:color="auto" w:sz="4" w:space="0"/>
            </w:tcBorders>
            <w:vAlign w:val="center"/>
          </w:tcPr>
          <w:p w14:paraId="404D7061">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75DD00F1">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3A7A173C">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4113</w:t>
            </w:r>
          </w:p>
        </w:tc>
        <w:tc>
          <w:tcPr>
            <w:tcW w:w="130" w:type="pct"/>
            <w:tcBorders>
              <w:top w:val="single" w:color="auto" w:sz="4" w:space="0"/>
              <w:left w:val="single" w:color="auto" w:sz="4" w:space="0"/>
              <w:bottom w:val="single" w:color="auto" w:sz="4" w:space="0"/>
              <w:right w:val="single" w:color="auto" w:sz="4" w:space="0"/>
            </w:tcBorders>
            <w:vAlign w:val="center"/>
          </w:tcPr>
          <w:p w14:paraId="78DA3209">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65BE69EB">
            <w:pPr>
              <w:widowControl/>
              <w:spacing w:line="0" w:lineRule="atLeast"/>
              <w:ind w:left="-99" w:leftChars="-47" w:right="-84" w:rightChars="-40" w:firstLine="12" w:firstLineChars="7"/>
              <w:jc w:val="center"/>
              <w:rPr>
                <w:kern w:val="0"/>
                <w:sz w:val="18"/>
                <w:szCs w:val="18"/>
              </w:rPr>
            </w:pPr>
            <w:r>
              <w:rPr>
                <w:kern w:val="0"/>
                <w:sz w:val="18"/>
                <w:szCs w:val="18"/>
              </w:rPr>
              <w:t>435</w:t>
            </w:r>
          </w:p>
        </w:tc>
        <w:tc>
          <w:tcPr>
            <w:tcW w:w="168" w:type="pct"/>
            <w:tcBorders>
              <w:top w:val="single" w:color="auto" w:sz="4" w:space="0"/>
              <w:left w:val="single" w:color="auto" w:sz="4" w:space="0"/>
              <w:bottom w:val="single" w:color="auto" w:sz="4" w:space="0"/>
              <w:right w:val="single" w:color="auto" w:sz="4" w:space="0"/>
            </w:tcBorders>
            <w:vAlign w:val="center"/>
          </w:tcPr>
          <w:p w14:paraId="54F256E1">
            <w:pPr>
              <w:widowControl/>
              <w:spacing w:line="0" w:lineRule="atLeast"/>
              <w:ind w:left="-99" w:leftChars="-47" w:right="-84" w:rightChars="-40" w:firstLine="12" w:firstLineChars="7"/>
              <w:jc w:val="center"/>
              <w:rPr>
                <w:kern w:val="0"/>
                <w:sz w:val="18"/>
                <w:szCs w:val="18"/>
              </w:rPr>
            </w:pPr>
            <w:r>
              <w:rPr>
                <w:rFonts w:hint="eastAsia"/>
                <w:kern w:val="0"/>
                <w:sz w:val="18"/>
                <w:szCs w:val="18"/>
              </w:rPr>
              <w:t>3552</w:t>
            </w:r>
          </w:p>
        </w:tc>
        <w:tc>
          <w:tcPr>
            <w:tcW w:w="170" w:type="pct"/>
            <w:tcBorders>
              <w:top w:val="single" w:color="auto" w:sz="4" w:space="0"/>
              <w:left w:val="single" w:color="auto" w:sz="4" w:space="0"/>
              <w:bottom w:val="single" w:color="auto" w:sz="4" w:space="0"/>
              <w:right w:val="single" w:color="auto" w:sz="4" w:space="0"/>
            </w:tcBorders>
            <w:noWrap/>
            <w:vAlign w:val="center"/>
          </w:tcPr>
          <w:p w14:paraId="6FFBCEE6">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vAlign w:val="center"/>
          </w:tcPr>
          <w:p w14:paraId="2A3D539A">
            <w:pPr>
              <w:widowControl/>
              <w:spacing w:line="0" w:lineRule="atLeast"/>
              <w:ind w:left="-99" w:leftChars="-47" w:right="-84" w:rightChars="-40" w:firstLine="12" w:firstLineChars="7"/>
              <w:jc w:val="center"/>
              <w:rPr>
                <w:kern w:val="0"/>
                <w:sz w:val="18"/>
                <w:szCs w:val="18"/>
              </w:rPr>
            </w:pPr>
            <w:r>
              <w:rPr>
                <w:kern w:val="0"/>
                <w:sz w:val="18"/>
                <w:szCs w:val="18"/>
              </w:rPr>
              <w:t>126</w:t>
            </w:r>
          </w:p>
        </w:tc>
        <w:tc>
          <w:tcPr>
            <w:tcW w:w="171" w:type="pct"/>
            <w:tcBorders>
              <w:top w:val="single" w:color="auto" w:sz="4" w:space="0"/>
              <w:left w:val="single" w:color="auto" w:sz="4" w:space="0"/>
              <w:bottom w:val="single" w:color="auto" w:sz="4" w:space="0"/>
              <w:right w:val="single" w:color="auto" w:sz="4" w:space="0"/>
            </w:tcBorders>
            <w:vAlign w:val="center"/>
          </w:tcPr>
          <w:p w14:paraId="0DBD1324">
            <w:pPr>
              <w:widowControl/>
              <w:spacing w:line="0" w:lineRule="atLeast"/>
              <w:ind w:left="-99" w:leftChars="-47" w:right="-84" w:rightChars="-40" w:firstLine="13" w:firstLineChars="7"/>
              <w:jc w:val="center"/>
              <w:rPr>
                <w:b/>
                <w:bCs/>
                <w:kern w:val="0"/>
                <w:sz w:val="18"/>
                <w:szCs w:val="18"/>
              </w:rPr>
            </w:pPr>
            <w:r>
              <w:rPr>
                <w:b/>
                <w:bCs/>
                <w:kern w:val="0"/>
                <w:sz w:val="18"/>
                <w:szCs w:val="18"/>
              </w:rPr>
              <w:t>826</w:t>
            </w:r>
          </w:p>
        </w:tc>
        <w:tc>
          <w:tcPr>
            <w:tcW w:w="170" w:type="pct"/>
            <w:tcBorders>
              <w:top w:val="single" w:color="auto" w:sz="4" w:space="0"/>
              <w:left w:val="single" w:color="auto" w:sz="4" w:space="0"/>
              <w:bottom w:val="single" w:color="auto" w:sz="4" w:space="0"/>
              <w:right w:val="single" w:color="auto" w:sz="4" w:space="0"/>
            </w:tcBorders>
            <w:vAlign w:val="center"/>
          </w:tcPr>
          <w:p w14:paraId="2993F78A">
            <w:pPr>
              <w:widowControl/>
              <w:spacing w:line="0" w:lineRule="atLeast"/>
              <w:ind w:left="-99" w:leftChars="-47" w:right="-84" w:rightChars="-40" w:firstLine="12" w:firstLineChars="7"/>
              <w:jc w:val="center"/>
              <w:rPr>
                <w:b/>
                <w:bCs/>
                <w:kern w:val="0"/>
                <w:sz w:val="18"/>
                <w:szCs w:val="18"/>
              </w:rPr>
            </w:pPr>
            <w:r>
              <w:rPr>
                <w:kern w:val="0"/>
                <w:sz w:val="18"/>
                <w:szCs w:val="18"/>
              </w:rPr>
              <w:t>826</w:t>
            </w:r>
          </w:p>
        </w:tc>
        <w:tc>
          <w:tcPr>
            <w:tcW w:w="127" w:type="pct"/>
            <w:tcBorders>
              <w:top w:val="single" w:color="auto" w:sz="4" w:space="0"/>
              <w:left w:val="single" w:color="auto" w:sz="4" w:space="0"/>
              <w:bottom w:val="single" w:color="auto" w:sz="4" w:space="0"/>
              <w:right w:val="single" w:color="auto" w:sz="4" w:space="0"/>
            </w:tcBorders>
            <w:vAlign w:val="center"/>
          </w:tcPr>
          <w:p w14:paraId="2C8C2A19">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1837C711">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2EDCA3AE">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86" w:type="pct"/>
            <w:tcBorders>
              <w:top w:val="single" w:color="auto" w:sz="4" w:space="0"/>
              <w:left w:val="single" w:color="auto" w:sz="4" w:space="0"/>
              <w:bottom w:val="single" w:color="auto" w:sz="4" w:space="0"/>
              <w:right w:val="single" w:color="auto" w:sz="4" w:space="0"/>
            </w:tcBorders>
            <w:vAlign w:val="center"/>
          </w:tcPr>
          <w:p w14:paraId="61800F25">
            <w:pPr>
              <w:widowControl/>
              <w:spacing w:line="0" w:lineRule="atLeast"/>
              <w:ind w:left="-99" w:leftChars="-47" w:right="-84" w:rightChars="-40" w:firstLine="13" w:firstLineChars="7"/>
              <w:jc w:val="center"/>
              <w:rPr>
                <w:b/>
                <w:bCs/>
                <w:kern w:val="0"/>
                <w:sz w:val="18"/>
                <w:szCs w:val="18"/>
              </w:rPr>
            </w:pPr>
            <w:r>
              <w:rPr>
                <w:b/>
                <w:bCs/>
                <w:kern w:val="0"/>
                <w:sz w:val="18"/>
                <w:szCs w:val="18"/>
              </w:rPr>
              <w:t>104516</w:t>
            </w:r>
          </w:p>
        </w:tc>
        <w:tc>
          <w:tcPr>
            <w:tcW w:w="162" w:type="pct"/>
            <w:tcBorders>
              <w:top w:val="single" w:color="auto" w:sz="4" w:space="0"/>
              <w:left w:val="single" w:color="auto" w:sz="4" w:space="0"/>
              <w:bottom w:val="single" w:color="auto" w:sz="4" w:space="0"/>
              <w:right w:val="single" w:color="auto" w:sz="4" w:space="0"/>
            </w:tcBorders>
            <w:noWrap/>
            <w:vAlign w:val="center"/>
          </w:tcPr>
          <w:p w14:paraId="08D1DC7B">
            <w:pPr>
              <w:widowControl/>
              <w:spacing w:line="0" w:lineRule="atLeast"/>
              <w:ind w:left="-99" w:leftChars="-47" w:right="-84" w:rightChars="-40" w:firstLine="12" w:firstLineChars="7"/>
              <w:jc w:val="center"/>
              <w:rPr>
                <w:kern w:val="0"/>
                <w:sz w:val="18"/>
                <w:szCs w:val="18"/>
              </w:rPr>
            </w:pPr>
            <w:r>
              <w:rPr>
                <w:kern w:val="0"/>
                <w:sz w:val="18"/>
                <w:szCs w:val="18"/>
              </w:rPr>
              <w:t>84308</w:t>
            </w:r>
          </w:p>
        </w:tc>
        <w:tc>
          <w:tcPr>
            <w:tcW w:w="165" w:type="pct"/>
            <w:tcBorders>
              <w:top w:val="single" w:color="auto" w:sz="4" w:space="0"/>
              <w:left w:val="single" w:color="auto" w:sz="4" w:space="0"/>
              <w:bottom w:val="single" w:color="auto" w:sz="4" w:space="0"/>
              <w:right w:val="single" w:color="auto" w:sz="4" w:space="0"/>
            </w:tcBorders>
            <w:noWrap/>
            <w:vAlign w:val="center"/>
          </w:tcPr>
          <w:p w14:paraId="76040C95">
            <w:pPr>
              <w:widowControl/>
              <w:spacing w:line="0" w:lineRule="atLeast"/>
              <w:ind w:left="-99" w:leftChars="-47" w:right="-84" w:rightChars="-40" w:firstLine="12" w:firstLineChars="7"/>
              <w:jc w:val="center"/>
              <w:rPr>
                <w:kern w:val="0"/>
                <w:sz w:val="18"/>
                <w:szCs w:val="18"/>
              </w:rPr>
            </w:pPr>
            <w:r>
              <w:rPr>
                <w:kern w:val="0"/>
                <w:sz w:val="18"/>
                <w:szCs w:val="18"/>
              </w:rPr>
              <w:t>17677</w:t>
            </w:r>
          </w:p>
        </w:tc>
        <w:tc>
          <w:tcPr>
            <w:tcW w:w="165" w:type="pct"/>
            <w:tcBorders>
              <w:top w:val="single" w:color="auto" w:sz="4" w:space="0"/>
              <w:left w:val="single" w:color="auto" w:sz="4" w:space="0"/>
              <w:bottom w:val="single" w:color="auto" w:sz="4" w:space="0"/>
              <w:right w:val="single" w:color="auto" w:sz="4" w:space="0"/>
            </w:tcBorders>
            <w:noWrap/>
            <w:vAlign w:val="center"/>
          </w:tcPr>
          <w:p w14:paraId="1463AF49">
            <w:pPr>
              <w:widowControl/>
              <w:spacing w:line="0" w:lineRule="atLeast"/>
              <w:ind w:left="-99" w:leftChars="-47" w:right="-84" w:rightChars="-40" w:firstLine="12" w:firstLineChars="7"/>
              <w:jc w:val="center"/>
              <w:rPr>
                <w:kern w:val="0"/>
                <w:sz w:val="18"/>
                <w:szCs w:val="18"/>
              </w:rPr>
            </w:pPr>
            <w:r>
              <w:rPr>
                <w:kern w:val="0"/>
                <w:sz w:val="18"/>
                <w:szCs w:val="18"/>
              </w:rPr>
              <w:t>704</w:t>
            </w:r>
          </w:p>
        </w:tc>
        <w:tc>
          <w:tcPr>
            <w:tcW w:w="175" w:type="pct"/>
            <w:tcBorders>
              <w:top w:val="single" w:color="auto" w:sz="4" w:space="0"/>
              <w:left w:val="single" w:color="auto" w:sz="4" w:space="0"/>
              <w:bottom w:val="single" w:color="auto" w:sz="4" w:space="0"/>
              <w:right w:val="single" w:color="auto" w:sz="4" w:space="0"/>
            </w:tcBorders>
            <w:noWrap/>
            <w:vAlign w:val="center"/>
          </w:tcPr>
          <w:p w14:paraId="4F484070">
            <w:pPr>
              <w:widowControl/>
              <w:spacing w:line="0" w:lineRule="atLeast"/>
              <w:ind w:left="-99" w:leftChars="-47" w:right="-84" w:rightChars="-40" w:firstLine="12" w:firstLineChars="7"/>
              <w:jc w:val="center"/>
              <w:rPr>
                <w:kern w:val="0"/>
                <w:sz w:val="18"/>
                <w:szCs w:val="18"/>
              </w:rPr>
            </w:pPr>
            <w:r>
              <w:rPr>
                <w:kern w:val="0"/>
                <w:sz w:val="18"/>
                <w:szCs w:val="18"/>
              </w:rPr>
              <w:t>835</w:t>
            </w:r>
          </w:p>
        </w:tc>
        <w:tc>
          <w:tcPr>
            <w:tcW w:w="187" w:type="pct"/>
            <w:tcBorders>
              <w:top w:val="single" w:color="auto" w:sz="4" w:space="0"/>
              <w:left w:val="single" w:color="auto" w:sz="4" w:space="0"/>
              <w:bottom w:val="single" w:color="auto" w:sz="4" w:space="0"/>
              <w:right w:val="single" w:color="auto" w:sz="4" w:space="0"/>
            </w:tcBorders>
            <w:noWrap/>
            <w:vAlign w:val="center"/>
          </w:tcPr>
          <w:p w14:paraId="21DCD604">
            <w:pPr>
              <w:widowControl/>
              <w:spacing w:line="0" w:lineRule="atLeast"/>
              <w:ind w:left="-99" w:leftChars="-47" w:right="-84" w:rightChars="-40" w:firstLine="12" w:firstLineChars="7"/>
              <w:jc w:val="center"/>
              <w:rPr>
                <w:kern w:val="0"/>
                <w:sz w:val="18"/>
                <w:szCs w:val="18"/>
              </w:rPr>
            </w:pPr>
            <w:r>
              <w:rPr>
                <w:kern w:val="0"/>
                <w:sz w:val="18"/>
                <w:szCs w:val="18"/>
              </w:rPr>
              <w:t>992</w:t>
            </w:r>
          </w:p>
        </w:tc>
        <w:tc>
          <w:tcPr>
            <w:tcW w:w="173" w:type="pct"/>
            <w:tcBorders>
              <w:top w:val="single" w:color="auto" w:sz="4" w:space="0"/>
              <w:left w:val="single" w:color="auto" w:sz="4" w:space="0"/>
              <w:bottom w:val="single" w:color="auto" w:sz="4" w:space="0"/>
              <w:right w:val="single" w:color="auto" w:sz="4" w:space="0"/>
            </w:tcBorders>
            <w:vAlign w:val="center"/>
          </w:tcPr>
          <w:p w14:paraId="300B1C50">
            <w:pPr>
              <w:widowControl/>
              <w:spacing w:line="0" w:lineRule="atLeast"/>
              <w:ind w:left="-99" w:leftChars="-47" w:right="-84" w:rightChars="-40" w:firstLine="13" w:firstLineChars="7"/>
              <w:jc w:val="center"/>
              <w:rPr>
                <w:b/>
                <w:bCs/>
                <w:kern w:val="0"/>
                <w:sz w:val="18"/>
                <w:szCs w:val="18"/>
              </w:rPr>
            </w:pPr>
            <w:r>
              <w:rPr>
                <w:b/>
                <w:bCs/>
                <w:kern w:val="0"/>
                <w:sz w:val="18"/>
                <w:szCs w:val="18"/>
              </w:rPr>
              <w:t>2713</w:t>
            </w:r>
          </w:p>
        </w:tc>
        <w:tc>
          <w:tcPr>
            <w:tcW w:w="127" w:type="pct"/>
            <w:tcBorders>
              <w:top w:val="single" w:color="auto" w:sz="4" w:space="0"/>
              <w:left w:val="single" w:color="auto" w:sz="4" w:space="0"/>
              <w:bottom w:val="single" w:color="auto" w:sz="4" w:space="0"/>
              <w:right w:val="single" w:color="auto" w:sz="4" w:space="0"/>
            </w:tcBorders>
            <w:vAlign w:val="center"/>
          </w:tcPr>
          <w:p w14:paraId="354A0021">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72F3CE5F">
            <w:pPr>
              <w:widowControl/>
              <w:spacing w:line="0" w:lineRule="atLeast"/>
              <w:ind w:left="-99" w:leftChars="-47" w:right="-84" w:rightChars="-40" w:firstLine="12" w:firstLineChars="7"/>
              <w:jc w:val="center"/>
              <w:rPr>
                <w:b/>
                <w:bCs/>
                <w:kern w:val="0"/>
                <w:sz w:val="18"/>
                <w:szCs w:val="18"/>
              </w:rPr>
            </w:pPr>
            <w:r>
              <w:rPr>
                <w:kern w:val="0"/>
                <w:sz w:val="18"/>
                <w:szCs w:val="18"/>
              </w:rPr>
              <w:t>2713</w:t>
            </w:r>
          </w:p>
        </w:tc>
        <w:tc>
          <w:tcPr>
            <w:tcW w:w="127" w:type="pct"/>
            <w:tcBorders>
              <w:top w:val="single" w:color="auto" w:sz="4" w:space="0"/>
              <w:left w:val="single" w:color="auto" w:sz="4" w:space="0"/>
              <w:bottom w:val="single" w:color="auto" w:sz="4" w:space="0"/>
              <w:right w:val="single" w:color="auto" w:sz="4" w:space="0"/>
            </w:tcBorders>
            <w:noWrap/>
            <w:vAlign w:val="center"/>
          </w:tcPr>
          <w:p w14:paraId="0E41114B">
            <w:pPr>
              <w:widowControl/>
              <w:spacing w:line="0" w:lineRule="atLeast"/>
              <w:ind w:left="-99" w:leftChars="-47" w:right="-84" w:rightChars="-40" w:firstLine="13" w:firstLineChars="7"/>
              <w:jc w:val="center"/>
              <w:rPr>
                <w:b/>
                <w:bCs/>
                <w:kern w:val="0"/>
                <w:sz w:val="18"/>
                <w:szCs w:val="18"/>
              </w:rPr>
            </w:pPr>
            <w:r>
              <w:rPr>
                <w:b/>
                <w:bCs/>
                <w:kern w:val="0"/>
                <w:sz w:val="18"/>
                <w:szCs w:val="18"/>
              </w:rPr>
              <w:t>219</w:t>
            </w:r>
          </w:p>
        </w:tc>
        <w:tc>
          <w:tcPr>
            <w:tcW w:w="127" w:type="pct"/>
            <w:tcBorders>
              <w:top w:val="single" w:color="auto" w:sz="4" w:space="0"/>
              <w:left w:val="single" w:color="auto" w:sz="4" w:space="0"/>
              <w:bottom w:val="single" w:color="auto" w:sz="4" w:space="0"/>
              <w:right w:val="single" w:color="auto" w:sz="4" w:space="0"/>
            </w:tcBorders>
            <w:noWrap/>
            <w:vAlign w:val="center"/>
          </w:tcPr>
          <w:p w14:paraId="71412A9B">
            <w:pPr>
              <w:widowControl/>
              <w:spacing w:line="0" w:lineRule="atLeast"/>
              <w:ind w:left="-99" w:leftChars="-47" w:right="-84" w:rightChars="-40" w:firstLine="12" w:firstLineChars="7"/>
              <w:jc w:val="center"/>
              <w:rPr>
                <w:kern w:val="0"/>
                <w:sz w:val="18"/>
                <w:szCs w:val="18"/>
              </w:rPr>
            </w:pPr>
            <w:r>
              <w:rPr>
                <w:kern w:val="0"/>
                <w:sz w:val="18"/>
                <w:szCs w:val="18"/>
              </w:rPr>
              <w:t>219</w:t>
            </w:r>
          </w:p>
        </w:tc>
        <w:tc>
          <w:tcPr>
            <w:tcW w:w="159" w:type="pct"/>
            <w:tcBorders>
              <w:top w:val="single" w:color="auto" w:sz="4" w:space="0"/>
              <w:left w:val="single" w:color="auto" w:sz="4" w:space="0"/>
              <w:bottom w:val="single" w:color="auto" w:sz="4" w:space="0"/>
              <w:right w:val="single" w:color="auto" w:sz="4" w:space="0"/>
            </w:tcBorders>
            <w:vAlign w:val="center"/>
          </w:tcPr>
          <w:p w14:paraId="6C0C7DA2">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363C9D79">
            <w:pPr>
              <w:widowControl/>
              <w:spacing w:line="0" w:lineRule="atLeast"/>
              <w:ind w:left="-99" w:leftChars="-47" w:right="-84" w:rightChars="-40" w:firstLine="12" w:firstLineChars="7"/>
              <w:jc w:val="center"/>
              <w:rPr>
                <w:kern w:val="0"/>
                <w:sz w:val="18"/>
                <w:szCs w:val="18"/>
              </w:rPr>
            </w:pPr>
            <w:r>
              <w:rPr>
                <w:kern w:val="0"/>
                <w:sz w:val="18"/>
                <w:szCs w:val="18"/>
              </w:rPr>
              <w:t>—</w:t>
            </w:r>
          </w:p>
        </w:tc>
      </w:tr>
      <w:tr w14:paraId="3BE0A1FB">
        <w:tblPrEx>
          <w:tblCellMar>
            <w:top w:w="0" w:type="dxa"/>
            <w:left w:w="108" w:type="dxa"/>
            <w:bottom w:w="0" w:type="dxa"/>
            <w:right w:w="108" w:type="dxa"/>
          </w:tblCellMar>
        </w:tblPrEx>
        <w:trPr>
          <w:trHeight w:val="680" w:hRule="atLeast"/>
        </w:trPr>
        <w:tc>
          <w:tcPr>
            <w:tcW w:w="159" w:type="pct"/>
            <w:vMerge w:val="restart"/>
            <w:tcBorders>
              <w:top w:val="single" w:color="auto" w:sz="4" w:space="0"/>
              <w:left w:val="single" w:color="auto" w:sz="4" w:space="0"/>
              <w:bottom w:val="single" w:color="auto" w:sz="4" w:space="0"/>
              <w:right w:val="single" w:color="auto" w:sz="4" w:space="0"/>
            </w:tcBorders>
            <w:noWrap/>
            <w:vAlign w:val="center"/>
          </w:tcPr>
          <w:p w14:paraId="05B368DB">
            <w:pPr>
              <w:widowControl/>
              <w:spacing w:line="0" w:lineRule="atLeast"/>
              <w:ind w:left="-99" w:leftChars="-47" w:right="-84" w:rightChars="-40" w:firstLine="13" w:firstLineChars="7"/>
              <w:jc w:val="center"/>
              <w:rPr>
                <w:b/>
                <w:bCs/>
                <w:kern w:val="0"/>
                <w:sz w:val="18"/>
                <w:szCs w:val="18"/>
              </w:rPr>
            </w:pPr>
            <w:r>
              <w:rPr>
                <w:b/>
                <w:bCs/>
                <w:kern w:val="0"/>
                <w:sz w:val="18"/>
                <w:szCs w:val="18"/>
              </w:rPr>
              <w:t>育才</w:t>
            </w:r>
          </w:p>
          <w:p w14:paraId="4ECA537A">
            <w:pPr>
              <w:widowControl/>
              <w:spacing w:line="0" w:lineRule="atLeast"/>
              <w:ind w:left="-99" w:leftChars="-47" w:right="-84" w:rightChars="-40" w:firstLine="13" w:firstLineChars="7"/>
              <w:jc w:val="center"/>
              <w:rPr>
                <w:b/>
                <w:bCs/>
                <w:kern w:val="0"/>
                <w:sz w:val="18"/>
                <w:szCs w:val="18"/>
              </w:rPr>
            </w:pPr>
            <w:r>
              <w:rPr>
                <w:b/>
                <w:bCs/>
                <w:kern w:val="0"/>
                <w:sz w:val="18"/>
                <w:szCs w:val="18"/>
              </w:rPr>
              <w:t>生态区</w:t>
            </w:r>
          </w:p>
        </w:tc>
        <w:tc>
          <w:tcPr>
            <w:tcW w:w="237" w:type="pct"/>
            <w:tcBorders>
              <w:top w:val="single" w:color="auto" w:sz="4" w:space="0"/>
              <w:left w:val="single" w:color="auto" w:sz="4" w:space="0"/>
              <w:bottom w:val="single" w:color="auto" w:sz="4" w:space="0"/>
              <w:right w:val="single" w:color="auto" w:sz="4" w:space="0"/>
            </w:tcBorders>
            <w:vAlign w:val="center"/>
          </w:tcPr>
          <w:p w14:paraId="42F158D2">
            <w:pPr>
              <w:widowControl/>
              <w:spacing w:line="0" w:lineRule="atLeast"/>
              <w:ind w:left="-99" w:leftChars="-47" w:right="-84" w:rightChars="-40" w:firstLine="13" w:firstLineChars="7"/>
              <w:jc w:val="center"/>
              <w:rPr>
                <w:b/>
                <w:bCs/>
                <w:kern w:val="0"/>
                <w:sz w:val="18"/>
                <w:szCs w:val="18"/>
              </w:rPr>
            </w:pPr>
            <w:r>
              <w:rPr>
                <w:b/>
                <w:bCs/>
                <w:kern w:val="0"/>
                <w:sz w:val="18"/>
                <w:szCs w:val="18"/>
              </w:rPr>
              <w:t>生产规模</w:t>
            </w:r>
          </w:p>
        </w:tc>
        <w:tc>
          <w:tcPr>
            <w:tcW w:w="205" w:type="pct"/>
            <w:tcBorders>
              <w:top w:val="single" w:color="auto" w:sz="4" w:space="0"/>
              <w:left w:val="single" w:color="auto" w:sz="4" w:space="0"/>
              <w:bottom w:val="single" w:color="auto" w:sz="4" w:space="0"/>
              <w:right w:val="single" w:color="auto" w:sz="4" w:space="0"/>
            </w:tcBorders>
            <w:vAlign w:val="center"/>
          </w:tcPr>
          <w:p w14:paraId="3FE9408A">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16946</w:t>
            </w:r>
          </w:p>
        </w:tc>
        <w:tc>
          <w:tcPr>
            <w:tcW w:w="133" w:type="pct"/>
            <w:tcBorders>
              <w:top w:val="single" w:color="auto" w:sz="4" w:space="0"/>
              <w:left w:val="single" w:color="auto" w:sz="4" w:space="0"/>
              <w:bottom w:val="single" w:color="auto" w:sz="4" w:space="0"/>
              <w:right w:val="single" w:color="auto" w:sz="4" w:space="0"/>
            </w:tcBorders>
            <w:vAlign w:val="center"/>
          </w:tcPr>
          <w:p w14:paraId="725DB636">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10242BC8">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56B05C5D">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4" w:type="pct"/>
            <w:tcBorders>
              <w:top w:val="single" w:color="auto" w:sz="4" w:space="0"/>
              <w:left w:val="single" w:color="auto" w:sz="4" w:space="0"/>
              <w:bottom w:val="single" w:color="auto" w:sz="4" w:space="0"/>
              <w:right w:val="single" w:color="auto" w:sz="4" w:space="0"/>
            </w:tcBorders>
            <w:vAlign w:val="center"/>
          </w:tcPr>
          <w:p w14:paraId="46D44B47">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5958C76C">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3DE751E7">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5.1</w:t>
            </w:r>
          </w:p>
        </w:tc>
        <w:tc>
          <w:tcPr>
            <w:tcW w:w="130" w:type="pct"/>
            <w:tcBorders>
              <w:top w:val="single" w:color="auto" w:sz="4" w:space="0"/>
              <w:left w:val="single" w:color="auto" w:sz="4" w:space="0"/>
              <w:bottom w:val="single" w:color="auto" w:sz="4" w:space="0"/>
              <w:right w:val="single" w:color="auto" w:sz="4" w:space="0"/>
            </w:tcBorders>
            <w:vAlign w:val="center"/>
          </w:tcPr>
          <w:p w14:paraId="6E3DD252">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54BA97F6">
            <w:pPr>
              <w:widowControl/>
              <w:spacing w:line="0" w:lineRule="atLeast"/>
              <w:ind w:left="-99" w:leftChars="-47" w:right="-84" w:rightChars="-40" w:firstLine="12" w:firstLineChars="7"/>
              <w:jc w:val="center"/>
              <w:rPr>
                <w:kern w:val="0"/>
                <w:sz w:val="18"/>
                <w:szCs w:val="18"/>
              </w:rPr>
            </w:pPr>
            <w:r>
              <w:rPr>
                <w:rFonts w:hint="eastAsia"/>
                <w:kern w:val="0"/>
                <w:sz w:val="18"/>
                <w:szCs w:val="18"/>
              </w:rPr>
              <w:t>5.1</w:t>
            </w:r>
          </w:p>
        </w:tc>
        <w:tc>
          <w:tcPr>
            <w:tcW w:w="168" w:type="pct"/>
            <w:tcBorders>
              <w:top w:val="single" w:color="auto" w:sz="4" w:space="0"/>
              <w:left w:val="single" w:color="auto" w:sz="4" w:space="0"/>
              <w:bottom w:val="single" w:color="auto" w:sz="4" w:space="0"/>
              <w:right w:val="single" w:color="auto" w:sz="4" w:space="0"/>
            </w:tcBorders>
            <w:vAlign w:val="center"/>
          </w:tcPr>
          <w:p w14:paraId="1564A218">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noWrap/>
            <w:vAlign w:val="center"/>
          </w:tcPr>
          <w:p w14:paraId="50AB3182">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noWrap/>
            <w:vAlign w:val="center"/>
          </w:tcPr>
          <w:p w14:paraId="52972A4F">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1" w:type="pct"/>
            <w:tcBorders>
              <w:top w:val="single" w:color="auto" w:sz="4" w:space="0"/>
              <w:left w:val="single" w:color="auto" w:sz="4" w:space="0"/>
              <w:bottom w:val="single" w:color="auto" w:sz="4" w:space="0"/>
              <w:right w:val="single" w:color="auto" w:sz="4" w:space="0"/>
            </w:tcBorders>
            <w:vAlign w:val="center"/>
          </w:tcPr>
          <w:p w14:paraId="0C3EE9A0">
            <w:pPr>
              <w:widowControl/>
              <w:spacing w:line="0" w:lineRule="atLeast"/>
              <w:ind w:left="-99" w:leftChars="-47" w:right="-84" w:rightChars="-40" w:firstLine="13" w:firstLineChars="7"/>
              <w:jc w:val="center"/>
              <w:rPr>
                <w:b/>
                <w:bCs/>
                <w:kern w:val="0"/>
                <w:sz w:val="18"/>
                <w:szCs w:val="18"/>
              </w:rPr>
            </w:pPr>
            <w:r>
              <w:rPr>
                <w:b/>
                <w:bCs/>
                <w:kern w:val="0"/>
                <w:sz w:val="18"/>
                <w:szCs w:val="18"/>
              </w:rPr>
              <w:t>1348</w:t>
            </w:r>
          </w:p>
        </w:tc>
        <w:tc>
          <w:tcPr>
            <w:tcW w:w="170" w:type="pct"/>
            <w:tcBorders>
              <w:top w:val="single" w:color="auto" w:sz="4" w:space="0"/>
              <w:left w:val="single" w:color="auto" w:sz="4" w:space="0"/>
              <w:bottom w:val="single" w:color="auto" w:sz="4" w:space="0"/>
              <w:right w:val="single" w:color="auto" w:sz="4" w:space="0"/>
            </w:tcBorders>
            <w:vAlign w:val="center"/>
          </w:tcPr>
          <w:p w14:paraId="64955931">
            <w:pPr>
              <w:widowControl/>
              <w:spacing w:line="0" w:lineRule="atLeast"/>
              <w:ind w:left="-99" w:leftChars="-47" w:right="-84" w:rightChars="-40" w:firstLine="12" w:firstLineChars="7"/>
              <w:jc w:val="center"/>
              <w:rPr>
                <w:b/>
                <w:bCs/>
                <w:kern w:val="0"/>
                <w:sz w:val="18"/>
                <w:szCs w:val="18"/>
              </w:rPr>
            </w:pPr>
            <w:r>
              <w:rPr>
                <w:kern w:val="0"/>
                <w:sz w:val="18"/>
                <w:szCs w:val="18"/>
              </w:rPr>
              <w:t>417</w:t>
            </w:r>
          </w:p>
        </w:tc>
        <w:tc>
          <w:tcPr>
            <w:tcW w:w="127" w:type="pct"/>
            <w:tcBorders>
              <w:top w:val="single" w:color="auto" w:sz="4" w:space="0"/>
              <w:left w:val="single" w:color="auto" w:sz="4" w:space="0"/>
              <w:bottom w:val="single" w:color="auto" w:sz="4" w:space="0"/>
              <w:right w:val="single" w:color="auto" w:sz="4" w:space="0"/>
            </w:tcBorders>
            <w:vAlign w:val="center"/>
          </w:tcPr>
          <w:p w14:paraId="508BA43C">
            <w:pPr>
              <w:widowControl/>
              <w:spacing w:line="0" w:lineRule="atLeast"/>
              <w:ind w:left="-99" w:leftChars="-47" w:right="-84" w:rightChars="-40" w:firstLine="12" w:firstLineChars="7"/>
              <w:jc w:val="center"/>
              <w:rPr>
                <w:b/>
                <w:bCs/>
                <w:kern w:val="0"/>
                <w:sz w:val="18"/>
                <w:szCs w:val="18"/>
              </w:rPr>
            </w:pPr>
            <w:r>
              <w:rPr>
                <w:kern w:val="0"/>
                <w:sz w:val="18"/>
                <w:szCs w:val="18"/>
              </w:rPr>
              <w:t>867</w:t>
            </w:r>
          </w:p>
        </w:tc>
        <w:tc>
          <w:tcPr>
            <w:tcW w:w="127" w:type="pct"/>
            <w:tcBorders>
              <w:top w:val="single" w:color="auto" w:sz="4" w:space="0"/>
              <w:left w:val="single" w:color="auto" w:sz="4" w:space="0"/>
              <w:bottom w:val="single" w:color="auto" w:sz="4" w:space="0"/>
              <w:right w:val="single" w:color="auto" w:sz="4" w:space="0"/>
            </w:tcBorders>
            <w:vAlign w:val="center"/>
          </w:tcPr>
          <w:p w14:paraId="1828802B">
            <w:pPr>
              <w:widowControl/>
              <w:spacing w:line="0" w:lineRule="atLeast"/>
              <w:ind w:left="-99" w:leftChars="-47" w:right="-84" w:rightChars="-40" w:firstLine="12" w:firstLineChars="7"/>
              <w:jc w:val="center"/>
              <w:rPr>
                <w:b/>
                <w:bCs/>
                <w:kern w:val="0"/>
                <w:sz w:val="18"/>
                <w:szCs w:val="18"/>
              </w:rPr>
            </w:pPr>
            <w:r>
              <w:rPr>
                <w:kern w:val="0"/>
                <w:sz w:val="18"/>
                <w:szCs w:val="18"/>
              </w:rPr>
              <w:t>54</w:t>
            </w:r>
          </w:p>
        </w:tc>
        <w:tc>
          <w:tcPr>
            <w:tcW w:w="132" w:type="pct"/>
            <w:tcBorders>
              <w:top w:val="single" w:color="auto" w:sz="4" w:space="0"/>
              <w:left w:val="single" w:color="auto" w:sz="4" w:space="0"/>
              <w:bottom w:val="single" w:color="auto" w:sz="4" w:space="0"/>
              <w:right w:val="single" w:color="auto" w:sz="4" w:space="0"/>
            </w:tcBorders>
            <w:vAlign w:val="center"/>
          </w:tcPr>
          <w:p w14:paraId="64C9BA73">
            <w:pPr>
              <w:widowControl/>
              <w:spacing w:line="0" w:lineRule="atLeast"/>
              <w:ind w:left="-99" w:leftChars="-47" w:right="-84" w:rightChars="-40" w:firstLine="12" w:firstLineChars="7"/>
              <w:jc w:val="center"/>
              <w:rPr>
                <w:b/>
                <w:bCs/>
                <w:kern w:val="0"/>
                <w:sz w:val="18"/>
                <w:szCs w:val="18"/>
              </w:rPr>
            </w:pPr>
            <w:r>
              <w:rPr>
                <w:kern w:val="0"/>
                <w:sz w:val="18"/>
                <w:szCs w:val="18"/>
              </w:rPr>
              <w:t>10</w:t>
            </w:r>
          </w:p>
        </w:tc>
        <w:tc>
          <w:tcPr>
            <w:tcW w:w="186" w:type="pct"/>
            <w:tcBorders>
              <w:top w:val="single" w:color="auto" w:sz="4" w:space="0"/>
              <w:left w:val="single" w:color="auto" w:sz="4" w:space="0"/>
              <w:bottom w:val="single" w:color="auto" w:sz="4" w:space="0"/>
              <w:right w:val="single" w:color="auto" w:sz="4" w:space="0"/>
            </w:tcBorders>
            <w:vAlign w:val="center"/>
          </w:tcPr>
          <w:p w14:paraId="2A02BCE6">
            <w:pPr>
              <w:widowControl/>
              <w:spacing w:line="0" w:lineRule="atLeast"/>
              <w:ind w:left="-99" w:leftChars="-47" w:right="-84" w:rightChars="-40" w:firstLine="13" w:firstLineChars="7"/>
              <w:jc w:val="center"/>
              <w:rPr>
                <w:b/>
                <w:bCs/>
                <w:kern w:val="0"/>
                <w:sz w:val="18"/>
                <w:szCs w:val="18"/>
              </w:rPr>
            </w:pPr>
            <w:r>
              <w:rPr>
                <w:b/>
                <w:bCs/>
                <w:kern w:val="0"/>
                <w:sz w:val="18"/>
                <w:szCs w:val="18"/>
              </w:rPr>
              <w:t>15455</w:t>
            </w:r>
          </w:p>
        </w:tc>
        <w:tc>
          <w:tcPr>
            <w:tcW w:w="162" w:type="pct"/>
            <w:tcBorders>
              <w:top w:val="single" w:color="auto" w:sz="4" w:space="0"/>
              <w:left w:val="single" w:color="auto" w:sz="4" w:space="0"/>
              <w:bottom w:val="single" w:color="auto" w:sz="4" w:space="0"/>
              <w:right w:val="single" w:color="auto" w:sz="4" w:space="0"/>
            </w:tcBorders>
            <w:noWrap/>
            <w:vAlign w:val="center"/>
          </w:tcPr>
          <w:p w14:paraId="46158557">
            <w:pPr>
              <w:widowControl/>
              <w:spacing w:line="0" w:lineRule="atLeast"/>
              <w:ind w:left="-99" w:leftChars="-47" w:right="-84" w:rightChars="-40" w:firstLine="12" w:firstLineChars="7"/>
              <w:jc w:val="center"/>
              <w:rPr>
                <w:kern w:val="0"/>
                <w:sz w:val="18"/>
                <w:szCs w:val="18"/>
              </w:rPr>
            </w:pPr>
            <w:r>
              <w:rPr>
                <w:kern w:val="0"/>
                <w:sz w:val="18"/>
                <w:szCs w:val="18"/>
              </w:rPr>
              <w:t>5032</w:t>
            </w:r>
          </w:p>
        </w:tc>
        <w:tc>
          <w:tcPr>
            <w:tcW w:w="165" w:type="pct"/>
            <w:tcBorders>
              <w:top w:val="single" w:color="auto" w:sz="4" w:space="0"/>
              <w:left w:val="single" w:color="auto" w:sz="4" w:space="0"/>
              <w:bottom w:val="single" w:color="auto" w:sz="4" w:space="0"/>
              <w:right w:val="single" w:color="auto" w:sz="4" w:space="0"/>
            </w:tcBorders>
            <w:noWrap/>
            <w:vAlign w:val="center"/>
          </w:tcPr>
          <w:p w14:paraId="42A946E1">
            <w:pPr>
              <w:widowControl/>
              <w:spacing w:line="0" w:lineRule="atLeast"/>
              <w:ind w:left="-99" w:leftChars="-47" w:right="-84" w:rightChars="-40" w:firstLine="12" w:firstLineChars="7"/>
              <w:jc w:val="center"/>
              <w:rPr>
                <w:kern w:val="0"/>
                <w:sz w:val="18"/>
                <w:szCs w:val="18"/>
              </w:rPr>
            </w:pPr>
            <w:r>
              <w:rPr>
                <w:kern w:val="0"/>
                <w:sz w:val="18"/>
                <w:szCs w:val="18"/>
              </w:rPr>
              <w:t>3077</w:t>
            </w:r>
          </w:p>
        </w:tc>
        <w:tc>
          <w:tcPr>
            <w:tcW w:w="165" w:type="pct"/>
            <w:tcBorders>
              <w:top w:val="single" w:color="auto" w:sz="4" w:space="0"/>
              <w:left w:val="single" w:color="auto" w:sz="4" w:space="0"/>
              <w:bottom w:val="single" w:color="auto" w:sz="4" w:space="0"/>
              <w:right w:val="single" w:color="auto" w:sz="4" w:space="0"/>
            </w:tcBorders>
            <w:noWrap/>
            <w:vAlign w:val="center"/>
          </w:tcPr>
          <w:p w14:paraId="7310EB45">
            <w:pPr>
              <w:widowControl/>
              <w:spacing w:line="0" w:lineRule="atLeast"/>
              <w:ind w:left="-99" w:leftChars="-47" w:right="-84" w:rightChars="-40" w:firstLine="12" w:firstLineChars="7"/>
              <w:jc w:val="center"/>
              <w:rPr>
                <w:kern w:val="0"/>
                <w:sz w:val="18"/>
                <w:szCs w:val="18"/>
              </w:rPr>
            </w:pPr>
            <w:r>
              <w:rPr>
                <w:kern w:val="0"/>
                <w:sz w:val="18"/>
                <w:szCs w:val="18"/>
              </w:rPr>
              <w:t>43</w:t>
            </w:r>
          </w:p>
        </w:tc>
        <w:tc>
          <w:tcPr>
            <w:tcW w:w="175" w:type="pct"/>
            <w:tcBorders>
              <w:top w:val="single" w:color="auto" w:sz="4" w:space="0"/>
              <w:left w:val="single" w:color="auto" w:sz="4" w:space="0"/>
              <w:bottom w:val="single" w:color="auto" w:sz="4" w:space="0"/>
              <w:right w:val="single" w:color="auto" w:sz="4" w:space="0"/>
            </w:tcBorders>
            <w:noWrap/>
            <w:vAlign w:val="center"/>
          </w:tcPr>
          <w:p w14:paraId="6B1EA57C">
            <w:pPr>
              <w:widowControl/>
              <w:spacing w:line="0" w:lineRule="atLeast"/>
              <w:ind w:left="-99" w:leftChars="-47" w:right="-84" w:rightChars="-40" w:firstLine="12" w:firstLineChars="7"/>
              <w:jc w:val="center"/>
              <w:rPr>
                <w:kern w:val="0"/>
                <w:sz w:val="18"/>
                <w:szCs w:val="18"/>
              </w:rPr>
            </w:pPr>
            <w:r>
              <w:rPr>
                <w:kern w:val="0"/>
                <w:sz w:val="18"/>
                <w:szCs w:val="18"/>
              </w:rPr>
              <w:t>7049</w:t>
            </w:r>
          </w:p>
        </w:tc>
        <w:tc>
          <w:tcPr>
            <w:tcW w:w="187" w:type="pct"/>
            <w:tcBorders>
              <w:top w:val="single" w:color="auto" w:sz="4" w:space="0"/>
              <w:left w:val="single" w:color="auto" w:sz="4" w:space="0"/>
              <w:bottom w:val="single" w:color="auto" w:sz="4" w:space="0"/>
              <w:right w:val="single" w:color="auto" w:sz="4" w:space="0"/>
            </w:tcBorders>
            <w:noWrap/>
            <w:vAlign w:val="center"/>
          </w:tcPr>
          <w:p w14:paraId="11BF63C9">
            <w:pPr>
              <w:widowControl/>
              <w:spacing w:line="0" w:lineRule="atLeast"/>
              <w:ind w:left="-99" w:leftChars="-47" w:right="-84" w:rightChars="-40" w:firstLine="12" w:firstLineChars="7"/>
              <w:jc w:val="center"/>
              <w:rPr>
                <w:kern w:val="0"/>
                <w:sz w:val="18"/>
                <w:szCs w:val="18"/>
              </w:rPr>
            </w:pPr>
            <w:r>
              <w:rPr>
                <w:kern w:val="0"/>
                <w:sz w:val="18"/>
                <w:szCs w:val="18"/>
              </w:rPr>
              <w:t>254</w:t>
            </w:r>
          </w:p>
        </w:tc>
        <w:tc>
          <w:tcPr>
            <w:tcW w:w="173" w:type="pct"/>
            <w:tcBorders>
              <w:top w:val="single" w:color="auto" w:sz="4" w:space="0"/>
              <w:left w:val="single" w:color="auto" w:sz="4" w:space="0"/>
              <w:bottom w:val="single" w:color="auto" w:sz="4" w:space="0"/>
              <w:right w:val="single" w:color="auto" w:sz="4" w:space="0"/>
            </w:tcBorders>
            <w:vAlign w:val="center"/>
          </w:tcPr>
          <w:p w14:paraId="7663D27C">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160.3</w:t>
            </w:r>
          </w:p>
        </w:tc>
        <w:tc>
          <w:tcPr>
            <w:tcW w:w="127" w:type="pct"/>
            <w:tcBorders>
              <w:top w:val="single" w:color="auto" w:sz="4" w:space="0"/>
              <w:left w:val="single" w:color="auto" w:sz="4" w:space="0"/>
              <w:bottom w:val="single" w:color="auto" w:sz="4" w:space="0"/>
              <w:right w:val="single" w:color="auto" w:sz="4" w:space="0"/>
            </w:tcBorders>
            <w:vAlign w:val="center"/>
          </w:tcPr>
          <w:p w14:paraId="6E8ECF49">
            <w:pPr>
              <w:widowControl/>
              <w:spacing w:line="0" w:lineRule="atLeast"/>
              <w:ind w:left="-99" w:leftChars="-47" w:right="-84" w:rightChars="-40" w:firstLine="12" w:firstLineChars="7"/>
              <w:jc w:val="center"/>
              <w:rPr>
                <w:b/>
                <w:bCs/>
                <w:kern w:val="0"/>
                <w:sz w:val="18"/>
                <w:szCs w:val="18"/>
              </w:rPr>
            </w:pPr>
            <w:r>
              <w:rPr>
                <w:rFonts w:hint="eastAsia"/>
                <w:kern w:val="0"/>
                <w:sz w:val="18"/>
                <w:szCs w:val="18"/>
              </w:rPr>
              <w:t>73.3</w:t>
            </w:r>
          </w:p>
        </w:tc>
        <w:tc>
          <w:tcPr>
            <w:tcW w:w="132" w:type="pct"/>
            <w:tcBorders>
              <w:top w:val="single" w:color="auto" w:sz="4" w:space="0"/>
              <w:left w:val="single" w:color="auto" w:sz="4" w:space="0"/>
              <w:bottom w:val="single" w:color="auto" w:sz="4" w:space="0"/>
              <w:right w:val="single" w:color="auto" w:sz="4" w:space="0"/>
            </w:tcBorders>
            <w:vAlign w:val="center"/>
          </w:tcPr>
          <w:p w14:paraId="77B3279D">
            <w:pPr>
              <w:widowControl/>
              <w:spacing w:line="0" w:lineRule="atLeast"/>
              <w:ind w:left="-99" w:leftChars="-47" w:right="-84" w:rightChars="-40" w:firstLine="12" w:firstLineChars="7"/>
              <w:jc w:val="center"/>
              <w:rPr>
                <w:b/>
                <w:bCs/>
                <w:kern w:val="0"/>
                <w:sz w:val="18"/>
                <w:szCs w:val="18"/>
              </w:rPr>
            </w:pPr>
            <w:r>
              <w:rPr>
                <w:kern w:val="0"/>
                <w:sz w:val="18"/>
                <w:szCs w:val="18"/>
              </w:rPr>
              <w:t>87</w:t>
            </w:r>
          </w:p>
        </w:tc>
        <w:tc>
          <w:tcPr>
            <w:tcW w:w="127" w:type="pct"/>
            <w:tcBorders>
              <w:top w:val="single" w:color="auto" w:sz="4" w:space="0"/>
              <w:left w:val="single" w:color="auto" w:sz="4" w:space="0"/>
              <w:bottom w:val="single" w:color="auto" w:sz="4" w:space="0"/>
              <w:right w:val="single" w:color="auto" w:sz="4" w:space="0"/>
            </w:tcBorders>
            <w:vAlign w:val="center"/>
          </w:tcPr>
          <w:p w14:paraId="2F03BB3B">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3D329063">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59" w:type="pct"/>
            <w:tcBorders>
              <w:top w:val="single" w:color="auto" w:sz="4" w:space="0"/>
              <w:left w:val="single" w:color="auto" w:sz="4" w:space="0"/>
              <w:bottom w:val="single" w:color="auto" w:sz="4" w:space="0"/>
              <w:right w:val="single" w:color="auto" w:sz="4" w:space="0"/>
            </w:tcBorders>
            <w:vAlign w:val="center"/>
          </w:tcPr>
          <w:p w14:paraId="57DA0A84">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62D26103">
            <w:pPr>
              <w:widowControl/>
              <w:spacing w:line="0" w:lineRule="atLeast"/>
              <w:ind w:left="-99" w:leftChars="-47" w:right="-84" w:rightChars="-40" w:firstLine="12" w:firstLineChars="7"/>
              <w:jc w:val="center"/>
              <w:rPr>
                <w:kern w:val="0"/>
                <w:sz w:val="18"/>
                <w:szCs w:val="18"/>
              </w:rPr>
            </w:pPr>
            <w:r>
              <w:rPr>
                <w:kern w:val="0"/>
                <w:sz w:val="18"/>
                <w:szCs w:val="18"/>
              </w:rPr>
              <w:t>—</w:t>
            </w:r>
          </w:p>
        </w:tc>
      </w:tr>
      <w:tr w14:paraId="7EE583DD">
        <w:tblPrEx>
          <w:tblCellMar>
            <w:top w:w="0" w:type="dxa"/>
            <w:left w:w="108" w:type="dxa"/>
            <w:bottom w:w="0" w:type="dxa"/>
            <w:right w:w="108" w:type="dxa"/>
          </w:tblCellMar>
        </w:tblPrEx>
        <w:trPr>
          <w:trHeight w:val="680" w:hRule="atLeast"/>
        </w:trPr>
        <w:tc>
          <w:tcPr>
            <w:tcW w:w="159" w:type="pct"/>
            <w:vMerge w:val="continue"/>
            <w:tcBorders>
              <w:top w:val="single" w:color="auto" w:sz="4" w:space="0"/>
              <w:left w:val="single" w:color="auto" w:sz="4" w:space="0"/>
              <w:bottom w:val="single" w:color="auto" w:sz="4" w:space="0"/>
              <w:right w:val="single" w:color="auto" w:sz="4" w:space="0"/>
            </w:tcBorders>
            <w:vAlign w:val="center"/>
          </w:tcPr>
          <w:p w14:paraId="33B2F79F">
            <w:pPr>
              <w:widowControl/>
              <w:spacing w:line="0" w:lineRule="atLeast"/>
              <w:ind w:left="-99" w:leftChars="-47" w:right="-84" w:rightChars="-40" w:firstLine="13" w:firstLineChars="7"/>
              <w:jc w:val="center"/>
              <w:rPr>
                <w:b/>
                <w:bCs/>
                <w:kern w:val="0"/>
                <w:sz w:val="18"/>
                <w:szCs w:val="18"/>
              </w:rPr>
            </w:pPr>
          </w:p>
        </w:tc>
        <w:tc>
          <w:tcPr>
            <w:tcW w:w="237" w:type="pct"/>
            <w:tcBorders>
              <w:top w:val="single" w:color="auto" w:sz="4" w:space="0"/>
              <w:left w:val="single" w:color="auto" w:sz="4" w:space="0"/>
              <w:bottom w:val="single" w:color="auto" w:sz="4" w:space="0"/>
              <w:right w:val="single" w:color="auto" w:sz="4" w:space="0"/>
            </w:tcBorders>
            <w:vAlign w:val="center"/>
          </w:tcPr>
          <w:p w14:paraId="73D255A4">
            <w:pPr>
              <w:widowControl/>
              <w:spacing w:line="0" w:lineRule="atLeast"/>
              <w:ind w:left="-99" w:leftChars="-47" w:right="-84" w:rightChars="-40" w:firstLine="13" w:firstLineChars="7"/>
              <w:jc w:val="center"/>
              <w:rPr>
                <w:b/>
                <w:bCs/>
                <w:kern w:val="0"/>
                <w:sz w:val="18"/>
                <w:szCs w:val="18"/>
              </w:rPr>
            </w:pPr>
            <w:r>
              <w:rPr>
                <w:b/>
                <w:bCs/>
                <w:kern w:val="0"/>
                <w:sz w:val="18"/>
                <w:szCs w:val="18"/>
              </w:rPr>
              <w:t>产值</w:t>
            </w:r>
            <w:r>
              <w:rPr>
                <w:b/>
                <w:bCs/>
                <w:kern w:val="0"/>
                <w:sz w:val="18"/>
                <w:szCs w:val="18"/>
              </w:rPr>
              <w:br w:type="textWrapping"/>
            </w:r>
            <w:r>
              <w:rPr>
                <w:b/>
                <w:bCs/>
                <w:kern w:val="0"/>
                <w:sz w:val="18"/>
                <w:szCs w:val="18"/>
              </w:rPr>
              <w:t>（万元）</w:t>
            </w:r>
          </w:p>
        </w:tc>
        <w:tc>
          <w:tcPr>
            <w:tcW w:w="205" w:type="pct"/>
            <w:tcBorders>
              <w:top w:val="single" w:color="auto" w:sz="4" w:space="0"/>
              <w:left w:val="single" w:color="auto" w:sz="4" w:space="0"/>
              <w:bottom w:val="single" w:color="auto" w:sz="4" w:space="0"/>
              <w:right w:val="single" w:color="auto" w:sz="4" w:space="0"/>
            </w:tcBorders>
            <w:vAlign w:val="center"/>
          </w:tcPr>
          <w:p w14:paraId="672C6E56">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77630</w:t>
            </w:r>
          </w:p>
        </w:tc>
        <w:tc>
          <w:tcPr>
            <w:tcW w:w="133" w:type="pct"/>
            <w:tcBorders>
              <w:top w:val="single" w:color="auto" w:sz="4" w:space="0"/>
              <w:left w:val="single" w:color="auto" w:sz="4" w:space="0"/>
              <w:bottom w:val="single" w:color="auto" w:sz="4" w:space="0"/>
              <w:right w:val="single" w:color="auto" w:sz="4" w:space="0"/>
            </w:tcBorders>
            <w:vAlign w:val="center"/>
          </w:tcPr>
          <w:p w14:paraId="2E91B987">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2787332E">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08C33BF6">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4" w:type="pct"/>
            <w:tcBorders>
              <w:top w:val="single" w:color="auto" w:sz="4" w:space="0"/>
              <w:left w:val="single" w:color="auto" w:sz="4" w:space="0"/>
              <w:bottom w:val="single" w:color="auto" w:sz="4" w:space="0"/>
              <w:right w:val="single" w:color="auto" w:sz="4" w:space="0"/>
            </w:tcBorders>
            <w:vAlign w:val="center"/>
          </w:tcPr>
          <w:p w14:paraId="44E01473">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637D4F93">
            <w:pPr>
              <w:widowControl/>
              <w:spacing w:line="0" w:lineRule="atLeast"/>
              <w:ind w:left="-99" w:leftChars="-47" w:right="-84" w:rightChars="-40" w:firstLine="12" w:firstLineChars="7"/>
              <w:jc w:val="center"/>
              <w:rPr>
                <w:rFonts w:hint="eastAsia"/>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5962A566">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1384</w:t>
            </w:r>
          </w:p>
        </w:tc>
        <w:tc>
          <w:tcPr>
            <w:tcW w:w="130" w:type="pct"/>
            <w:tcBorders>
              <w:top w:val="single" w:color="auto" w:sz="4" w:space="0"/>
              <w:left w:val="single" w:color="auto" w:sz="4" w:space="0"/>
              <w:bottom w:val="single" w:color="auto" w:sz="4" w:space="0"/>
              <w:right w:val="single" w:color="auto" w:sz="4" w:space="0"/>
            </w:tcBorders>
            <w:vAlign w:val="center"/>
          </w:tcPr>
          <w:p w14:paraId="38702295">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40EB7084">
            <w:pPr>
              <w:widowControl/>
              <w:spacing w:line="0" w:lineRule="atLeast"/>
              <w:ind w:left="-99" w:leftChars="-47" w:right="-84" w:rightChars="-40" w:firstLine="12" w:firstLineChars="7"/>
              <w:jc w:val="center"/>
              <w:rPr>
                <w:kern w:val="0"/>
                <w:sz w:val="18"/>
                <w:szCs w:val="18"/>
              </w:rPr>
            </w:pPr>
            <w:r>
              <w:rPr>
                <w:kern w:val="0"/>
                <w:sz w:val="18"/>
                <w:szCs w:val="18"/>
              </w:rPr>
              <w:t>200</w:t>
            </w:r>
          </w:p>
        </w:tc>
        <w:tc>
          <w:tcPr>
            <w:tcW w:w="168" w:type="pct"/>
            <w:tcBorders>
              <w:top w:val="single" w:color="auto" w:sz="4" w:space="0"/>
              <w:left w:val="single" w:color="auto" w:sz="4" w:space="0"/>
              <w:bottom w:val="single" w:color="auto" w:sz="4" w:space="0"/>
              <w:right w:val="single" w:color="auto" w:sz="4" w:space="0"/>
            </w:tcBorders>
            <w:vAlign w:val="center"/>
          </w:tcPr>
          <w:p w14:paraId="23484F3F">
            <w:pPr>
              <w:widowControl/>
              <w:spacing w:line="0" w:lineRule="atLeast"/>
              <w:ind w:left="-99" w:leftChars="-47" w:right="-84" w:rightChars="-40" w:firstLine="12" w:firstLineChars="7"/>
              <w:jc w:val="center"/>
              <w:rPr>
                <w:kern w:val="0"/>
                <w:sz w:val="18"/>
                <w:szCs w:val="18"/>
              </w:rPr>
            </w:pPr>
            <w:r>
              <w:rPr>
                <w:rFonts w:hint="eastAsia"/>
                <w:kern w:val="0"/>
                <w:sz w:val="18"/>
                <w:szCs w:val="18"/>
              </w:rPr>
              <w:t>1184</w:t>
            </w:r>
          </w:p>
        </w:tc>
        <w:tc>
          <w:tcPr>
            <w:tcW w:w="170" w:type="pct"/>
            <w:tcBorders>
              <w:top w:val="single" w:color="auto" w:sz="4" w:space="0"/>
              <w:left w:val="single" w:color="auto" w:sz="4" w:space="0"/>
              <w:bottom w:val="single" w:color="auto" w:sz="4" w:space="0"/>
              <w:right w:val="single" w:color="auto" w:sz="4" w:space="0"/>
            </w:tcBorders>
            <w:noWrap/>
            <w:vAlign w:val="center"/>
          </w:tcPr>
          <w:p w14:paraId="2814EED1">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0" w:type="pct"/>
            <w:tcBorders>
              <w:top w:val="single" w:color="auto" w:sz="4" w:space="0"/>
              <w:left w:val="single" w:color="auto" w:sz="4" w:space="0"/>
              <w:bottom w:val="single" w:color="auto" w:sz="4" w:space="0"/>
              <w:right w:val="single" w:color="auto" w:sz="4" w:space="0"/>
            </w:tcBorders>
            <w:noWrap/>
            <w:vAlign w:val="center"/>
          </w:tcPr>
          <w:p w14:paraId="461A93FA">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1" w:type="pct"/>
            <w:tcBorders>
              <w:top w:val="single" w:color="auto" w:sz="4" w:space="0"/>
              <w:left w:val="single" w:color="auto" w:sz="4" w:space="0"/>
              <w:bottom w:val="single" w:color="auto" w:sz="4" w:space="0"/>
              <w:right w:val="single" w:color="auto" w:sz="4" w:space="0"/>
            </w:tcBorders>
            <w:vAlign w:val="center"/>
          </w:tcPr>
          <w:p w14:paraId="04ABC5AD">
            <w:pPr>
              <w:widowControl/>
              <w:spacing w:line="0" w:lineRule="atLeast"/>
              <w:ind w:left="-99" w:leftChars="-47" w:right="-84" w:rightChars="-40" w:firstLine="13" w:firstLineChars="7"/>
              <w:jc w:val="center"/>
              <w:rPr>
                <w:b/>
                <w:bCs/>
                <w:kern w:val="0"/>
                <w:sz w:val="18"/>
                <w:szCs w:val="18"/>
              </w:rPr>
            </w:pPr>
            <w:r>
              <w:rPr>
                <w:b/>
                <w:bCs/>
                <w:kern w:val="0"/>
                <w:sz w:val="18"/>
                <w:szCs w:val="18"/>
              </w:rPr>
              <w:t>443</w:t>
            </w:r>
          </w:p>
        </w:tc>
        <w:tc>
          <w:tcPr>
            <w:tcW w:w="170" w:type="pct"/>
            <w:tcBorders>
              <w:top w:val="single" w:color="auto" w:sz="4" w:space="0"/>
              <w:left w:val="single" w:color="auto" w:sz="4" w:space="0"/>
              <w:bottom w:val="single" w:color="auto" w:sz="4" w:space="0"/>
              <w:right w:val="single" w:color="auto" w:sz="4" w:space="0"/>
            </w:tcBorders>
            <w:vAlign w:val="center"/>
          </w:tcPr>
          <w:p w14:paraId="4CCB27E2">
            <w:pPr>
              <w:widowControl/>
              <w:spacing w:line="0" w:lineRule="atLeast"/>
              <w:ind w:left="-99" w:leftChars="-47" w:right="-84" w:rightChars="-40" w:firstLine="12" w:firstLineChars="7"/>
              <w:jc w:val="center"/>
              <w:rPr>
                <w:b/>
                <w:bCs/>
                <w:kern w:val="0"/>
                <w:sz w:val="18"/>
                <w:szCs w:val="18"/>
              </w:rPr>
            </w:pPr>
            <w:r>
              <w:rPr>
                <w:kern w:val="0"/>
                <w:sz w:val="18"/>
                <w:szCs w:val="18"/>
              </w:rPr>
              <w:t>443</w:t>
            </w:r>
          </w:p>
        </w:tc>
        <w:tc>
          <w:tcPr>
            <w:tcW w:w="127" w:type="pct"/>
            <w:tcBorders>
              <w:top w:val="single" w:color="auto" w:sz="4" w:space="0"/>
              <w:left w:val="single" w:color="auto" w:sz="4" w:space="0"/>
              <w:bottom w:val="single" w:color="auto" w:sz="4" w:space="0"/>
              <w:right w:val="single" w:color="auto" w:sz="4" w:space="0"/>
            </w:tcBorders>
            <w:vAlign w:val="center"/>
          </w:tcPr>
          <w:p w14:paraId="28C5DF1F">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4A0D6FD1">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008790AD">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86" w:type="pct"/>
            <w:tcBorders>
              <w:top w:val="single" w:color="auto" w:sz="4" w:space="0"/>
              <w:left w:val="single" w:color="auto" w:sz="4" w:space="0"/>
              <w:bottom w:val="single" w:color="auto" w:sz="4" w:space="0"/>
              <w:right w:val="single" w:color="auto" w:sz="4" w:space="0"/>
            </w:tcBorders>
            <w:vAlign w:val="center"/>
          </w:tcPr>
          <w:p w14:paraId="6BC5F7F7">
            <w:pPr>
              <w:widowControl/>
              <w:spacing w:line="0" w:lineRule="atLeast"/>
              <w:ind w:left="-99" w:leftChars="-47" w:right="-84" w:rightChars="-40" w:firstLine="13" w:firstLineChars="7"/>
              <w:jc w:val="center"/>
              <w:rPr>
                <w:b/>
                <w:bCs/>
                <w:kern w:val="0"/>
                <w:sz w:val="18"/>
                <w:szCs w:val="18"/>
              </w:rPr>
            </w:pPr>
            <w:r>
              <w:rPr>
                <w:b/>
                <w:bCs/>
                <w:kern w:val="0"/>
                <w:sz w:val="18"/>
                <w:szCs w:val="18"/>
              </w:rPr>
              <w:t>73749</w:t>
            </w:r>
          </w:p>
        </w:tc>
        <w:tc>
          <w:tcPr>
            <w:tcW w:w="162" w:type="pct"/>
            <w:tcBorders>
              <w:top w:val="single" w:color="auto" w:sz="4" w:space="0"/>
              <w:left w:val="single" w:color="auto" w:sz="4" w:space="0"/>
              <w:bottom w:val="single" w:color="auto" w:sz="4" w:space="0"/>
              <w:right w:val="single" w:color="auto" w:sz="4" w:space="0"/>
            </w:tcBorders>
            <w:noWrap/>
            <w:vAlign w:val="center"/>
          </w:tcPr>
          <w:p w14:paraId="24C6A4A3">
            <w:pPr>
              <w:widowControl/>
              <w:spacing w:line="0" w:lineRule="atLeast"/>
              <w:ind w:left="-99" w:leftChars="-47" w:right="-84" w:rightChars="-40" w:firstLine="12" w:firstLineChars="7"/>
              <w:jc w:val="center"/>
              <w:rPr>
                <w:kern w:val="0"/>
                <w:sz w:val="18"/>
                <w:szCs w:val="18"/>
              </w:rPr>
            </w:pPr>
            <w:r>
              <w:rPr>
                <w:kern w:val="0"/>
                <w:sz w:val="18"/>
                <w:szCs w:val="18"/>
              </w:rPr>
              <w:t>39489</w:t>
            </w:r>
          </w:p>
        </w:tc>
        <w:tc>
          <w:tcPr>
            <w:tcW w:w="165" w:type="pct"/>
            <w:tcBorders>
              <w:top w:val="single" w:color="auto" w:sz="4" w:space="0"/>
              <w:left w:val="single" w:color="auto" w:sz="4" w:space="0"/>
              <w:bottom w:val="single" w:color="auto" w:sz="4" w:space="0"/>
              <w:right w:val="single" w:color="auto" w:sz="4" w:space="0"/>
            </w:tcBorders>
            <w:noWrap/>
            <w:vAlign w:val="center"/>
          </w:tcPr>
          <w:p w14:paraId="73A6C16D">
            <w:pPr>
              <w:widowControl/>
              <w:spacing w:line="0" w:lineRule="atLeast"/>
              <w:ind w:left="-99" w:leftChars="-47" w:right="-84" w:rightChars="-40" w:firstLine="12" w:firstLineChars="7"/>
              <w:jc w:val="center"/>
              <w:rPr>
                <w:kern w:val="0"/>
                <w:sz w:val="18"/>
                <w:szCs w:val="18"/>
              </w:rPr>
            </w:pPr>
            <w:r>
              <w:rPr>
                <w:kern w:val="0"/>
                <w:sz w:val="18"/>
                <w:szCs w:val="18"/>
              </w:rPr>
              <w:t>26741</w:t>
            </w:r>
          </w:p>
        </w:tc>
        <w:tc>
          <w:tcPr>
            <w:tcW w:w="165" w:type="pct"/>
            <w:tcBorders>
              <w:top w:val="single" w:color="auto" w:sz="4" w:space="0"/>
              <w:left w:val="single" w:color="auto" w:sz="4" w:space="0"/>
              <w:bottom w:val="single" w:color="auto" w:sz="4" w:space="0"/>
              <w:right w:val="single" w:color="auto" w:sz="4" w:space="0"/>
            </w:tcBorders>
            <w:noWrap/>
            <w:vAlign w:val="center"/>
          </w:tcPr>
          <w:p w14:paraId="5F5765FC">
            <w:pPr>
              <w:widowControl/>
              <w:spacing w:line="0" w:lineRule="atLeast"/>
              <w:ind w:left="-99" w:leftChars="-47" w:right="-84" w:rightChars="-40" w:firstLine="12" w:firstLineChars="7"/>
              <w:jc w:val="center"/>
              <w:rPr>
                <w:kern w:val="0"/>
                <w:sz w:val="18"/>
                <w:szCs w:val="18"/>
              </w:rPr>
            </w:pPr>
            <w:r>
              <w:rPr>
                <w:kern w:val="0"/>
                <w:sz w:val="18"/>
                <w:szCs w:val="18"/>
              </w:rPr>
              <w:t>541</w:t>
            </w:r>
          </w:p>
        </w:tc>
        <w:tc>
          <w:tcPr>
            <w:tcW w:w="175" w:type="pct"/>
            <w:tcBorders>
              <w:top w:val="single" w:color="auto" w:sz="4" w:space="0"/>
              <w:left w:val="single" w:color="auto" w:sz="4" w:space="0"/>
              <w:bottom w:val="single" w:color="auto" w:sz="4" w:space="0"/>
              <w:right w:val="single" w:color="auto" w:sz="4" w:space="0"/>
            </w:tcBorders>
            <w:noWrap/>
            <w:vAlign w:val="center"/>
          </w:tcPr>
          <w:p w14:paraId="36F06A43">
            <w:pPr>
              <w:widowControl/>
              <w:spacing w:line="0" w:lineRule="atLeast"/>
              <w:ind w:left="-99" w:leftChars="-47" w:right="-84" w:rightChars="-40" w:firstLine="12" w:firstLineChars="7"/>
              <w:jc w:val="center"/>
              <w:rPr>
                <w:kern w:val="0"/>
                <w:sz w:val="18"/>
                <w:szCs w:val="18"/>
              </w:rPr>
            </w:pPr>
            <w:r>
              <w:rPr>
                <w:kern w:val="0"/>
                <w:sz w:val="18"/>
                <w:szCs w:val="18"/>
              </w:rPr>
              <w:t>4483</w:t>
            </w:r>
          </w:p>
        </w:tc>
        <w:tc>
          <w:tcPr>
            <w:tcW w:w="187" w:type="pct"/>
            <w:tcBorders>
              <w:top w:val="single" w:color="auto" w:sz="4" w:space="0"/>
              <w:left w:val="single" w:color="auto" w:sz="4" w:space="0"/>
              <w:bottom w:val="single" w:color="auto" w:sz="4" w:space="0"/>
              <w:right w:val="single" w:color="auto" w:sz="4" w:space="0"/>
            </w:tcBorders>
            <w:noWrap/>
            <w:vAlign w:val="center"/>
          </w:tcPr>
          <w:p w14:paraId="40294D87">
            <w:pPr>
              <w:widowControl/>
              <w:spacing w:line="0" w:lineRule="atLeast"/>
              <w:ind w:left="-99" w:leftChars="-47" w:right="-84" w:rightChars="-40" w:firstLine="12" w:firstLineChars="7"/>
              <w:jc w:val="center"/>
              <w:rPr>
                <w:kern w:val="0"/>
                <w:sz w:val="18"/>
                <w:szCs w:val="18"/>
              </w:rPr>
            </w:pPr>
            <w:r>
              <w:rPr>
                <w:kern w:val="0"/>
                <w:sz w:val="18"/>
                <w:szCs w:val="18"/>
              </w:rPr>
              <w:t>2495</w:t>
            </w:r>
          </w:p>
        </w:tc>
        <w:tc>
          <w:tcPr>
            <w:tcW w:w="173" w:type="pct"/>
            <w:tcBorders>
              <w:top w:val="single" w:color="auto" w:sz="4" w:space="0"/>
              <w:left w:val="single" w:color="auto" w:sz="4" w:space="0"/>
              <w:bottom w:val="single" w:color="auto" w:sz="4" w:space="0"/>
              <w:right w:val="single" w:color="auto" w:sz="4" w:space="0"/>
            </w:tcBorders>
            <w:vAlign w:val="center"/>
          </w:tcPr>
          <w:p w14:paraId="0B900EEF">
            <w:pPr>
              <w:widowControl/>
              <w:spacing w:line="0" w:lineRule="atLeast"/>
              <w:ind w:left="-99" w:leftChars="-47" w:right="-84" w:rightChars="-40" w:firstLine="13" w:firstLineChars="7"/>
              <w:jc w:val="center"/>
              <w:rPr>
                <w:b/>
                <w:bCs/>
                <w:kern w:val="0"/>
                <w:sz w:val="18"/>
                <w:szCs w:val="18"/>
              </w:rPr>
            </w:pPr>
            <w:r>
              <w:rPr>
                <w:b/>
                <w:bCs/>
                <w:kern w:val="0"/>
                <w:sz w:val="18"/>
                <w:szCs w:val="18"/>
              </w:rPr>
              <w:t>2008</w:t>
            </w:r>
          </w:p>
        </w:tc>
        <w:tc>
          <w:tcPr>
            <w:tcW w:w="127" w:type="pct"/>
            <w:tcBorders>
              <w:top w:val="single" w:color="auto" w:sz="4" w:space="0"/>
              <w:left w:val="single" w:color="auto" w:sz="4" w:space="0"/>
              <w:bottom w:val="single" w:color="auto" w:sz="4" w:space="0"/>
              <w:right w:val="single" w:color="auto" w:sz="4" w:space="0"/>
            </w:tcBorders>
            <w:vAlign w:val="center"/>
          </w:tcPr>
          <w:p w14:paraId="3099A6F7">
            <w:pPr>
              <w:widowControl/>
              <w:spacing w:line="0" w:lineRule="atLeast"/>
              <w:ind w:left="-99" w:leftChars="-47" w:right="-84" w:rightChars="-40" w:firstLine="12" w:firstLineChars="7"/>
              <w:jc w:val="center"/>
              <w:rPr>
                <w:b/>
                <w:bCs/>
                <w:kern w:val="0"/>
                <w:sz w:val="18"/>
                <w:szCs w:val="18"/>
              </w:rPr>
            </w:pPr>
            <w:r>
              <w:rPr>
                <w:kern w:val="0"/>
                <w:sz w:val="18"/>
                <w:szCs w:val="18"/>
              </w:rPr>
              <w:t>58</w:t>
            </w:r>
          </w:p>
        </w:tc>
        <w:tc>
          <w:tcPr>
            <w:tcW w:w="132" w:type="pct"/>
            <w:tcBorders>
              <w:top w:val="single" w:color="auto" w:sz="4" w:space="0"/>
              <w:left w:val="single" w:color="auto" w:sz="4" w:space="0"/>
              <w:bottom w:val="single" w:color="auto" w:sz="4" w:space="0"/>
              <w:right w:val="single" w:color="auto" w:sz="4" w:space="0"/>
            </w:tcBorders>
            <w:vAlign w:val="center"/>
          </w:tcPr>
          <w:p w14:paraId="11A717CB">
            <w:pPr>
              <w:widowControl/>
              <w:spacing w:line="0" w:lineRule="atLeast"/>
              <w:ind w:left="-99" w:leftChars="-47" w:right="-84" w:rightChars="-40" w:firstLine="12" w:firstLineChars="7"/>
              <w:jc w:val="center"/>
              <w:rPr>
                <w:b/>
                <w:bCs/>
                <w:kern w:val="0"/>
                <w:sz w:val="18"/>
                <w:szCs w:val="18"/>
              </w:rPr>
            </w:pPr>
            <w:r>
              <w:rPr>
                <w:kern w:val="0"/>
                <w:sz w:val="18"/>
                <w:szCs w:val="18"/>
              </w:rPr>
              <w:t>1950</w:t>
            </w:r>
          </w:p>
        </w:tc>
        <w:tc>
          <w:tcPr>
            <w:tcW w:w="127" w:type="pct"/>
            <w:tcBorders>
              <w:top w:val="single" w:color="auto" w:sz="4" w:space="0"/>
              <w:left w:val="single" w:color="auto" w:sz="4" w:space="0"/>
              <w:bottom w:val="single" w:color="auto" w:sz="4" w:space="0"/>
              <w:right w:val="single" w:color="auto" w:sz="4" w:space="0"/>
            </w:tcBorders>
            <w:noWrap/>
            <w:vAlign w:val="center"/>
          </w:tcPr>
          <w:p w14:paraId="524873DA">
            <w:pPr>
              <w:widowControl/>
              <w:spacing w:line="0" w:lineRule="atLeast"/>
              <w:ind w:left="-99" w:leftChars="-47" w:right="-84" w:rightChars="-40" w:firstLine="13" w:firstLineChars="7"/>
              <w:jc w:val="center"/>
              <w:rPr>
                <w:b/>
                <w:bCs/>
                <w:kern w:val="0"/>
                <w:sz w:val="18"/>
                <w:szCs w:val="18"/>
              </w:rPr>
            </w:pPr>
            <w:r>
              <w:rPr>
                <w:b/>
                <w:bCs/>
                <w:kern w:val="0"/>
                <w:sz w:val="18"/>
                <w:szCs w:val="18"/>
              </w:rPr>
              <w:t>46</w:t>
            </w:r>
          </w:p>
        </w:tc>
        <w:tc>
          <w:tcPr>
            <w:tcW w:w="127" w:type="pct"/>
            <w:tcBorders>
              <w:top w:val="single" w:color="auto" w:sz="4" w:space="0"/>
              <w:left w:val="single" w:color="auto" w:sz="4" w:space="0"/>
              <w:bottom w:val="single" w:color="auto" w:sz="4" w:space="0"/>
              <w:right w:val="single" w:color="auto" w:sz="4" w:space="0"/>
            </w:tcBorders>
            <w:vAlign w:val="center"/>
          </w:tcPr>
          <w:p w14:paraId="4091595F">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59" w:type="pct"/>
            <w:tcBorders>
              <w:top w:val="single" w:color="auto" w:sz="4" w:space="0"/>
              <w:left w:val="single" w:color="auto" w:sz="4" w:space="0"/>
              <w:bottom w:val="single" w:color="auto" w:sz="4" w:space="0"/>
              <w:right w:val="single" w:color="auto" w:sz="4" w:space="0"/>
            </w:tcBorders>
            <w:noWrap/>
            <w:vAlign w:val="center"/>
          </w:tcPr>
          <w:p w14:paraId="231E6FEC">
            <w:pPr>
              <w:widowControl/>
              <w:spacing w:line="0" w:lineRule="atLeast"/>
              <w:ind w:left="-99" w:leftChars="-47" w:right="-84" w:rightChars="-40" w:firstLine="12" w:firstLineChars="7"/>
              <w:jc w:val="center"/>
              <w:rPr>
                <w:kern w:val="0"/>
                <w:sz w:val="18"/>
                <w:szCs w:val="18"/>
              </w:rPr>
            </w:pPr>
            <w:r>
              <w:rPr>
                <w:kern w:val="0"/>
                <w:sz w:val="18"/>
                <w:szCs w:val="18"/>
              </w:rPr>
              <w:t>46</w:t>
            </w:r>
          </w:p>
        </w:tc>
        <w:tc>
          <w:tcPr>
            <w:tcW w:w="132" w:type="pct"/>
            <w:tcBorders>
              <w:top w:val="single" w:color="auto" w:sz="4" w:space="0"/>
              <w:left w:val="single" w:color="auto" w:sz="4" w:space="0"/>
              <w:bottom w:val="single" w:color="auto" w:sz="4" w:space="0"/>
              <w:right w:val="single" w:color="auto" w:sz="4" w:space="0"/>
            </w:tcBorders>
            <w:vAlign w:val="center"/>
          </w:tcPr>
          <w:p w14:paraId="61B8857A">
            <w:pPr>
              <w:widowControl/>
              <w:spacing w:line="0" w:lineRule="atLeast"/>
              <w:ind w:left="-99" w:leftChars="-47" w:right="-84" w:rightChars="-40" w:firstLine="12" w:firstLineChars="7"/>
              <w:jc w:val="center"/>
              <w:rPr>
                <w:kern w:val="0"/>
                <w:sz w:val="18"/>
                <w:szCs w:val="18"/>
              </w:rPr>
            </w:pPr>
            <w:r>
              <w:rPr>
                <w:kern w:val="0"/>
                <w:sz w:val="18"/>
                <w:szCs w:val="18"/>
              </w:rPr>
              <w:t>—</w:t>
            </w:r>
          </w:p>
        </w:tc>
      </w:tr>
      <w:tr w14:paraId="09F078B7">
        <w:tblPrEx>
          <w:tblCellMar>
            <w:top w:w="0" w:type="dxa"/>
            <w:left w:w="108" w:type="dxa"/>
            <w:bottom w:w="0" w:type="dxa"/>
            <w:right w:w="108" w:type="dxa"/>
          </w:tblCellMar>
        </w:tblPrEx>
        <w:trPr>
          <w:trHeight w:val="680" w:hRule="atLeast"/>
        </w:trPr>
        <w:tc>
          <w:tcPr>
            <w:tcW w:w="159" w:type="pct"/>
            <w:vMerge w:val="restart"/>
            <w:tcBorders>
              <w:top w:val="single" w:color="auto" w:sz="4" w:space="0"/>
              <w:left w:val="single" w:color="auto" w:sz="4" w:space="0"/>
              <w:bottom w:val="single" w:color="auto" w:sz="4" w:space="0"/>
              <w:right w:val="single" w:color="auto" w:sz="4" w:space="0"/>
            </w:tcBorders>
            <w:noWrap/>
            <w:vAlign w:val="center"/>
          </w:tcPr>
          <w:p w14:paraId="4600C0BA">
            <w:pPr>
              <w:widowControl/>
              <w:spacing w:line="0" w:lineRule="atLeast"/>
              <w:ind w:left="-99" w:leftChars="-47" w:right="-84" w:rightChars="-40" w:firstLine="13" w:firstLineChars="7"/>
              <w:jc w:val="center"/>
              <w:rPr>
                <w:b/>
                <w:bCs/>
                <w:kern w:val="0"/>
                <w:sz w:val="18"/>
                <w:szCs w:val="18"/>
              </w:rPr>
            </w:pPr>
            <w:r>
              <w:rPr>
                <w:b/>
                <w:bCs/>
                <w:kern w:val="0"/>
                <w:sz w:val="18"/>
                <w:szCs w:val="18"/>
              </w:rPr>
              <w:t>总计</w:t>
            </w:r>
          </w:p>
        </w:tc>
        <w:tc>
          <w:tcPr>
            <w:tcW w:w="237" w:type="pct"/>
            <w:tcBorders>
              <w:top w:val="single" w:color="auto" w:sz="4" w:space="0"/>
              <w:left w:val="single" w:color="auto" w:sz="4" w:space="0"/>
              <w:bottom w:val="single" w:color="auto" w:sz="4" w:space="0"/>
              <w:right w:val="single" w:color="auto" w:sz="4" w:space="0"/>
            </w:tcBorders>
            <w:vAlign w:val="center"/>
          </w:tcPr>
          <w:p w14:paraId="25EE7AC3">
            <w:pPr>
              <w:widowControl/>
              <w:spacing w:line="0" w:lineRule="atLeast"/>
              <w:ind w:left="-99" w:leftChars="-47" w:right="-84" w:rightChars="-40" w:firstLine="13" w:firstLineChars="7"/>
              <w:jc w:val="center"/>
              <w:rPr>
                <w:b/>
                <w:bCs/>
                <w:kern w:val="0"/>
                <w:sz w:val="18"/>
                <w:szCs w:val="18"/>
              </w:rPr>
            </w:pPr>
            <w:r>
              <w:rPr>
                <w:b/>
                <w:bCs/>
                <w:kern w:val="0"/>
                <w:sz w:val="18"/>
                <w:szCs w:val="18"/>
              </w:rPr>
              <w:t>生产规模</w:t>
            </w:r>
          </w:p>
        </w:tc>
        <w:tc>
          <w:tcPr>
            <w:tcW w:w="205" w:type="pct"/>
            <w:tcBorders>
              <w:top w:val="single" w:color="auto" w:sz="4" w:space="0"/>
              <w:left w:val="single" w:color="auto" w:sz="4" w:space="0"/>
              <w:bottom w:val="single" w:color="auto" w:sz="4" w:space="0"/>
              <w:right w:val="single" w:color="auto" w:sz="4" w:space="0"/>
            </w:tcBorders>
            <w:vAlign w:val="center"/>
          </w:tcPr>
          <w:p w14:paraId="48E8407D">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81181</w:t>
            </w:r>
          </w:p>
        </w:tc>
        <w:tc>
          <w:tcPr>
            <w:tcW w:w="133" w:type="pct"/>
            <w:tcBorders>
              <w:top w:val="single" w:color="auto" w:sz="4" w:space="0"/>
              <w:left w:val="single" w:color="auto" w:sz="4" w:space="0"/>
              <w:bottom w:val="single" w:color="auto" w:sz="4" w:space="0"/>
              <w:right w:val="single" w:color="auto" w:sz="4" w:space="0"/>
            </w:tcBorders>
            <w:vAlign w:val="center"/>
          </w:tcPr>
          <w:p w14:paraId="10FED75A">
            <w:pPr>
              <w:widowControl/>
              <w:spacing w:line="0" w:lineRule="atLeast"/>
              <w:ind w:left="-99" w:leftChars="-47" w:right="-84" w:rightChars="-40" w:firstLine="13" w:firstLineChars="7"/>
              <w:rPr>
                <w:rFonts w:hint="eastAsia"/>
                <w:b/>
                <w:bCs/>
                <w:kern w:val="0"/>
                <w:sz w:val="18"/>
                <w:szCs w:val="18"/>
              </w:rPr>
            </w:pPr>
            <w:r>
              <w:rPr>
                <w:b/>
                <w:bCs/>
                <w:kern w:val="0"/>
                <w:sz w:val="18"/>
                <w:szCs w:val="18"/>
              </w:rPr>
              <w:t>13448</w:t>
            </w:r>
          </w:p>
        </w:tc>
        <w:tc>
          <w:tcPr>
            <w:tcW w:w="133" w:type="pct"/>
            <w:tcBorders>
              <w:top w:val="single" w:color="auto" w:sz="4" w:space="0"/>
              <w:left w:val="single" w:color="auto" w:sz="4" w:space="0"/>
              <w:bottom w:val="single" w:color="auto" w:sz="4" w:space="0"/>
              <w:right w:val="single" w:color="auto" w:sz="4" w:space="0"/>
            </w:tcBorders>
            <w:vAlign w:val="center"/>
          </w:tcPr>
          <w:p w14:paraId="1B98464E">
            <w:pPr>
              <w:widowControl/>
              <w:spacing w:line="0" w:lineRule="atLeast"/>
              <w:ind w:left="-99" w:leftChars="-47" w:right="-84" w:rightChars="-40" w:firstLine="12" w:firstLineChars="7"/>
              <w:rPr>
                <w:rFonts w:hint="eastAsia"/>
                <w:b/>
                <w:bCs/>
                <w:kern w:val="0"/>
                <w:sz w:val="18"/>
                <w:szCs w:val="18"/>
              </w:rPr>
            </w:pPr>
            <w:r>
              <w:rPr>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3BCDD110">
            <w:pPr>
              <w:widowControl/>
              <w:spacing w:line="0" w:lineRule="atLeast"/>
              <w:ind w:left="-99" w:leftChars="-47" w:right="-84" w:rightChars="-40" w:firstLine="12" w:firstLineChars="7"/>
              <w:rPr>
                <w:rFonts w:hint="eastAsia"/>
                <w:b/>
                <w:bCs/>
                <w:kern w:val="0"/>
                <w:sz w:val="18"/>
                <w:szCs w:val="18"/>
              </w:rPr>
            </w:pPr>
            <w:r>
              <w:rPr>
                <w:kern w:val="0"/>
                <w:sz w:val="18"/>
                <w:szCs w:val="18"/>
              </w:rPr>
              <w:t>3940</w:t>
            </w:r>
          </w:p>
        </w:tc>
        <w:tc>
          <w:tcPr>
            <w:tcW w:w="134" w:type="pct"/>
            <w:tcBorders>
              <w:top w:val="single" w:color="auto" w:sz="4" w:space="0"/>
              <w:left w:val="single" w:color="auto" w:sz="4" w:space="0"/>
              <w:bottom w:val="single" w:color="auto" w:sz="4" w:space="0"/>
              <w:right w:val="single" w:color="auto" w:sz="4" w:space="0"/>
            </w:tcBorders>
            <w:vAlign w:val="center"/>
          </w:tcPr>
          <w:p w14:paraId="61DA2B87">
            <w:pPr>
              <w:widowControl/>
              <w:spacing w:line="0" w:lineRule="atLeast"/>
              <w:ind w:left="-99" w:leftChars="-47" w:right="-84" w:rightChars="-40" w:firstLine="12" w:firstLineChars="7"/>
              <w:rPr>
                <w:rFonts w:hint="eastAsia"/>
                <w:b/>
                <w:bCs/>
                <w:kern w:val="0"/>
                <w:sz w:val="18"/>
                <w:szCs w:val="18"/>
              </w:rPr>
            </w:pPr>
            <w:r>
              <w:rPr>
                <w:kern w:val="0"/>
                <w:sz w:val="18"/>
                <w:szCs w:val="18"/>
              </w:rPr>
              <w:t>8220</w:t>
            </w:r>
          </w:p>
        </w:tc>
        <w:tc>
          <w:tcPr>
            <w:tcW w:w="132" w:type="pct"/>
            <w:tcBorders>
              <w:top w:val="single" w:color="auto" w:sz="4" w:space="0"/>
              <w:left w:val="single" w:color="auto" w:sz="4" w:space="0"/>
              <w:bottom w:val="single" w:color="auto" w:sz="4" w:space="0"/>
              <w:right w:val="single" w:color="auto" w:sz="4" w:space="0"/>
            </w:tcBorders>
            <w:vAlign w:val="center"/>
          </w:tcPr>
          <w:p w14:paraId="09C4B649">
            <w:pPr>
              <w:widowControl/>
              <w:spacing w:line="0" w:lineRule="atLeast"/>
              <w:ind w:left="-99" w:leftChars="-47" w:right="-84" w:rightChars="-40" w:firstLine="12" w:firstLineChars="7"/>
              <w:rPr>
                <w:rFonts w:hint="eastAsia"/>
                <w:b/>
                <w:bCs/>
                <w:kern w:val="0"/>
                <w:sz w:val="18"/>
                <w:szCs w:val="18"/>
              </w:rPr>
            </w:pPr>
            <w:r>
              <w:rPr>
                <w:kern w:val="0"/>
                <w:sz w:val="18"/>
                <w:szCs w:val="18"/>
              </w:rPr>
              <w:t>2572</w:t>
            </w:r>
          </w:p>
        </w:tc>
        <w:tc>
          <w:tcPr>
            <w:tcW w:w="180" w:type="pct"/>
            <w:tcBorders>
              <w:top w:val="single" w:color="auto" w:sz="4" w:space="0"/>
              <w:left w:val="single" w:color="auto" w:sz="4" w:space="0"/>
              <w:bottom w:val="single" w:color="auto" w:sz="4" w:space="0"/>
              <w:right w:val="single" w:color="auto" w:sz="4" w:space="0"/>
            </w:tcBorders>
            <w:vAlign w:val="center"/>
          </w:tcPr>
          <w:p w14:paraId="5A91B2A2">
            <w:pPr>
              <w:widowControl/>
              <w:spacing w:line="0" w:lineRule="atLeast"/>
              <w:ind w:left="-99" w:leftChars="-47" w:right="-84" w:rightChars="-40" w:firstLine="13" w:firstLineChars="7"/>
              <w:rPr>
                <w:b/>
                <w:bCs/>
                <w:kern w:val="0"/>
                <w:sz w:val="18"/>
                <w:szCs w:val="18"/>
              </w:rPr>
            </w:pPr>
            <w:r>
              <w:rPr>
                <w:rFonts w:hint="eastAsia"/>
                <w:b/>
                <w:bCs/>
                <w:kern w:val="0"/>
                <w:sz w:val="18"/>
                <w:szCs w:val="18"/>
              </w:rPr>
              <w:t>1255.4</w:t>
            </w:r>
          </w:p>
        </w:tc>
        <w:tc>
          <w:tcPr>
            <w:tcW w:w="130" w:type="pct"/>
            <w:tcBorders>
              <w:top w:val="single" w:color="auto" w:sz="4" w:space="0"/>
              <w:left w:val="single" w:color="auto" w:sz="4" w:space="0"/>
              <w:bottom w:val="single" w:color="auto" w:sz="4" w:space="0"/>
              <w:right w:val="single" w:color="auto" w:sz="4" w:space="0"/>
            </w:tcBorders>
            <w:vAlign w:val="center"/>
          </w:tcPr>
          <w:p w14:paraId="227EDFD3">
            <w:pPr>
              <w:widowControl/>
              <w:spacing w:line="0" w:lineRule="atLeast"/>
              <w:ind w:left="-99" w:leftChars="-47" w:right="-84" w:rightChars="-40" w:firstLine="12" w:firstLineChars="7"/>
              <w:jc w:val="center"/>
              <w:rPr>
                <w:kern w:val="0"/>
                <w:sz w:val="18"/>
                <w:szCs w:val="18"/>
              </w:rPr>
            </w:pPr>
            <w:r>
              <w:rPr>
                <w:rFonts w:hint="eastAsia"/>
                <w:kern w:val="0"/>
                <w:sz w:val="18"/>
                <w:szCs w:val="18"/>
              </w:rPr>
              <w:t>166.7</w:t>
            </w:r>
          </w:p>
        </w:tc>
        <w:tc>
          <w:tcPr>
            <w:tcW w:w="172" w:type="pct"/>
            <w:tcBorders>
              <w:top w:val="single" w:color="auto" w:sz="4" w:space="0"/>
              <w:left w:val="single" w:color="auto" w:sz="4" w:space="0"/>
              <w:bottom w:val="single" w:color="auto" w:sz="4" w:space="0"/>
              <w:right w:val="single" w:color="auto" w:sz="4" w:space="0"/>
            </w:tcBorders>
            <w:vAlign w:val="center"/>
          </w:tcPr>
          <w:p w14:paraId="785D5580">
            <w:pPr>
              <w:widowControl/>
              <w:spacing w:line="0" w:lineRule="atLeast"/>
              <w:ind w:left="-99" w:leftChars="-47" w:right="-84" w:rightChars="-40" w:firstLine="12" w:firstLineChars="7"/>
              <w:jc w:val="center"/>
              <w:rPr>
                <w:kern w:val="0"/>
                <w:sz w:val="18"/>
                <w:szCs w:val="18"/>
              </w:rPr>
            </w:pPr>
            <w:r>
              <w:rPr>
                <w:rFonts w:hint="eastAsia"/>
                <w:kern w:val="0"/>
                <w:sz w:val="18"/>
                <w:szCs w:val="18"/>
              </w:rPr>
              <w:t>236</w:t>
            </w:r>
          </w:p>
        </w:tc>
        <w:tc>
          <w:tcPr>
            <w:tcW w:w="168" w:type="pct"/>
            <w:tcBorders>
              <w:top w:val="single" w:color="auto" w:sz="4" w:space="0"/>
              <w:left w:val="single" w:color="auto" w:sz="4" w:space="0"/>
              <w:bottom w:val="single" w:color="auto" w:sz="4" w:space="0"/>
              <w:right w:val="single" w:color="auto" w:sz="4" w:space="0"/>
            </w:tcBorders>
            <w:vAlign w:val="center"/>
          </w:tcPr>
          <w:p w14:paraId="2FA60404">
            <w:pPr>
              <w:widowControl/>
              <w:spacing w:line="0" w:lineRule="atLeast"/>
              <w:ind w:left="-99" w:leftChars="-47" w:right="-84" w:rightChars="-40" w:firstLine="12" w:firstLineChars="7"/>
              <w:jc w:val="center"/>
              <w:rPr>
                <w:kern w:val="0"/>
                <w:sz w:val="18"/>
                <w:szCs w:val="18"/>
              </w:rPr>
            </w:pPr>
            <w:r>
              <w:rPr>
                <w:kern w:val="0"/>
                <w:sz w:val="18"/>
                <w:szCs w:val="18"/>
              </w:rPr>
              <w:t>851</w:t>
            </w:r>
            <w:r>
              <w:rPr>
                <w:rFonts w:hint="eastAsia"/>
                <w:kern w:val="0"/>
                <w:sz w:val="18"/>
                <w:szCs w:val="18"/>
              </w:rPr>
              <w:t>.3</w:t>
            </w:r>
          </w:p>
        </w:tc>
        <w:tc>
          <w:tcPr>
            <w:tcW w:w="170" w:type="pct"/>
            <w:tcBorders>
              <w:top w:val="single" w:color="auto" w:sz="4" w:space="0"/>
              <w:left w:val="single" w:color="auto" w:sz="4" w:space="0"/>
              <w:bottom w:val="single" w:color="auto" w:sz="4" w:space="0"/>
              <w:right w:val="single" w:color="auto" w:sz="4" w:space="0"/>
            </w:tcBorders>
            <w:vAlign w:val="center"/>
          </w:tcPr>
          <w:p w14:paraId="0EF4D251">
            <w:pPr>
              <w:widowControl/>
              <w:spacing w:line="0" w:lineRule="atLeast"/>
              <w:ind w:left="-99" w:leftChars="-47" w:right="-84" w:rightChars="-40" w:firstLine="12" w:firstLineChars="7"/>
              <w:jc w:val="center"/>
              <w:rPr>
                <w:kern w:val="0"/>
                <w:sz w:val="18"/>
                <w:szCs w:val="18"/>
              </w:rPr>
            </w:pPr>
            <w:r>
              <w:rPr>
                <w:rFonts w:hint="eastAsia"/>
                <w:kern w:val="0"/>
                <w:sz w:val="18"/>
                <w:szCs w:val="18"/>
              </w:rPr>
              <w:t>1.4</w:t>
            </w:r>
          </w:p>
        </w:tc>
        <w:tc>
          <w:tcPr>
            <w:tcW w:w="170" w:type="pct"/>
            <w:tcBorders>
              <w:top w:val="single" w:color="auto" w:sz="4" w:space="0"/>
              <w:left w:val="single" w:color="auto" w:sz="4" w:space="0"/>
              <w:bottom w:val="single" w:color="auto" w:sz="4" w:space="0"/>
              <w:right w:val="single" w:color="auto" w:sz="4" w:space="0"/>
            </w:tcBorders>
            <w:vAlign w:val="center"/>
          </w:tcPr>
          <w:p w14:paraId="61351E21">
            <w:pPr>
              <w:widowControl/>
              <w:spacing w:line="0" w:lineRule="atLeast"/>
              <w:ind w:left="-99" w:leftChars="-47" w:right="-84" w:rightChars="-40" w:firstLine="12" w:firstLineChars="7"/>
              <w:jc w:val="center"/>
              <w:rPr>
                <w:kern w:val="0"/>
                <w:sz w:val="18"/>
                <w:szCs w:val="18"/>
              </w:rPr>
            </w:pPr>
            <w:r>
              <w:rPr>
                <w:kern w:val="0"/>
                <w:sz w:val="18"/>
                <w:szCs w:val="18"/>
              </w:rPr>
              <w:t>92家</w:t>
            </w:r>
          </w:p>
        </w:tc>
        <w:tc>
          <w:tcPr>
            <w:tcW w:w="171" w:type="pct"/>
            <w:tcBorders>
              <w:top w:val="single" w:color="auto" w:sz="4" w:space="0"/>
              <w:left w:val="single" w:color="auto" w:sz="4" w:space="0"/>
              <w:bottom w:val="single" w:color="auto" w:sz="4" w:space="0"/>
              <w:right w:val="single" w:color="auto" w:sz="4" w:space="0"/>
            </w:tcBorders>
            <w:vAlign w:val="center"/>
          </w:tcPr>
          <w:p w14:paraId="4DD1B460">
            <w:pPr>
              <w:widowControl/>
              <w:spacing w:line="0" w:lineRule="atLeast"/>
              <w:ind w:left="-99" w:leftChars="-47" w:right="-84" w:rightChars="-40" w:firstLine="13" w:firstLineChars="7"/>
              <w:jc w:val="center"/>
              <w:rPr>
                <w:b/>
                <w:bCs/>
                <w:kern w:val="0"/>
                <w:sz w:val="18"/>
                <w:szCs w:val="18"/>
              </w:rPr>
            </w:pPr>
            <w:r>
              <w:rPr>
                <w:b/>
                <w:bCs/>
                <w:kern w:val="0"/>
                <w:sz w:val="18"/>
                <w:szCs w:val="18"/>
              </w:rPr>
              <w:t>6118</w:t>
            </w:r>
          </w:p>
        </w:tc>
        <w:tc>
          <w:tcPr>
            <w:tcW w:w="170" w:type="pct"/>
            <w:tcBorders>
              <w:top w:val="single" w:color="auto" w:sz="4" w:space="0"/>
              <w:left w:val="single" w:color="auto" w:sz="4" w:space="0"/>
              <w:bottom w:val="single" w:color="auto" w:sz="4" w:space="0"/>
              <w:right w:val="single" w:color="auto" w:sz="4" w:space="0"/>
            </w:tcBorders>
            <w:vAlign w:val="center"/>
          </w:tcPr>
          <w:p w14:paraId="01019F4B">
            <w:pPr>
              <w:widowControl/>
              <w:spacing w:line="0" w:lineRule="atLeast"/>
              <w:ind w:left="-99" w:leftChars="-47" w:right="-84" w:rightChars="-40" w:firstLine="12" w:firstLineChars="7"/>
              <w:jc w:val="center"/>
              <w:rPr>
                <w:b/>
                <w:bCs/>
                <w:kern w:val="0"/>
                <w:sz w:val="18"/>
                <w:szCs w:val="18"/>
              </w:rPr>
            </w:pPr>
            <w:r>
              <w:rPr>
                <w:kern w:val="0"/>
                <w:sz w:val="18"/>
                <w:szCs w:val="18"/>
              </w:rPr>
              <w:t>3590</w:t>
            </w:r>
          </w:p>
        </w:tc>
        <w:tc>
          <w:tcPr>
            <w:tcW w:w="127" w:type="pct"/>
            <w:tcBorders>
              <w:top w:val="single" w:color="auto" w:sz="4" w:space="0"/>
              <w:left w:val="single" w:color="auto" w:sz="4" w:space="0"/>
              <w:bottom w:val="single" w:color="auto" w:sz="4" w:space="0"/>
              <w:right w:val="single" w:color="auto" w:sz="4" w:space="0"/>
            </w:tcBorders>
            <w:vAlign w:val="center"/>
          </w:tcPr>
          <w:p w14:paraId="3648C09C">
            <w:pPr>
              <w:widowControl/>
              <w:spacing w:line="0" w:lineRule="atLeast"/>
              <w:ind w:left="-99" w:leftChars="-47" w:right="-84" w:rightChars="-40" w:firstLine="12" w:firstLineChars="7"/>
              <w:jc w:val="center"/>
              <w:rPr>
                <w:b/>
                <w:bCs/>
                <w:kern w:val="0"/>
                <w:sz w:val="18"/>
                <w:szCs w:val="18"/>
              </w:rPr>
            </w:pPr>
            <w:r>
              <w:rPr>
                <w:kern w:val="0"/>
                <w:sz w:val="18"/>
                <w:szCs w:val="18"/>
              </w:rPr>
              <w:t>2211</w:t>
            </w:r>
          </w:p>
        </w:tc>
        <w:tc>
          <w:tcPr>
            <w:tcW w:w="127" w:type="pct"/>
            <w:tcBorders>
              <w:top w:val="single" w:color="auto" w:sz="4" w:space="0"/>
              <w:left w:val="single" w:color="auto" w:sz="4" w:space="0"/>
              <w:bottom w:val="single" w:color="auto" w:sz="4" w:space="0"/>
              <w:right w:val="single" w:color="auto" w:sz="4" w:space="0"/>
            </w:tcBorders>
            <w:vAlign w:val="center"/>
          </w:tcPr>
          <w:p w14:paraId="2011FBA3">
            <w:pPr>
              <w:widowControl/>
              <w:spacing w:line="0" w:lineRule="atLeast"/>
              <w:ind w:left="-99" w:leftChars="-47" w:right="-84" w:rightChars="-40" w:firstLine="12" w:firstLineChars="7"/>
              <w:jc w:val="center"/>
              <w:rPr>
                <w:b/>
                <w:bCs/>
                <w:kern w:val="0"/>
                <w:sz w:val="18"/>
                <w:szCs w:val="18"/>
              </w:rPr>
            </w:pPr>
            <w:r>
              <w:rPr>
                <w:kern w:val="0"/>
                <w:sz w:val="18"/>
                <w:szCs w:val="18"/>
              </w:rPr>
              <w:t>251</w:t>
            </w:r>
          </w:p>
        </w:tc>
        <w:tc>
          <w:tcPr>
            <w:tcW w:w="132" w:type="pct"/>
            <w:tcBorders>
              <w:top w:val="single" w:color="auto" w:sz="4" w:space="0"/>
              <w:left w:val="single" w:color="auto" w:sz="4" w:space="0"/>
              <w:bottom w:val="single" w:color="auto" w:sz="4" w:space="0"/>
              <w:right w:val="single" w:color="auto" w:sz="4" w:space="0"/>
            </w:tcBorders>
            <w:vAlign w:val="center"/>
          </w:tcPr>
          <w:p w14:paraId="6CEF6EC9">
            <w:pPr>
              <w:widowControl/>
              <w:spacing w:line="0" w:lineRule="atLeast"/>
              <w:ind w:left="-99" w:leftChars="-47" w:right="-84" w:rightChars="-40" w:firstLine="12" w:firstLineChars="7"/>
              <w:jc w:val="center"/>
              <w:rPr>
                <w:b/>
                <w:bCs/>
                <w:kern w:val="0"/>
                <w:sz w:val="18"/>
                <w:szCs w:val="18"/>
              </w:rPr>
            </w:pPr>
            <w:r>
              <w:rPr>
                <w:kern w:val="0"/>
                <w:sz w:val="18"/>
                <w:szCs w:val="18"/>
              </w:rPr>
              <w:t>66</w:t>
            </w:r>
          </w:p>
        </w:tc>
        <w:tc>
          <w:tcPr>
            <w:tcW w:w="186" w:type="pct"/>
            <w:tcBorders>
              <w:top w:val="single" w:color="auto" w:sz="4" w:space="0"/>
              <w:left w:val="single" w:color="auto" w:sz="4" w:space="0"/>
              <w:bottom w:val="single" w:color="auto" w:sz="4" w:space="0"/>
              <w:right w:val="single" w:color="auto" w:sz="4" w:space="0"/>
            </w:tcBorders>
            <w:vAlign w:val="center"/>
          </w:tcPr>
          <w:p w14:paraId="3879F54E">
            <w:pPr>
              <w:widowControl/>
              <w:spacing w:line="0" w:lineRule="atLeast"/>
              <w:ind w:left="-99" w:leftChars="-47" w:right="-84" w:rightChars="-40" w:firstLine="13" w:firstLineChars="7"/>
              <w:jc w:val="center"/>
              <w:rPr>
                <w:b/>
                <w:bCs/>
                <w:kern w:val="0"/>
                <w:sz w:val="18"/>
                <w:szCs w:val="18"/>
              </w:rPr>
            </w:pPr>
            <w:r>
              <w:rPr>
                <w:b/>
                <w:bCs/>
                <w:kern w:val="0"/>
                <w:sz w:val="18"/>
                <w:szCs w:val="18"/>
              </w:rPr>
              <w:t>59998</w:t>
            </w:r>
          </w:p>
        </w:tc>
        <w:tc>
          <w:tcPr>
            <w:tcW w:w="162" w:type="pct"/>
            <w:tcBorders>
              <w:top w:val="single" w:color="auto" w:sz="4" w:space="0"/>
              <w:left w:val="single" w:color="auto" w:sz="4" w:space="0"/>
              <w:bottom w:val="single" w:color="auto" w:sz="4" w:space="0"/>
              <w:right w:val="single" w:color="auto" w:sz="4" w:space="0"/>
            </w:tcBorders>
            <w:noWrap/>
            <w:vAlign w:val="center"/>
          </w:tcPr>
          <w:p w14:paraId="39C4748C">
            <w:pPr>
              <w:widowControl/>
              <w:spacing w:line="0" w:lineRule="atLeast"/>
              <w:ind w:left="-99" w:leftChars="-47" w:right="-84" w:rightChars="-40" w:firstLine="12" w:firstLineChars="7"/>
              <w:jc w:val="center"/>
              <w:rPr>
                <w:kern w:val="0"/>
                <w:sz w:val="18"/>
                <w:szCs w:val="18"/>
              </w:rPr>
            </w:pPr>
            <w:r>
              <w:rPr>
                <w:kern w:val="0"/>
                <w:sz w:val="18"/>
                <w:szCs w:val="18"/>
              </w:rPr>
              <w:t>3069</w:t>
            </w:r>
            <w:r>
              <w:rPr>
                <w:rFonts w:hint="eastAsia"/>
                <w:kern w:val="0"/>
                <w:sz w:val="18"/>
                <w:szCs w:val="18"/>
              </w:rPr>
              <w:t>8</w:t>
            </w:r>
          </w:p>
        </w:tc>
        <w:tc>
          <w:tcPr>
            <w:tcW w:w="165" w:type="pct"/>
            <w:tcBorders>
              <w:top w:val="single" w:color="auto" w:sz="4" w:space="0"/>
              <w:left w:val="single" w:color="auto" w:sz="4" w:space="0"/>
              <w:bottom w:val="single" w:color="auto" w:sz="4" w:space="0"/>
              <w:right w:val="single" w:color="auto" w:sz="4" w:space="0"/>
            </w:tcBorders>
            <w:noWrap/>
            <w:vAlign w:val="center"/>
          </w:tcPr>
          <w:p w14:paraId="40B7F614">
            <w:pPr>
              <w:widowControl/>
              <w:spacing w:line="0" w:lineRule="atLeast"/>
              <w:ind w:left="-99" w:leftChars="-47" w:right="-84" w:rightChars="-40" w:firstLine="12" w:firstLineChars="7"/>
              <w:jc w:val="center"/>
              <w:rPr>
                <w:kern w:val="0"/>
                <w:sz w:val="18"/>
                <w:szCs w:val="18"/>
              </w:rPr>
            </w:pPr>
            <w:r>
              <w:rPr>
                <w:kern w:val="0"/>
                <w:sz w:val="18"/>
                <w:szCs w:val="18"/>
              </w:rPr>
              <w:t>1161</w:t>
            </w:r>
            <w:r>
              <w:rPr>
                <w:rFonts w:hint="eastAsia"/>
                <w:kern w:val="0"/>
                <w:sz w:val="18"/>
                <w:szCs w:val="18"/>
              </w:rPr>
              <w:t>7</w:t>
            </w:r>
          </w:p>
        </w:tc>
        <w:tc>
          <w:tcPr>
            <w:tcW w:w="165" w:type="pct"/>
            <w:tcBorders>
              <w:top w:val="single" w:color="auto" w:sz="4" w:space="0"/>
              <w:left w:val="single" w:color="auto" w:sz="4" w:space="0"/>
              <w:bottom w:val="single" w:color="auto" w:sz="4" w:space="0"/>
              <w:right w:val="single" w:color="auto" w:sz="4" w:space="0"/>
            </w:tcBorders>
            <w:noWrap/>
            <w:vAlign w:val="center"/>
          </w:tcPr>
          <w:p w14:paraId="6C682139">
            <w:pPr>
              <w:widowControl/>
              <w:spacing w:line="0" w:lineRule="atLeast"/>
              <w:ind w:left="-99" w:leftChars="-47" w:right="-84" w:rightChars="-40" w:firstLine="12" w:firstLineChars="7"/>
              <w:jc w:val="center"/>
              <w:rPr>
                <w:kern w:val="0"/>
                <w:sz w:val="18"/>
                <w:szCs w:val="18"/>
              </w:rPr>
            </w:pPr>
            <w:r>
              <w:rPr>
                <w:kern w:val="0"/>
                <w:sz w:val="18"/>
                <w:szCs w:val="18"/>
              </w:rPr>
              <w:t>644</w:t>
            </w:r>
          </w:p>
        </w:tc>
        <w:tc>
          <w:tcPr>
            <w:tcW w:w="175" w:type="pct"/>
            <w:tcBorders>
              <w:top w:val="single" w:color="auto" w:sz="4" w:space="0"/>
              <w:left w:val="single" w:color="auto" w:sz="4" w:space="0"/>
              <w:bottom w:val="single" w:color="auto" w:sz="4" w:space="0"/>
              <w:right w:val="single" w:color="auto" w:sz="4" w:space="0"/>
            </w:tcBorders>
            <w:noWrap/>
            <w:vAlign w:val="center"/>
          </w:tcPr>
          <w:p w14:paraId="71CF7E3E">
            <w:pPr>
              <w:widowControl/>
              <w:spacing w:line="0" w:lineRule="atLeast"/>
              <w:ind w:left="-99" w:leftChars="-47" w:right="-84" w:rightChars="-40" w:firstLine="12" w:firstLineChars="7"/>
              <w:jc w:val="center"/>
              <w:rPr>
                <w:kern w:val="0"/>
                <w:sz w:val="18"/>
                <w:szCs w:val="18"/>
              </w:rPr>
            </w:pPr>
            <w:r>
              <w:rPr>
                <w:kern w:val="0"/>
                <w:sz w:val="18"/>
                <w:szCs w:val="18"/>
              </w:rPr>
              <w:t>15725</w:t>
            </w:r>
          </w:p>
        </w:tc>
        <w:tc>
          <w:tcPr>
            <w:tcW w:w="187" w:type="pct"/>
            <w:tcBorders>
              <w:top w:val="single" w:color="auto" w:sz="4" w:space="0"/>
              <w:left w:val="single" w:color="auto" w:sz="4" w:space="0"/>
              <w:bottom w:val="single" w:color="auto" w:sz="4" w:space="0"/>
              <w:right w:val="single" w:color="auto" w:sz="4" w:space="0"/>
            </w:tcBorders>
            <w:noWrap/>
            <w:vAlign w:val="center"/>
          </w:tcPr>
          <w:p w14:paraId="402AF826">
            <w:pPr>
              <w:widowControl/>
              <w:spacing w:line="0" w:lineRule="atLeast"/>
              <w:ind w:left="-99" w:leftChars="-47" w:right="-84" w:rightChars="-40" w:firstLine="12" w:firstLineChars="7"/>
              <w:jc w:val="center"/>
              <w:rPr>
                <w:kern w:val="0"/>
                <w:sz w:val="18"/>
                <w:szCs w:val="18"/>
              </w:rPr>
            </w:pPr>
            <w:r>
              <w:rPr>
                <w:kern w:val="0"/>
                <w:sz w:val="18"/>
                <w:szCs w:val="18"/>
              </w:rPr>
              <w:t>1314</w:t>
            </w:r>
          </w:p>
        </w:tc>
        <w:tc>
          <w:tcPr>
            <w:tcW w:w="173" w:type="pct"/>
            <w:tcBorders>
              <w:top w:val="single" w:color="auto" w:sz="4" w:space="0"/>
              <w:left w:val="single" w:color="auto" w:sz="4" w:space="0"/>
              <w:bottom w:val="single" w:color="auto" w:sz="4" w:space="0"/>
              <w:right w:val="single" w:color="auto" w:sz="4" w:space="0"/>
            </w:tcBorders>
            <w:vAlign w:val="center"/>
          </w:tcPr>
          <w:p w14:paraId="4B7EABBC">
            <w:pPr>
              <w:widowControl/>
              <w:spacing w:line="0" w:lineRule="atLeast"/>
              <w:ind w:left="-99" w:leftChars="-47" w:right="-84" w:rightChars="-40" w:firstLine="13" w:firstLineChars="7"/>
              <w:jc w:val="center"/>
              <w:rPr>
                <w:b/>
                <w:bCs/>
                <w:kern w:val="0"/>
                <w:sz w:val="18"/>
                <w:szCs w:val="18"/>
              </w:rPr>
            </w:pPr>
            <w:r>
              <w:rPr>
                <w:rFonts w:hint="eastAsia"/>
                <w:b/>
                <w:bCs/>
                <w:kern w:val="0"/>
                <w:sz w:val="18"/>
                <w:szCs w:val="18"/>
              </w:rPr>
              <w:t>396.3</w:t>
            </w:r>
          </w:p>
        </w:tc>
        <w:tc>
          <w:tcPr>
            <w:tcW w:w="127" w:type="pct"/>
            <w:tcBorders>
              <w:top w:val="single" w:color="auto" w:sz="4" w:space="0"/>
              <w:left w:val="single" w:color="auto" w:sz="4" w:space="0"/>
              <w:bottom w:val="single" w:color="auto" w:sz="4" w:space="0"/>
              <w:right w:val="single" w:color="auto" w:sz="4" w:space="0"/>
            </w:tcBorders>
            <w:vAlign w:val="center"/>
          </w:tcPr>
          <w:p w14:paraId="558F34A5">
            <w:pPr>
              <w:widowControl/>
              <w:spacing w:line="0" w:lineRule="atLeast"/>
              <w:ind w:left="-99" w:leftChars="-47" w:right="-84" w:rightChars="-40" w:firstLine="12" w:firstLineChars="7"/>
              <w:jc w:val="center"/>
              <w:rPr>
                <w:b/>
                <w:bCs/>
                <w:kern w:val="0"/>
                <w:sz w:val="18"/>
                <w:szCs w:val="18"/>
              </w:rPr>
            </w:pPr>
            <w:r>
              <w:rPr>
                <w:rFonts w:hint="eastAsia"/>
                <w:kern w:val="0"/>
                <w:sz w:val="18"/>
                <w:szCs w:val="18"/>
              </w:rPr>
              <w:t>133.3</w:t>
            </w:r>
          </w:p>
        </w:tc>
        <w:tc>
          <w:tcPr>
            <w:tcW w:w="132" w:type="pct"/>
            <w:tcBorders>
              <w:top w:val="single" w:color="auto" w:sz="4" w:space="0"/>
              <w:left w:val="single" w:color="auto" w:sz="4" w:space="0"/>
              <w:bottom w:val="single" w:color="auto" w:sz="4" w:space="0"/>
              <w:right w:val="single" w:color="auto" w:sz="4" w:space="0"/>
            </w:tcBorders>
            <w:vAlign w:val="center"/>
          </w:tcPr>
          <w:p w14:paraId="71E3869D">
            <w:pPr>
              <w:widowControl/>
              <w:spacing w:line="0" w:lineRule="atLeast"/>
              <w:ind w:left="-99" w:leftChars="-47" w:right="-84" w:rightChars="-40" w:firstLine="12" w:firstLineChars="7"/>
              <w:jc w:val="center"/>
              <w:rPr>
                <w:b/>
                <w:bCs/>
                <w:kern w:val="0"/>
                <w:sz w:val="18"/>
                <w:szCs w:val="18"/>
              </w:rPr>
            </w:pPr>
            <w:r>
              <w:rPr>
                <w:kern w:val="0"/>
                <w:sz w:val="18"/>
                <w:szCs w:val="18"/>
              </w:rPr>
              <w:t>263</w:t>
            </w:r>
          </w:p>
        </w:tc>
        <w:tc>
          <w:tcPr>
            <w:tcW w:w="127" w:type="pct"/>
            <w:tcBorders>
              <w:top w:val="single" w:color="auto" w:sz="4" w:space="0"/>
              <w:left w:val="single" w:color="auto" w:sz="4" w:space="0"/>
              <w:bottom w:val="single" w:color="auto" w:sz="4" w:space="0"/>
              <w:right w:val="single" w:color="auto" w:sz="4" w:space="0"/>
            </w:tcBorders>
            <w:vAlign w:val="center"/>
          </w:tcPr>
          <w:p w14:paraId="40B02BB9">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418A2742">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59" w:type="pct"/>
            <w:tcBorders>
              <w:top w:val="single" w:color="auto" w:sz="4" w:space="0"/>
              <w:left w:val="single" w:color="auto" w:sz="4" w:space="0"/>
              <w:bottom w:val="single" w:color="auto" w:sz="4" w:space="0"/>
              <w:right w:val="single" w:color="auto" w:sz="4" w:space="0"/>
            </w:tcBorders>
            <w:vAlign w:val="center"/>
          </w:tcPr>
          <w:p w14:paraId="6C10DAA7">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5DA1240A">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r>
      <w:tr w14:paraId="6D62F8BD">
        <w:tblPrEx>
          <w:tblCellMar>
            <w:top w:w="0" w:type="dxa"/>
            <w:left w:w="108" w:type="dxa"/>
            <w:bottom w:w="0" w:type="dxa"/>
            <w:right w:w="108" w:type="dxa"/>
          </w:tblCellMar>
        </w:tblPrEx>
        <w:trPr>
          <w:trHeight w:val="680" w:hRule="atLeast"/>
        </w:trPr>
        <w:tc>
          <w:tcPr>
            <w:tcW w:w="159" w:type="pct"/>
            <w:vMerge w:val="continue"/>
            <w:tcBorders>
              <w:top w:val="single" w:color="auto" w:sz="4" w:space="0"/>
              <w:left w:val="single" w:color="auto" w:sz="4" w:space="0"/>
              <w:bottom w:val="single" w:color="auto" w:sz="4" w:space="0"/>
              <w:right w:val="single" w:color="auto" w:sz="4" w:space="0"/>
            </w:tcBorders>
            <w:vAlign w:val="center"/>
          </w:tcPr>
          <w:p w14:paraId="6953B93A">
            <w:pPr>
              <w:widowControl/>
              <w:spacing w:line="0" w:lineRule="atLeast"/>
              <w:ind w:left="-99" w:leftChars="-47" w:right="-84" w:rightChars="-40" w:firstLine="13" w:firstLineChars="7"/>
              <w:jc w:val="center"/>
              <w:rPr>
                <w:b/>
                <w:bCs/>
                <w:kern w:val="0"/>
                <w:sz w:val="18"/>
                <w:szCs w:val="18"/>
              </w:rPr>
            </w:pPr>
          </w:p>
        </w:tc>
        <w:tc>
          <w:tcPr>
            <w:tcW w:w="237" w:type="pct"/>
            <w:tcBorders>
              <w:top w:val="single" w:color="auto" w:sz="4" w:space="0"/>
              <w:left w:val="single" w:color="auto" w:sz="4" w:space="0"/>
              <w:bottom w:val="single" w:color="auto" w:sz="4" w:space="0"/>
              <w:right w:val="single" w:color="auto" w:sz="4" w:space="0"/>
            </w:tcBorders>
            <w:vAlign w:val="center"/>
          </w:tcPr>
          <w:p w14:paraId="4BF5E17A">
            <w:pPr>
              <w:widowControl/>
              <w:spacing w:line="0" w:lineRule="atLeast"/>
              <w:ind w:left="-99" w:leftChars="-47" w:right="-84" w:rightChars="-40" w:firstLine="13" w:firstLineChars="7"/>
              <w:jc w:val="center"/>
              <w:rPr>
                <w:b/>
                <w:bCs/>
                <w:kern w:val="0"/>
                <w:sz w:val="18"/>
                <w:szCs w:val="18"/>
              </w:rPr>
            </w:pPr>
            <w:r>
              <w:rPr>
                <w:b/>
                <w:bCs/>
                <w:kern w:val="0"/>
                <w:sz w:val="18"/>
                <w:szCs w:val="18"/>
              </w:rPr>
              <w:t>产值</w:t>
            </w:r>
            <w:r>
              <w:rPr>
                <w:b/>
                <w:bCs/>
                <w:kern w:val="0"/>
                <w:sz w:val="18"/>
                <w:szCs w:val="18"/>
              </w:rPr>
              <w:br w:type="textWrapping"/>
            </w:r>
            <w:r>
              <w:rPr>
                <w:b/>
                <w:bCs/>
                <w:kern w:val="0"/>
                <w:sz w:val="18"/>
                <w:szCs w:val="18"/>
              </w:rPr>
              <w:t>（万元）</w:t>
            </w:r>
          </w:p>
        </w:tc>
        <w:tc>
          <w:tcPr>
            <w:tcW w:w="205" w:type="pct"/>
            <w:tcBorders>
              <w:top w:val="single" w:color="auto" w:sz="4" w:space="0"/>
              <w:left w:val="single" w:color="auto" w:sz="4" w:space="0"/>
              <w:bottom w:val="single" w:color="auto" w:sz="4" w:space="0"/>
              <w:right w:val="single" w:color="auto" w:sz="4" w:space="0"/>
            </w:tcBorders>
            <w:vAlign w:val="center"/>
          </w:tcPr>
          <w:p w14:paraId="32D7E561">
            <w:pPr>
              <w:widowControl/>
              <w:spacing w:line="0" w:lineRule="atLeast"/>
              <w:ind w:left="-99" w:leftChars="-47" w:right="-84" w:rightChars="-40" w:firstLine="13" w:firstLineChars="7"/>
              <w:jc w:val="center"/>
              <w:rPr>
                <w:b/>
                <w:bCs/>
                <w:kern w:val="0"/>
                <w:sz w:val="18"/>
                <w:szCs w:val="18"/>
              </w:rPr>
            </w:pPr>
            <w:r>
              <w:rPr>
                <w:b/>
                <w:bCs/>
                <w:kern w:val="0"/>
                <w:sz w:val="18"/>
                <w:szCs w:val="18"/>
              </w:rPr>
              <w:t>481492</w:t>
            </w:r>
          </w:p>
        </w:tc>
        <w:tc>
          <w:tcPr>
            <w:tcW w:w="133" w:type="pct"/>
            <w:tcBorders>
              <w:top w:val="single" w:color="auto" w:sz="4" w:space="0"/>
              <w:left w:val="single" w:color="auto" w:sz="4" w:space="0"/>
              <w:bottom w:val="single" w:color="auto" w:sz="4" w:space="0"/>
              <w:right w:val="single" w:color="auto" w:sz="4" w:space="0"/>
            </w:tcBorders>
            <w:vAlign w:val="center"/>
          </w:tcPr>
          <w:p w14:paraId="1F878ED6">
            <w:pPr>
              <w:widowControl/>
              <w:spacing w:line="0" w:lineRule="atLeast"/>
              <w:ind w:left="-99" w:leftChars="-47" w:right="-84" w:rightChars="-40" w:firstLine="13" w:firstLineChars="7"/>
              <w:jc w:val="center"/>
              <w:rPr>
                <w:b/>
                <w:bCs/>
                <w:kern w:val="0"/>
                <w:sz w:val="18"/>
                <w:szCs w:val="18"/>
              </w:rPr>
            </w:pPr>
            <w:r>
              <w:rPr>
                <w:b/>
                <w:bCs/>
                <w:kern w:val="0"/>
                <w:sz w:val="18"/>
                <w:szCs w:val="18"/>
              </w:rPr>
              <w:t>43712</w:t>
            </w:r>
          </w:p>
        </w:tc>
        <w:tc>
          <w:tcPr>
            <w:tcW w:w="133" w:type="pct"/>
            <w:tcBorders>
              <w:top w:val="single" w:color="auto" w:sz="4" w:space="0"/>
              <w:left w:val="single" w:color="auto" w:sz="4" w:space="0"/>
              <w:bottom w:val="single" w:color="auto" w:sz="4" w:space="0"/>
              <w:right w:val="single" w:color="auto" w:sz="4" w:space="0"/>
            </w:tcBorders>
            <w:vAlign w:val="center"/>
          </w:tcPr>
          <w:p w14:paraId="2E7F5DFE">
            <w:pPr>
              <w:widowControl/>
              <w:spacing w:line="0" w:lineRule="atLeast"/>
              <w:ind w:left="-99" w:leftChars="-47" w:right="-84" w:rightChars="-40" w:firstLine="13" w:firstLineChars="7"/>
              <w:jc w:val="center"/>
              <w:rPr>
                <w:b/>
                <w:bCs/>
                <w:kern w:val="0"/>
                <w:sz w:val="18"/>
                <w:szCs w:val="18"/>
              </w:rPr>
            </w:pPr>
            <w:r>
              <w:rPr>
                <w:b/>
                <w:bCs/>
                <w:kern w:val="0"/>
                <w:sz w:val="18"/>
                <w:szCs w:val="18"/>
              </w:rPr>
              <w:t>—</w:t>
            </w:r>
          </w:p>
        </w:tc>
        <w:tc>
          <w:tcPr>
            <w:tcW w:w="133" w:type="pct"/>
            <w:tcBorders>
              <w:top w:val="single" w:color="auto" w:sz="4" w:space="0"/>
              <w:left w:val="single" w:color="auto" w:sz="4" w:space="0"/>
              <w:bottom w:val="single" w:color="auto" w:sz="4" w:space="0"/>
              <w:right w:val="single" w:color="auto" w:sz="4" w:space="0"/>
            </w:tcBorders>
            <w:vAlign w:val="center"/>
          </w:tcPr>
          <w:p w14:paraId="6745A03A">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4" w:type="pct"/>
            <w:tcBorders>
              <w:top w:val="single" w:color="auto" w:sz="4" w:space="0"/>
              <w:left w:val="single" w:color="auto" w:sz="4" w:space="0"/>
              <w:bottom w:val="single" w:color="auto" w:sz="4" w:space="0"/>
              <w:right w:val="single" w:color="auto" w:sz="4" w:space="0"/>
            </w:tcBorders>
            <w:vAlign w:val="center"/>
          </w:tcPr>
          <w:p w14:paraId="7520D1CB">
            <w:pPr>
              <w:widowControl/>
              <w:spacing w:line="0" w:lineRule="atLeast"/>
              <w:ind w:left="-99" w:leftChars="-47" w:right="-84" w:rightChars="-40" w:firstLine="12" w:firstLineChars="7"/>
              <w:jc w:val="center"/>
              <w:rPr>
                <w:b/>
                <w:bCs/>
                <w:kern w:val="0"/>
                <w:sz w:val="18"/>
                <w:szCs w:val="18"/>
              </w:rPr>
            </w:pPr>
            <w:r>
              <w:rPr>
                <w:kern w:val="0"/>
                <w:sz w:val="18"/>
                <w:szCs w:val="18"/>
              </w:rPr>
              <w:t>43712</w:t>
            </w:r>
          </w:p>
        </w:tc>
        <w:tc>
          <w:tcPr>
            <w:tcW w:w="132" w:type="pct"/>
            <w:tcBorders>
              <w:top w:val="single" w:color="auto" w:sz="4" w:space="0"/>
              <w:left w:val="single" w:color="auto" w:sz="4" w:space="0"/>
              <w:bottom w:val="single" w:color="auto" w:sz="4" w:space="0"/>
              <w:right w:val="single" w:color="auto" w:sz="4" w:space="0"/>
            </w:tcBorders>
            <w:vAlign w:val="center"/>
          </w:tcPr>
          <w:p w14:paraId="071D5B33">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80" w:type="pct"/>
            <w:tcBorders>
              <w:top w:val="single" w:color="auto" w:sz="4" w:space="0"/>
              <w:left w:val="single" w:color="auto" w:sz="4" w:space="0"/>
              <w:bottom w:val="single" w:color="auto" w:sz="4" w:space="0"/>
              <w:right w:val="single" w:color="auto" w:sz="4" w:space="0"/>
            </w:tcBorders>
            <w:vAlign w:val="center"/>
          </w:tcPr>
          <w:p w14:paraId="0C407026">
            <w:pPr>
              <w:widowControl/>
              <w:spacing w:line="0" w:lineRule="atLeast"/>
              <w:ind w:left="-99" w:leftChars="-47" w:right="-84" w:rightChars="-40" w:firstLine="13" w:firstLineChars="7"/>
              <w:jc w:val="center"/>
              <w:rPr>
                <w:b/>
                <w:bCs/>
                <w:kern w:val="0"/>
                <w:sz w:val="18"/>
                <w:szCs w:val="18"/>
              </w:rPr>
            </w:pPr>
            <w:r>
              <w:rPr>
                <w:b/>
                <w:bCs/>
                <w:kern w:val="0"/>
                <w:sz w:val="18"/>
                <w:szCs w:val="18"/>
              </w:rPr>
              <w:t>47296</w:t>
            </w:r>
          </w:p>
        </w:tc>
        <w:tc>
          <w:tcPr>
            <w:tcW w:w="130" w:type="pct"/>
            <w:tcBorders>
              <w:top w:val="single" w:color="auto" w:sz="4" w:space="0"/>
              <w:left w:val="single" w:color="auto" w:sz="4" w:space="0"/>
              <w:bottom w:val="single" w:color="auto" w:sz="4" w:space="0"/>
              <w:right w:val="single" w:color="auto" w:sz="4" w:space="0"/>
            </w:tcBorders>
            <w:vAlign w:val="center"/>
          </w:tcPr>
          <w:p w14:paraId="1F1B1342">
            <w:pPr>
              <w:widowControl/>
              <w:spacing w:line="0" w:lineRule="atLeast"/>
              <w:ind w:left="-99" w:leftChars="-47" w:right="-84" w:rightChars="-40" w:firstLine="12" w:firstLineChars="7"/>
              <w:jc w:val="center"/>
              <w:rPr>
                <w:kern w:val="0"/>
                <w:sz w:val="18"/>
                <w:szCs w:val="18"/>
              </w:rPr>
            </w:pPr>
            <w:r>
              <w:rPr>
                <w:kern w:val="0"/>
                <w:sz w:val="18"/>
                <w:szCs w:val="18"/>
              </w:rPr>
              <w:t>—</w:t>
            </w:r>
          </w:p>
        </w:tc>
        <w:tc>
          <w:tcPr>
            <w:tcW w:w="172" w:type="pct"/>
            <w:tcBorders>
              <w:top w:val="single" w:color="auto" w:sz="4" w:space="0"/>
              <w:left w:val="single" w:color="auto" w:sz="4" w:space="0"/>
              <w:bottom w:val="single" w:color="auto" w:sz="4" w:space="0"/>
              <w:right w:val="single" w:color="auto" w:sz="4" w:space="0"/>
            </w:tcBorders>
            <w:vAlign w:val="center"/>
          </w:tcPr>
          <w:p w14:paraId="6CBEA051">
            <w:pPr>
              <w:widowControl/>
              <w:spacing w:line="0" w:lineRule="atLeast"/>
              <w:ind w:left="-99" w:leftChars="-47" w:right="-84" w:rightChars="-40" w:firstLine="12" w:firstLineChars="7"/>
              <w:jc w:val="center"/>
              <w:rPr>
                <w:kern w:val="0"/>
                <w:sz w:val="18"/>
                <w:szCs w:val="18"/>
              </w:rPr>
            </w:pPr>
            <w:r>
              <w:rPr>
                <w:rFonts w:hint="eastAsia"/>
                <w:kern w:val="0"/>
                <w:sz w:val="18"/>
                <w:szCs w:val="18"/>
              </w:rPr>
              <w:t>11218</w:t>
            </w:r>
          </w:p>
        </w:tc>
        <w:tc>
          <w:tcPr>
            <w:tcW w:w="168" w:type="pct"/>
            <w:tcBorders>
              <w:top w:val="single" w:color="auto" w:sz="4" w:space="0"/>
              <w:left w:val="single" w:color="auto" w:sz="4" w:space="0"/>
              <w:bottom w:val="single" w:color="auto" w:sz="4" w:space="0"/>
              <w:right w:val="single" w:color="auto" w:sz="4" w:space="0"/>
            </w:tcBorders>
            <w:noWrap/>
            <w:vAlign w:val="center"/>
          </w:tcPr>
          <w:p w14:paraId="68193F5B">
            <w:pPr>
              <w:widowControl/>
              <w:spacing w:line="0" w:lineRule="atLeast"/>
              <w:ind w:left="-99" w:leftChars="-47" w:right="-84" w:rightChars="-40" w:firstLine="12" w:firstLineChars="7"/>
              <w:jc w:val="center"/>
              <w:rPr>
                <w:kern w:val="0"/>
                <w:sz w:val="18"/>
                <w:szCs w:val="18"/>
              </w:rPr>
            </w:pPr>
            <w:r>
              <w:rPr>
                <w:kern w:val="0"/>
                <w:sz w:val="18"/>
                <w:szCs w:val="18"/>
              </w:rPr>
              <w:t>23678</w:t>
            </w:r>
          </w:p>
        </w:tc>
        <w:tc>
          <w:tcPr>
            <w:tcW w:w="170" w:type="pct"/>
            <w:tcBorders>
              <w:top w:val="single" w:color="auto" w:sz="4" w:space="0"/>
              <w:left w:val="single" w:color="auto" w:sz="4" w:space="0"/>
              <w:bottom w:val="single" w:color="auto" w:sz="4" w:space="0"/>
              <w:right w:val="single" w:color="auto" w:sz="4" w:space="0"/>
            </w:tcBorders>
            <w:noWrap/>
            <w:vAlign w:val="center"/>
          </w:tcPr>
          <w:p w14:paraId="2BA070AF">
            <w:pPr>
              <w:widowControl/>
              <w:spacing w:line="0" w:lineRule="atLeast"/>
              <w:ind w:left="-99" w:leftChars="-47" w:right="-84" w:rightChars="-40" w:firstLine="12" w:firstLineChars="7"/>
              <w:jc w:val="center"/>
              <w:rPr>
                <w:kern w:val="0"/>
                <w:sz w:val="18"/>
                <w:szCs w:val="18"/>
              </w:rPr>
            </w:pPr>
            <w:r>
              <w:rPr>
                <w:kern w:val="0"/>
                <w:sz w:val="18"/>
                <w:szCs w:val="18"/>
              </w:rPr>
              <w:t>4200</w:t>
            </w:r>
          </w:p>
        </w:tc>
        <w:tc>
          <w:tcPr>
            <w:tcW w:w="170" w:type="pct"/>
            <w:tcBorders>
              <w:top w:val="single" w:color="auto" w:sz="4" w:space="0"/>
              <w:left w:val="single" w:color="auto" w:sz="4" w:space="0"/>
              <w:bottom w:val="single" w:color="auto" w:sz="4" w:space="0"/>
              <w:right w:val="single" w:color="auto" w:sz="4" w:space="0"/>
            </w:tcBorders>
            <w:noWrap/>
            <w:vAlign w:val="center"/>
          </w:tcPr>
          <w:p w14:paraId="450FAF42">
            <w:pPr>
              <w:widowControl/>
              <w:spacing w:line="0" w:lineRule="atLeast"/>
              <w:ind w:left="-99" w:leftChars="-47" w:right="-84" w:rightChars="-40" w:firstLine="12" w:firstLineChars="7"/>
              <w:jc w:val="center"/>
              <w:rPr>
                <w:kern w:val="0"/>
                <w:sz w:val="18"/>
                <w:szCs w:val="18"/>
              </w:rPr>
            </w:pPr>
            <w:r>
              <w:rPr>
                <w:kern w:val="0"/>
                <w:sz w:val="18"/>
                <w:szCs w:val="18"/>
              </w:rPr>
              <w:t>8200</w:t>
            </w:r>
          </w:p>
        </w:tc>
        <w:tc>
          <w:tcPr>
            <w:tcW w:w="171" w:type="pct"/>
            <w:tcBorders>
              <w:top w:val="single" w:color="auto" w:sz="4" w:space="0"/>
              <w:left w:val="single" w:color="auto" w:sz="4" w:space="0"/>
              <w:bottom w:val="single" w:color="auto" w:sz="4" w:space="0"/>
              <w:right w:val="single" w:color="auto" w:sz="4" w:space="0"/>
            </w:tcBorders>
            <w:vAlign w:val="center"/>
          </w:tcPr>
          <w:p w14:paraId="05C34DF9">
            <w:pPr>
              <w:widowControl/>
              <w:spacing w:line="0" w:lineRule="atLeast"/>
              <w:ind w:left="-99" w:leftChars="-47" w:right="-84" w:rightChars="-40" w:firstLine="13" w:firstLineChars="7"/>
              <w:jc w:val="center"/>
              <w:rPr>
                <w:b/>
                <w:bCs/>
                <w:kern w:val="0"/>
                <w:sz w:val="18"/>
                <w:szCs w:val="18"/>
              </w:rPr>
            </w:pPr>
            <w:r>
              <w:rPr>
                <w:b/>
                <w:bCs/>
                <w:kern w:val="0"/>
                <w:sz w:val="18"/>
                <w:szCs w:val="18"/>
              </w:rPr>
              <w:t>3480</w:t>
            </w:r>
          </w:p>
        </w:tc>
        <w:tc>
          <w:tcPr>
            <w:tcW w:w="170" w:type="pct"/>
            <w:tcBorders>
              <w:top w:val="single" w:color="auto" w:sz="4" w:space="0"/>
              <w:left w:val="single" w:color="auto" w:sz="4" w:space="0"/>
              <w:bottom w:val="single" w:color="auto" w:sz="4" w:space="0"/>
              <w:right w:val="single" w:color="auto" w:sz="4" w:space="0"/>
            </w:tcBorders>
            <w:vAlign w:val="center"/>
          </w:tcPr>
          <w:p w14:paraId="3092F883">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11549621">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27" w:type="pct"/>
            <w:tcBorders>
              <w:top w:val="single" w:color="auto" w:sz="4" w:space="0"/>
              <w:left w:val="single" w:color="auto" w:sz="4" w:space="0"/>
              <w:bottom w:val="single" w:color="auto" w:sz="4" w:space="0"/>
              <w:right w:val="single" w:color="auto" w:sz="4" w:space="0"/>
            </w:tcBorders>
            <w:vAlign w:val="center"/>
          </w:tcPr>
          <w:p w14:paraId="75102FF9">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32" w:type="pct"/>
            <w:tcBorders>
              <w:top w:val="single" w:color="auto" w:sz="4" w:space="0"/>
              <w:left w:val="single" w:color="auto" w:sz="4" w:space="0"/>
              <w:bottom w:val="single" w:color="auto" w:sz="4" w:space="0"/>
              <w:right w:val="single" w:color="auto" w:sz="4" w:space="0"/>
            </w:tcBorders>
            <w:vAlign w:val="center"/>
          </w:tcPr>
          <w:p w14:paraId="090D684F">
            <w:pPr>
              <w:widowControl/>
              <w:spacing w:line="0" w:lineRule="atLeast"/>
              <w:ind w:left="-99" w:leftChars="-47" w:right="-84" w:rightChars="-40" w:firstLine="12" w:firstLineChars="7"/>
              <w:jc w:val="center"/>
              <w:rPr>
                <w:b/>
                <w:bCs/>
                <w:kern w:val="0"/>
                <w:sz w:val="18"/>
                <w:szCs w:val="18"/>
              </w:rPr>
            </w:pPr>
            <w:r>
              <w:rPr>
                <w:kern w:val="0"/>
                <w:sz w:val="18"/>
                <w:szCs w:val="18"/>
              </w:rPr>
              <w:t>—</w:t>
            </w:r>
          </w:p>
        </w:tc>
        <w:tc>
          <w:tcPr>
            <w:tcW w:w="186" w:type="pct"/>
            <w:tcBorders>
              <w:top w:val="single" w:color="auto" w:sz="4" w:space="0"/>
              <w:left w:val="single" w:color="auto" w:sz="4" w:space="0"/>
              <w:bottom w:val="single" w:color="auto" w:sz="4" w:space="0"/>
              <w:right w:val="single" w:color="auto" w:sz="4" w:space="0"/>
            </w:tcBorders>
            <w:vAlign w:val="center"/>
          </w:tcPr>
          <w:p w14:paraId="6267541F">
            <w:pPr>
              <w:widowControl/>
              <w:spacing w:line="0" w:lineRule="atLeast"/>
              <w:ind w:left="-99" w:leftChars="-47" w:right="-84" w:rightChars="-40" w:firstLine="13" w:firstLineChars="7"/>
              <w:jc w:val="center"/>
              <w:rPr>
                <w:b/>
                <w:bCs/>
                <w:kern w:val="0"/>
                <w:sz w:val="18"/>
                <w:szCs w:val="18"/>
              </w:rPr>
            </w:pPr>
            <w:r>
              <w:rPr>
                <w:b/>
                <w:bCs/>
                <w:kern w:val="0"/>
                <w:sz w:val="18"/>
                <w:szCs w:val="18"/>
              </w:rPr>
              <w:t>372859</w:t>
            </w:r>
          </w:p>
        </w:tc>
        <w:tc>
          <w:tcPr>
            <w:tcW w:w="162" w:type="pct"/>
            <w:tcBorders>
              <w:top w:val="single" w:color="auto" w:sz="4" w:space="0"/>
              <w:left w:val="single" w:color="auto" w:sz="4" w:space="0"/>
              <w:bottom w:val="single" w:color="auto" w:sz="4" w:space="0"/>
              <w:right w:val="single" w:color="auto" w:sz="4" w:space="0"/>
            </w:tcBorders>
            <w:noWrap/>
            <w:vAlign w:val="center"/>
          </w:tcPr>
          <w:p w14:paraId="311316A9">
            <w:pPr>
              <w:widowControl/>
              <w:spacing w:line="0" w:lineRule="atLeast"/>
              <w:ind w:left="-99" w:leftChars="-47" w:right="-84" w:rightChars="-40" w:firstLine="12" w:firstLineChars="7"/>
              <w:jc w:val="center"/>
              <w:rPr>
                <w:kern w:val="0"/>
                <w:sz w:val="18"/>
                <w:szCs w:val="18"/>
              </w:rPr>
            </w:pPr>
            <w:r>
              <w:rPr>
                <w:kern w:val="0"/>
                <w:sz w:val="18"/>
                <w:szCs w:val="18"/>
              </w:rPr>
              <w:t>240912</w:t>
            </w:r>
          </w:p>
        </w:tc>
        <w:tc>
          <w:tcPr>
            <w:tcW w:w="165" w:type="pct"/>
            <w:tcBorders>
              <w:top w:val="single" w:color="auto" w:sz="4" w:space="0"/>
              <w:left w:val="single" w:color="auto" w:sz="4" w:space="0"/>
              <w:bottom w:val="single" w:color="auto" w:sz="4" w:space="0"/>
              <w:right w:val="single" w:color="auto" w:sz="4" w:space="0"/>
            </w:tcBorders>
            <w:noWrap/>
            <w:vAlign w:val="center"/>
          </w:tcPr>
          <w:p w14:paraId="44590C5D">
            <w:pPr>
              <w:widowControl/>
              <w:spacing w:line="0" w:lineRule="atLeast"/>
              <w:ind w:left="-99" w:leftChars="-47" w:right="-84" w:rightChars="-40" w:firstLine="12" w:firstLineChars="7"/>
              <w:jc w:val="center"/>
              <w:rPr>
                <w:kern w:val="0"/>
                <w:sz w:val="18"/>
                <w:szCs w:val="18"/>
              </w:rPr>
            </w:pPr>
            <w:r>
              <w:rPr>
                <w:kern w:val="0"/>
                <w:sz w:val="18"/>
                <w:szCs w:val="18"/>
              </w:rPr>
              <w:t>100944</w:t>
            </w:r>
          </w:p>
        </w:tc>
        <w:tc>
          <w:tcPr>
            <w:tcW w:w="165" w:type="pct"/>
            <w:tcBorders>
              <w:top w:val="single" w:color="auto" w:sz="4" w:space="0"/>
              <w:left w:val="single" w:color="auto" w:sz="4" w:space="0"/>
              <w:bottom w:val="single" w:color="auto" w:sz="4" w:space="0"/>
              <w:right w:val="single" w:color="auto" w:sz="4" w:space="0"/>
            </w:tcBorders>
            <w:noWrap/>
            <w:vAlign w:val="center"/>
          </w:tcPr>
          <w:p w14:paraId="273C23C1">
            <w:pPr>
              <w:widowControl/>
              <w:spacing w:line="0" w:lineRule="atLeast"/>
              <w:ind w:left="-99" w:leftChars="-47" w:right="-84" w:rightChars="-40" w:firstLine="12" w:firstLineChars="7"/>
              <w:jc w:val="center"/>
              <w:rPr>
                <w:kern w:val="0"/>
                <w:sz w:val="18"/>
                <w:szCs w:val="18"/>
              </w:rPr>
            </w:pPr>
            <w:r>
              <w:rPr>
                <w:kern w:val="0"/>
                <w:sz w:val="18"/>
                <w:szCs w:val="18"/>
              </w:rPr>
              <w:t>8096</w:t>
            </w:r>
          </w:p>
        </w:tc>
        <w:tc>
          <w:tcPr>
            <w:tcW w:w="175" w:type="pct"/>
            <w:tcBorders>
              <w:top w:val="single" w:color="auto" w:sz="4" w:space="0"/>
              <w:left w:val="single" w:color="auto" w:sz="4" w:space="0"/>
              <w:bottom w:val="single" w:color="auto" w:sz="4" w:space="0"/>
              <w:right w:val="single" w:color="auto" w:sz="4" w:space="0"/>
            </w:tcBorders>
            <w:noWrap/>
            <w:vAlign w:val="center"/>
          </w:tcPr>
          <w:p w14:paraId="49346008">
            <w:pPr>
              <w:widowControl/>
              <w:spacing w:line="0" w:lineRule="atLeast"/>
              <w:ind w:left="-99" w:leftChars="-47" w:right="-84" w:rightChars="-40" w:firstLine="12" w:firstLineChars="7"/>
              <w:jc w:val="center"/>
              <w:rPr>
                <w:kern w:val="0"/>
                <w:sz w:val="18"/>
                <w:szCs w:val="18"/>
              </w:rPr>
            </w:pPr>
            <w:r>
              <w:rPr>
                <w:kern w:val="0"/>
                <w:sz w:val="18"/>
                <w:szCs w:val="18"/>
              </w:rPr>
              <w:t>10001</w:t>
            </w:r>
          </w:p>
        </w:tc>
        <w:tc>
          <w:tcPr>
            <w:tcW w:w="187" w:type="pct"/>
            <w:tcBorders>
              <w:top w:val="single" w:color="auto" w:sz="4" w:space="0"/>
              <w:left w:val="single" w:color="auto" w:sz="4" w:space="0"/>
              <w:bottom w:val="single" w:color="auto" w:sz="4" w:space="0"/>
              <w:right w:val="single" w:color="auto" w:sz="4" w:space="0"/>
            </w:tcBorders>
            <w:noWrap/>
            <w:vAlign w:val="center"/>
          </w:tcPr>
          <w:p w14:paraId="7954E03B">
            <w:pPr>
              <w:widowControl/>
              <w:spacing w:line="0" w:lineRule="atLeast"/>
              <w:ind w:left="-99" w:leftChars="-47" w:right="-84" w:rightChars="-40" w:firstLine="12" w:firstLineChars="7"/>
              <w:jc w:val="center"/>
              <w:rPr>
                <w:kern w:val="0"/>
                <w:sz w:val="18"/>
                <w:szCs w:val="18"/>
              </w:rPr>
            </w:pPr>
            <w:r>
              <w:rPr>
                <w:kern w:val="0"/>
                <w:sz w:val="18"/>
                <w:szCs w:val="18"/>
              </w:rPr>
              <w:t>12906</w:t>
            </w:r>
          </w:p>
        </w:tc>
        <w:tc>
          <w:tcPr>
            <w:tcW w:w="173" w:type="pct"/>
            <w:tcBorders>
              <w:top w:val="single" w:color="auto" w:sz="4" w:space="0"/>
              <w:left w:val="single" w:color="auto" w:sz="4" w:space="0"/>
              <w:bottom w:val="single" w:color="auto" w:sz="4" w:space="0"/>
              <w:right w:val="single" w:color="auto" w:sz="4" w:space="0"/>
            </w:tcBorders>
            <w:vAlign w:val="center"/>
          </w:tcPr>
          <w:p w14:paraId="482B22A8">
            <w:pPr>
              <w:widowControl/>
              <w:spacing w:line="0" w:lineRule="atLeast"/>
              <w:ind w:left="-99" w:leftChars="-47" w:right="-84" w:rightChars="-40" w:firstLine="13" w:firstLineChars="7"/>
              <w:jc w:val="center"/>
              <w:rPr>
                <w:b/>
                <w:bCs/>
                <w:kern w:val="0"/>
                <w:sz w:val="18"/>
                <w:szCs w:val="18"/>
              </w:rPr>
            </w:pPr>
            <w:r>
              <w:rPr>
                <w:b/>
                <w:bCs/>
                <w:kern w:val="0"/>
                <w:sz w:val="18"/>
                <w:szCs w:val="18"/>
              </w:rPr>
              <w:t>5938</w:t>
            </w:r>
          </w:p>
        </w:tc>
        <w:tc>
          <w:tcPr>
            <w:tcW w:w="127" w:type="pct"/>
            <w:tcBorders>
              <w:top w:val="single" w:color="auto" w:sz="4" w:space="0"/>
              <w:left w:val="single" w:color="auto" w:sz="4" w:space="0"/>
              <w:bottom w:val="single" w:color="auto" w:sz="4" w:space="0"/>
              <w:right w:val="single" w:color="auto" w:sz="4" w:space="0"/>
            </w:tcBorders>
            <w:vAlign w:val="center"/>
          </w:tcPr>
          <w:p w14:paraId="39DD5E2C">
            <w:pPr>
              <w:widowControl/>
              <w:spacing w:line="0" w:lineRule="atLeast"/>
              <w:ind w:left="-99" w:leftChars="-47" w:right="-84" w:rightChars="-40" w:firstLine="12" w:firstLineChars="7"/>
              <w:jc w:val="center"/>
              <w:rPr>
                <w:b/>
                <w:bCs/>
                <w:kern w:val="0"/>
                <w:sz w:val="18"/>
                <w:szCs w:val="18"/>
              </w:rPr>
            </w:pPr>
            <w:r>
              <w:rPr>
                <w:kern w:val="0"/>
                <w:sz w:val="18"/>
                <w:szCs w:val="18"/>
              </w:rPr>
              <w:t>75</w:t>
            </w:r>
          </w:p>
        </w:tc>
        <w:tc>
          <w:tcPr>
            <w:tcW w:w="132" w:type="pct"/>
            <w:tcBorders>
              <w:top w:val="single" w:color="auto" w:sz="4" w:space="0"/>
              <w:left w:val="single" w:color="auto" w:sz="4" w:space="0"/>
              <w:bottom w:val="single" w:color="auto" w:sz="4" w:space="0"/>
              <w:right w:val="single" w:color="auto" w:sz="4" w:space="0"/>
            </w:tcBorders>
            <w:vAlign w:val="center"/>
          </w:tcPr>
          <w:p w14:paraId="7C72A156">
            <w:pPr>
              <w:widowControl/>
              <w:spacing w:line="0" w:lineRule="atLeast"/>
              <w:ind w:left="-99" w:leftChars="-47" w:right="-84" w:rightChars="-40" w:firstLine="12" w:firstLineChars="7"/>
              <w:jc w:val="center"/>
              <w:rPr>
                <w:b/>
                <w:bCs/>
                <w:kern w:val="0"/>
                <w:sz w:val="18"/>
                <w:szCs w:val="18"/>
              </w:rPr>
            </w:pPr>
            <w:r>
              <w:rPr>
                <w:kern w:val="0"/>
                <w:sz w:val="18"/>
                <w:szCs w:val="18"/>
              </w:rPr>
              <w:t>5863</w:t>
            </w:r>
          </w:p>
        </w:tc>
        <w:tc>
          <w:tcPr>
            <w:tcW w:w="127" w:type="pct"/>
            <w:tcBorders>
              <w:top w:val="single" w:color="auto" w:sz="4" w:space="0"/>
              <w:left w:val="single" w:color="auto" w:sz="4" w:space="0"/>
              <w:bottom w:val="single" w:color="auto" w:sz="4" w:space="0"/>
              <w:right w:val="single" w:color="auto" w:sz="4" w:space="0"/>
            </w:tcBorders>
            <w:noWrap/>
            <w:vAlign w:val="center"/>
          </w:tcPr>
          <w:p w14:paraId="54A45AE6">
            <w:pPr>
              <w:widowControl/>
              <w:spacing w:line="0" w:lineRule="atLeast"/>
              <w:ind w:left="-99" w:leftChars="-47" w:right="-84" w:rightChars="-40" w:firstLine="13" w:firstLineChars="7"/>
              <w:jc w:val="center"/>
              <w:rPr>
                <w:b/>
                <w:bCs/>
                <w:kern w:val="0"/>
                <w:sz w:val="18"/>
                <w:szCs w:val="18"/>
              </w:rPr>
            </w:pPr>
            <w:r>
              <w:rPr>
                <w:b/>
                <w:bCs/>
                <w:kern w:val="0"/>
                <w:sz w:val="18"/>
                <w:szCs w:val="18"/>
              </w:rPr>
              <w:t>8206</w:t>
            </w:r>
          </w:p>
        </w:tc>
        <w:tc>
          <w:tcPr>
            <w:tcW w:w="127" w:type="pct"/>
            <w:tcBorders>
              <w:top w:val="single" w:color="auto" w:sz="4" w:space="0"/>
              <w:left w:val="single" w:color="auto" w:sz="4" w:space="0"/>
              <w:bottom w:val="single" w:color="auto" w:sz="4" w:space="0"/>
              <w:right w:val="single" w:color="auto" w:sz="4" w:space="0"/>
            </w:tcBorders>
            <w:noWrap/>
            <w:vAlign w:val="center"/>
          </w:tcPr>
          <w:p w14:paraId="404010BB">
            <w:pPr>
              <w:widowControl/>
              <w:spacing w:line="0" w:lineRule="atLeast"/>
              <w:ind w:left="-99" w:leftChars="-47" w:right="-84" w:rightChars="-40" w:firstLine="12" w:firstLineChars="7"/>
              <w:jc w:val="center"/>
              <w:rPr>
                <w:kern w:val="0"/>
                <w:sz w:val="18"/>
                <w:szCs w:val="18"/>
              </w:rPr>
            </w:pPr>
            <w:r>
              <w:rPr>
                <w:kern w:val="0"/>
                <w:sz w:val="18"/>
                <w:szCs w:val="18"/>
              </w:rPr>
              <w:t>2249</w:t>
            </w:r>
          </w:p>
        </w:tc>
        <w:tc>
          <w:tcPr>
            <w:tcW w:w="159" w:type="pct"/>
            <w:tcBorders>
              <w:top w:val="single" w:color="auto" w:sz="4" w:space="0"/>
              <w:left w:val="single" w:color="auto" w:sz="4" w:space="0"/>
              <w:bottom w:val="single" w:color="auto" w:sz="4" w:space="0"/>
              <w:right w:val="single" w:color="auto" w:sz="4" w:space="0"/>
            </w:tcBorders>
            <w:noWrap/>
            <w:vAlign w:val="center"/>
          </w:tcPr>
          <w:p w14:paraId="74CEB457">
            <w:pPr>
              <w:widowControl/>
              <w:spacing w:line="0" w:lineRule="atLeast"/>
              <w:ind w:left="-99" w:leftChars="-47" w:right="-84" w:rightChars="-40" w:firstLine="12" w:firstLineChars="7"/>
              <w:jc w:val="center"/>
              <w:rPr>
                <w:kern w:val="0"/>
                <w:sz w:val="18"/>
                <w:szCs w:val="18"/>
              </w:rPr>
            </w:pPr>
            <w:r>
              <w:rPr>
                <w:kern w:val="0"/>
                <w:sz w:val="18"/>
                <w:szCs w:val="18"/>
              </w:rPr>
              <w:t>2766</w:t>
            </w:r>
          </w:p>
        </w:tc>
        <w:tc>
          <w:tcPr>
            <w:tcW w:w="132" w:type="pct"/>
            <w:tcBorders>
              <w:top w:val="single" w:color="auto" w:sz="4" w:space="0"/>
              <w:left w:val="single" w:color="auto" w:sz="4" w:space="0"/>
              <w:bottom w:val="single" w:color="auto" w:sz="4" w:space="0"/>
              <w:right w:val="single" w:color="auto" w:sz="4" w:space="0"/>
            </w:tcBorders>
            <w:noWrap/>
            <w:vAlign w:val="center"/>
          </w:tcPr>
          <w:p w14:paraId="38E968B7">
            <w:pPr>
              <w:widowControl/>
              <w:spacing w:line="0" w:lineRule="atLeast"/>
              <w:ind w:left="-99" w:leftChars="-47" w:right="-84" w:rightChars="-40" w:firstLine="12" w:firstLineChars="7"/>
              <w:jc w:val="center"/>
              <w:rPr>
                <w:kern w:val="0"/>
                <w:sz w:val="18"/>
                <w:szCs w:val="18"/>
              </w:rPr>
            </w:pPr>
            <w:r>
              <w:rPr>
                <w:kern w:val="0"/>
                <w:sz w:val="18"/>
                <w:szCs w:val="18"/>
              </w:rPr>
              <w:t>3191</w:t>
            </w:r>
          </w:p>
        </w:tc>
      </w:tr>
    </w:tbl>
    <w:p w14:paraId="08ED56B6">
      <w:pPr>
        <w:spacing w:line="360" w:lineRule="auto"/>
        <w:jc w:val="left"/>
        <w:rPr>
          <w:rFonts w:eastAsia="仿宋_GB2312"/>
          <w:b/>
          <w:bCs/>
          <w:sz w:val="32"/>
          <w:szCs w:val="32"/>
        </w:rPr>
      </w:pPr>
    </w:p>
    <w:p w14:paraId="142434E6">
      <w:pPr>
        <w:spacing w:line="360" w:lineRule="auto"/>
        <w:rPr>
          <w:rFonts w:hint="eastAsia" w:eastAsia="仿宋_GB2312"/>
          <w:b/>
          <w:bCs/>
          <w:sz w:val="32"/>
          <w:szCs w:val="32"/>
        </w:rPr>
        <w:sectPr>
          <w:footerReference r:id="rId7" w:type="default"/>
          <w:pgSz w:w="23811" w:h="16838" w:orient="landscape"/>
          <w:pgMar w:top="1803" w:right="1440" w:bottom="1803" w:left="1440" w:header="851" w:footer="992" w:gutter="0"/>
          <w:cols w:space="720" w:num="1"/>
          <w:docGrid w:type="lines" w:linePitch="319" w:charSpace="0"/>
        </w:sectPr>
      </w:pPr>
    </w:p>
    <w:p w14:paraId="4C0E188C"/>
    <w:p w14:paraId="53D08727">
      <w:pPr>
        <w:jc w:val="center"/>
        <w:rPr>
          <w:rFonts w:eastAsia="黑体"/>
          <w:b/>
          <w:sz w:val="32"/>
          <w:szCs w:val="32"/>
        </w:rPr>
      </w:pPr>
      <w:bookmarkStart w:id="260" w:name="_Toc70598427"/>
      <w:r>
        <w:rPr>
          <w:rFonts w:eastAsia="黑体"/>
          <w:b/>
          <w:sz w:val="32"/>
          <w:szCs w:val="32"/>
        </w:rPr>
        <w:t>表2 三亚市2020年林业产业结构</w:t>
      </w:r>
      <w:bookmarkEnd w:id="260"/>
      <w:r>
        <w:rPr>
          <w:rFonts w:eastAsia="黑体"/>
          <w:b/>
          <w:sz w:val="32"/>
          <w:szCs w:val="32"/>
        </w:rPr>
        <w:t>统计表</w:t>
      </w:r>
    </w:p>
    <w:tbl>
      <w:tblPr>
        <w:tblStyle w:val="18"/>
        <w:tblW w:w="20799" w:type="dxa"/>
        <w:tblInd w:w="5" w:type="dxa"/>
        <w:tblLayout w:type="autofit"/>
        <w:tblCellMar>
          <w:top w:w="0" w:type="dxa"/>
          <w:left w:w="108" w:type="dxa"/>
          <w:bottom w:w="0" w:type="dxa"/>
          <w:right w:w="108" w:type="dxa"/>
        </w:tblCellMar>
      </w:tblPr>
      <w:tblGrid>
        <w:gridCol w:w="1356"/>
        <w:gridCol w:w="756"/>
        <w:gridCol w:w="1039"/>
        <w:gridCol w:w="666"/>
        <w:gridCol w:w="788"/>
        <w:gridCol w:w="686"/>
        <w:gridCol w:w="671"/>
        <w:gridCol w:w="641"/>
        <w:gridCol w:w="666"/>
        <w:gridCol w:w="930"/>
        <w:gridCol w:w="862"/>
        <w:gridCol w:w="1002"/>
        <w:gridCol w:w="936"/>
        <w:gridCol w:w="577"/>
        <w:gridCol w:w="576"/>
        <w:gridCol w:w="711"/>
        <w:gridCol w:w="709"/>
        <w:gridCol w:w="756"/>
        <w:gridCol w:w="756"/>
        <w:gridCol w:w="756"/>
        <w:gridCol w:w="577"/>
        <w:gridCol w:w="697"/>
        <w:gridCol w:w="709"/>
        <w:gridCol w:w="577"/>
        <w:gridCol w:w="698"/>
        <w:gridCol w:w="992"/>
        <w:gridCol w:w="709"/>
      </w:tblGrid>
      <w:tr w14:paraId="61EA4DF6">
        <w:tblPrEx>
          <w:tblCellMar>
            <w:top w:w="0" w:type="dxa"/>
            <w:left w:w="108" w:type="dxa"/>
            <w:bottom w:w="0" w:type="dxa"/>
            <w:right w:w="108" w:type="dxa"/>
          </w:tblCellMar>
        </w:tblPrEx>
        <w:trPr>
          <w:trHeight w:val="1103" w:hRule="atLeast"/>
        </w:trPr>
        <w:tc>
          <w:tcPr>
            <w:tcW w:w="0" w:type="auto"/>
            <w:vMerge w:val="restart"/>
            <w:tcBorders>
              <w:top w:val="single" w:color="auto" w:sz="4" w:space="0"/>
              <w:left w:val="single" w:color="auto" w:sz="4" w:space="0"/>
              <w:bottom w:val="nil"/>
              <w:right w:val="nil"/>
              <w:tl2br w:val="single" w:color="auto" w:sz="4" w:space="0"/>
            </w:tcBorders>
            <w:noWrap/>
            <w:vAlign w:val="center"/>
          </w:tcPr>
          <w:p w14:paraId="01DDCA46">
            <w:pPr>
              <w:widowControl/>
              <w:ind w:firstLine="360" w:firstLineChars="200"/>
              <w:jc w:val="center"/>
              <w:rPr>
                <w:rFonts w:hint="eastAsia" w:ascii="宋体" w:hAnsi="宋体" w:cs="宋体"/>
                <w:kern w:val="0"/>
                <w:sz w:val="18"/>
                <w:szCs w:val="18"/>
              </w:rPr>
            </w:pPr>
            <w:r>
              <w:rPr>
                <w:rFonts w:hint="eastAsia" w:ascii="宋体" w:hAnsi="宋体" w:cs="宋体"/>
                <w:kern w:val="0"/>
                <w:sz w:val="18"/>
                <w:szCs w:val="18"/>
              </w:rPr>
              <w:t>产业类型</w:t>
            </w:r>
          </w:p>
          <w:p w14:paraId="34A59082">
            <w:pPr>
              <w:widowControl/>
              <w:jc w:val="center"/>
              <w:rPr>
                <w:rFonts w:hint="eastAsia" w:ascii="宋体" w:hAnsi="宋体" w:cs="宋体"/>
                <w:kern w:val="0"/>
                <w:sz w:val="18"/>
                <w:szCs w:val="18"/>
              </w:rPr>
            </w:pPr>
          </w:p>
          <w:p w14:paraId="4EA5A418">
            <w:pPr>
              <w:widowControl/>
              <w:jc w:val="center"/>
              <w:rPr>
                <w:rFonts w:hint="eastAsia" w:ascii="宋体" w:hAnsi="宋体" w:cs="宋体"/>
                <w:kern w:val="0"/>
                <w:sz w:val="18"/>
                <w:szCs w:val="18"/>
              </w:rPr>
            </w:pPr>
            <w:r>
              <w:rPr>
                <w:rFonts w:ascii="宋体" w:hAnsi="宋体" w:cs="宋体"/>
                <w:kern w:val="0"/>
                <w:sz w:val="18"/>
                <w:szCs w:val="18"/>
              </w:rPr>
              <w:t>三次产</w:t>
            </w:r>
          </w:p>
          <w:p w14:paraId="43950788">
            <w:pPr>
              <w:widowControl/>
              <w:jc w:val="center"/>
              <w:rPr>
                <w:rFonts w:hint="eastAsia" w:ascii="宋体" w:hAnsi="宋体" w:cs="宋体"/>
                <w:kern w:val="0"/>
                <w:sz w:val="18"/>
                <w:szCs w:val="18"/>
              </w:rPr>
            </w:pPr>
            <w:r>
              <w:rPr>
                <w:rFonts w:ascii="宋体" w:hAnsi="宋体" w:cs="宋体"/>
                <w:kern w:val="0"/>
                <w:sz w:val="18"/>
                <w:szCs w:val="18"/>
              </w:rPr>
              <w:t>业产值</w:t>
            </w:r>
          </w:p>
          <w:p w14:paraId="474ECBF1">
            <w:pPr>
              <w:widowControl/>
              <w:jc w:val="center"/>
              <w:rPr>
                <w:rFonts w:ascii="宋体" w:hAnsi="宋体" w:cs="宋体"/>
                <w:kern w:val="0"/>
                <w:sz w:val="18"/>
                <w:szCs w:val="18"/>
              </w:rPr>
            </w:pPr>
            <w:r>
              <w:rPr>
                <w:rFonts w:hint="eastAsia" w:ascii="宋体" w:hAnsi="宋体" w:cs="宋体"/>
                <w:kern w:val="0"/>
                <w:sz w:val="18"/>
                <w:szCs w:val="18"/>
              </w:rPr>
              <w:t>（万元）</w:t>
            </w:r>
          </w:p>
        </w:tc>
        <w:tc>
          <w:tcPr>
            <w:tcW w:w="0" w:type="auto"/>
            <w:vMerge w:val="restart"/>
            <w:tcBorders>
              <w:top w:val="single" w:color="auto" w:sz="4" w:space="0"/>
              <w:left w:val="single" w:color="auto" w:sz="4" w:space="0"/>
              <w:bottom w:val="single" w:color="000000" w:sz="4" w:space="0"/>
              <w:right w:val="single" w:color="auto" w:sz="4" w:space="0"/>
            </w:tcBorders>
            <w:noWrap/>
            <w:vAlign w:val="center"/>
          </w:tcPr>
          <w:p w14:paraId="34F2A6BB">
            <w:pPr>
              <w:widowControl/>
              <w:jc w:val="center"/>
              <w:rPr>
                <w:b/>
                <w:bCs/>
                <w:kern w:val="0"/>
                <w:sz w:val="18"/>
                <w:szCs w:val="18"/>
              </w:rPr>
            </w:pPr>
            <w:r>
              <w:rPr>
                <w:rFonts w:ascii="Courier New" w:hAnsi="Courier New" w:cs="Courier New"/>
                <w:b/>
                <w:bCs/>
                <w:kern w:val="0"/>
                <w:sz w:val="18"/>
                <w:szCs w:val="18"/>
              </w:rPr>
              <w:t>合计</w:t>
            </w:r>
          </w:p>
        </w:tc>
        <w:tc>
          <w:tcPr>
            <w:tcW w:w="0" w:type="auto"/>
            <w:vMerge w:val="restart"/>
            <w:tcBorders>
              <w:top w:val="single" w:color="auto" w:sz="4" w:space="0"/>
              <w:left w:val="single" w:color="auto" w:sz="4" w:space="0"/>
              <w:bottom w:val="single" w:color="000000" w:sz="4" w:space="0"/>
              <w:right w:val="single" w:color="auto" w:sz="4" w:space="0"/>
            </w:tcBorders>
            <w:vAlign w:val="center"/>
          </w:tcPr>
          <w:p w14:paraId="5BF32707">
            <w:pPr>
              <w:widowControl/>
              <w:jc w:val="center"/>
              <w:rPr>
                <w:b/>
                <w:bCs/>
                <w:kern w:val="0"/>
                <w:sz w:val="18"/>
                <w:szCs w:val="18"/>
              </w:rPr>
            </w:pPr>
            <w:r>
              <w:rPr>
                <w:rFonts w:ascii="Courier New" w:hAnsi="Courier New" w:cs="Courier New"/>
                <w:b/>
                <w:bCs/>
                <w:kern w:val="0"/>
                <w:sz w:val="18"/>
                <w:szCs w:val="18"/>
              </w:rPr>
              <w:t>占百分比（</w:t>
            </w:r>
            <w:r>
              <w:rPr>
                <w:b/>
                <w:bCs/>
                <w:kern w:val="0"/>
                <w:sz w:val="18"/>
                <w:szCs w:val="18"/>
              </w:rPr>
              <w:t>%</w:t>
            </w:r>
            <w:r>
              <w:rPr>
                <w:rFonts w:ascii="Courier New" w:hAnsi="Courier New" w:cs="Courier New"/>
                <w:b/>
                <w:bCs/>
                <w:kern w:val="0"/>
                <w:sz w:val="18"/>
                <w:szCs w:val="18"/>
              </w:rPr>
              <w:t>）</w:t>
            </w:r>
          </w:p>
        </w:tc>
        <w:tc>
          <w:tcPr>
            <w:tcW w:w="3452" w:type="dxa"/>
            <w:gridSpan w:val="5"/>
            <w:tcBorders>
              <w:top w:val="single" w:color="auto" w:sz="4" w:space="0"/>
              <w:left w:val="nil"/>
              <w:bottom w:val="single" w:color="auto" w:sz="4" w:space="0"/>
              <w:right w:val="single" w:color="auto" w:sz="4" w:space="0"/>
            </w:tcBorders>
            <w:vAlign w:val="center"/>
          </w:tcPr>
          <w:p w14:paraId="1A2D223E">
            <w:pPr>
              <w:widowControl/>
              <w:jc w:val="center"/>
              <w:rPr>
                <w:rFonts w:hint="eastAsia" w:ascii="Courier New" w:hAnsi="Courier New" w:cs="Courier New"/>
                <w:b/>
                <w:bCs/>
                <w:kern w:val="0"/>
                <w:sz w:val="18"/>
                <w:szCs w:val="18"/>
              </w:rPr>
            </w:pPr>
          </w:p>
          <w:p w14:paraId="5087712D">
            <w:pPr>
              <w:widowControl/>
              <w:jc w:val="center"/>
              <w:rPr>
                <w:rFonts w:ascii="Courier New" w:hAnsi="Courier New" w:cs="Courier New"/>
                <w:b/>
                <w:bCs/>
                <w:kern w:val="0"/>
                <w:sz w:val="18"/>
                <w:szCs w:val="18"/>
              </w:rPr>
            </w:pPr>
            <w:r>
              <w:rPr>
                <w:rFonts w:ascii="Courier New" w:hAnsi="Courier New" w:cs="Courier New"/>
                <w:b/>
                <w:bCs/>
                <w:kern w:val="0"/>
                <w:sz w:val="18"/>
                <w:szCs w:val="18"/>
              </w:rPr>
              <w:t>森林旅游与森林康养产业</w:t>
            </w:r>
          </w:p>
        </w:tc>
        <w:tc>
          <w:tcPr>
            <w:tcW w:w="0" w:type="auto"/>
            <w:tcBorders>
              <w:top w:val="single" w:color="auto" w:sz="4" w:space="0"/>
              <w:left w:val="single" w:color="auto" w:sz="4" w:space="0"/>
              <w:bottom w:val="single" w:color="auto" w:sz="4" w:space="0"/>
              <w:right w:val="nil"/>
            </w:tcBorders>
            <w:vAlign w:val="center"/>
          </w:tcPr>
          <w:p w14:paraId="770D9E37">
            <w:pPr>
              <w:widowControl/>
              <w:jc w:val="center"/>
              <w:rPr>
                <w:rFonts w:ascii="Courier New" w:hAnsi="Courier New" w:cs="Courier New"/>
                <w:b/>
                <w:bCs/>
                <w:kern w:val="0"/>
                <w:sz w:val="18"/>
                <w:szCs w:val="18"/>
              </w:rPr>
            </w:pPr>
          </w:p>
        </w:tc>
        <w:tc>
          <w:tcPr>
            <w:tcW w:w="3730" w:type="dxa"/>
            <w:gridSpan w:val="4"/>
            <w:tcBorders>
              <w:top w:val="single" w:color="auto" w:sz="4" w:space="0"/>
              <w:left w:val="nil"/>
              <w:bottom w:val="single" w:color="auto" w:sz="4" w:space="0"/>
              <w:right w:val="single" w:color="auto" w:sz="4" w:space="0"/>
            </w:tcBorders>
            <w:noWrap/>
            <w:vAlign w:val="center"/>
          </w:tcPr>
          <w:p w14:paraId="607BA023">
            <w:pPr>
              <w:widowControl/>
              <w:jc w:val="center"/>
              <w:rPr>
                <w:b/>
                <w:bCs/>
                <w:kern w:val="0"/>
                <w:sz w:val="18"/>
                <w:szCs w:val="18"/>
              </w:rPr>
            </w:pPr>
            <w:r>
              <w:rPr>
                <w:rFonts w:ascii="Courier New" w:hAnsi="Courier New" w:cs="Courier New"/>
                <w:b/>
                <w:bCs/>
                <w:kern w:val="0"/>
                <w:sz w:val="18"/>
                <w:szCs w:val="18"/>
              </w:rPr>
              <w:t>林木种苗与花卉产业</w:t>
            </w:r>
          </w:p>
        </w:tc>
        <w:tc>
          <w:tcPr>
            <w:tcW w:w="2574" w:type="dxa"/>
            <w:gridSpan w:val="4"/>
            <w:tcBorders>
              <w:top w:val="single" w:color="auto" w:sz="4" w:space="0"/>
              <w:left w:val="nil"/>
              <w:bottom w:val="single" w:color="auto" w:sz="4" w:space="0"/>
              <w:right w:val="single" w:color="auto" w:sz="4" w:space="0"/>
            </w:tcBorders>
            <w:vAlign w:val="center"/>
          </w:tcPr>
          <w:p w14:paraId="01BB37CF">
            <w:pPr>
              <w:widowControl/>
              <w:jc w:val="center"/>
              <w:rPr>
                <w:rFonts w:hint="eastAsia" w:ascii="Courier New" w:hAnsi="Courier New" w:cs="Courier New"/>
                <w:b/>
                <w:bCs/>
                <w:kern w:val="0"/>
                <w:sz w:val="18"/>
                <w:szCs w:val="18"/>
              </w:rPr>
            </w:pPr>
          </w:p>
          <w:p w14:paraId="0658B28E">
            <w:pPr>
              <w:widowControl/>
              <w:jc w:val="center"/>
              <w:rPr>
                <w:rFonts w:ascii="Courier New" w:hAnsi="Courier New" w:cs="Courier New"/>
                <w:b/>
                <w:bCs/>
                <w:kern w:val="0"/>
                <w:sz w:val="18"/>
                <w:szCs w:val="18"/>
              </w:rPr>
            </w:pPr>
            <w:r>
              <w:rPr>
                <w:rFonts w:ascii="Courier New" w:hAnsi="Courier New" w:cs="Courier New"/>
                <w:b/>
                <w:bCs/>
                <w:kern w:val="0"/>
                <w:sz w:val="18"/>
                <w:szCs w:val="18"/>
              </w:rPr>
              <w:t>用材林产业</w:t>
            </w:r>
          </w:p>
        </w:tc>
        <w:tc>
          <w:tcPr>
            <w:tcW w:w="0" w:type="auto"/>
            <w:gridSpan w:val="3"/>
            <w:tcBorders>
              <w:top w:val="single" w:color="auto" w:sz="4" w:space="0"/>
              <w:left w:val="nil"/>
              <w:bottom w:val="single" w:color="auto" w:sz="4" w:space="0"/>
              <w:right w:val="single" w:color="auto" w:sz="4" w:space="0"/>
            </w:tcBorders>
            <w:noWrap/>
            <w:vAlign w:val="center"/>
          </w:tcPr>
          <w:p w14:paraId="13C6A777">
            <w:pPr>
              <w:widowControl/>
              <w:jc w:val="center"/>
              <w:rPr>
                <w:b/>
                <w:bCs/>
                <w:kern w:val="0"/>
                <w:sz w:val="18"/>
                <w:szCs w:val="18"/>
              </w:rPr>
            </w:pPr>
            <w:r>
              <w:rPr>
                <w:rFonts w:ascii="Courier New" w:hAnsi="Courier New" w:cs="Courier New"/>
                <w:b/>
                <w:bCs/>
                <w:kern w:val="0"/>
                <w:sz w:val="18"/>
                <w:szCs w:val="18"/>
              </w:rPr>
              <w:t>经济林产业</w:t>
            </w:r>
          </w:p>
        </w:tc>
        <w:tc>
          <w:tcPr>
            <w:tcW w:w="1984" w:type="dxa"/>
            <w:gridSpan w:val="3"/>
            <w:tcBorders>
              <w:top w:val="single" w:color="auto" w:sz="4" w:space="0"/>
              <w:left w:val="nil"/>
              <w:bottom w:val="single" w:color="auto" w:sz="4" w:space="0"/>
              <w:right w:val="single" w:color="auto" w:sz="4" w:space="0"/>
            </w:tcBorders>
            <w:vAlign w:val="center"/>
          </w:tcPr>
          <w:p w14:paraId="47133B57">
            <w:pPr>
              <w:widowControl/>
              <w:jc w:val="center"/>
              <w:rPr>
                <w:rFonts w:hint="eastAsia" w:ascii="Courier New" w:hAnsi="Courier New" w:cs="Courier New"/>
                <w:b/>
                <w:bCs/>
                <w:kern w:val="0"/>
                <w:sz w:val="18"/>
                <w:szCs w:val="18"/>
              </w:rPr>
            </w:pPr>
          </w:p>
          <w:p w14:paraId="47D84F43">
            <w:pPr>
              <w:widowControl/>
              <w:jc w:val="center"/>
              <w:rPr>
                <w:rFonts w:hint="eastAsia" w:ascii="Courier New" w:hAnsi="Courier New" w:cs="Courier New"/>
                <w:b/>
                <w:bCs/>
                <w:kern w:val="0"/>
                <w:sz w:val="18"/>
                <w:szCs w:val="18"/>
              </w:rPr>
            </w:pPr>
            <w:r>
              <w:rPr>
                <w:rFonts w:ascii="Courier New" w:hAnsi="Courier New" w:cs="Courier New"/>
                <w:b/>
                <w:bCs/>
                <w:kern w:val="0"/>
                <w:sz w:val="18"/>
                <w:szCs w:val="18"/>
              </w:rPr>
              <w:t>林下经济产业</w:t>
            </w:r>
          </w:p>
        </w:tc>
        <w:tc>
          <w:tcPr>
            <w:tcW w:w="2977" w:type="dxa"/>
            <w:gridSpan w:val="4"/>
            <w:tcBorders>
              <w:top w:val="single" w:color="auto" w:sz="4" w:space="0"/>
              <w:left w:val="nil"/>
              <w:bottom w:val="single" w:color="auto" w:sz="4" w:space="0"/>
              <w:right w:val="single" w:color="auto" w:sz="4" w:space="0"/>
            </w:tcBorders>
            <w:vAlign w:val="center"/>
          </w:tcPr>
          <w:p w14:paraId="5065869E">
            <w:pPr>
              <w:widowControl/>
              <w:jc w:val="center"/>
              <w:rPr>
                <w:rFonts w:ascii="Courier New" w:hAnsi="Courier New" w:cs="Courier New"/>
                <w:b/>
                <w:bCs/>
                <w:kern w:val="0"/>
                <w:sz w:val="18"/>
                <w:szCs w:val="18"/>
              </w:rPr>
            </w:pPr>
            <w:r>
              <w:rPr>
                <w:rFonts w:hint="eastAsia" w:ascii="Courier New" w:hAnsi="Courier New" w:cs="Courier New"/>
                <w:b/>
                <w:bCs/>
                <w:kern w:val="0"/>
                <w:sz w:val="18"/>
                <w:szCs w:val="18"/>
              </w:rPr>
              <w:t>生态保护与修复产业</w:t>
            </w:r>
          </w:p>
        </w:tc>
      </w:tr>
      <w:tr w14:paraId="2F999062">
        <w:tblPrEx>
          <w:tblCellMar>
            <w:top w:w="0" w:type="dxa"/>
            <w:left w:w="108" w:type="dxa"/>
            <w:bottom w:w="0" w:type="dxa"/>
            <w:right w:w="108" w:type="dxa"/>
          </w:tblCellMar>
        </w:tblPrEx>
        <w:trPr>
          <w:trHeight w:val="1103" w:hRule="atLeast"/>
        </w:trPr>
        <w:tc>
          <w:tcPr>
            <w:tcW w:w="0" w:type="auto"/>
            <w:vMerge w:val="continue"/>
            <w:tcBorders>
              <w:top w:val="nil"/>
              <w:left w:val="single" w:color="auto" w:sz="4" w:space="0"/>
              <w:bottom w:val="nil"/>
              <w:right w:val="nil"/>
            </w:tcBorders>
            <w:vAlign w:val="center"/>
          </w:tcPr>
          <w:p w14:paraId="74BDCC27">
            <w:pPr>
              <w:widowControl/>
              <w:jc w:val="center"/>
              <w:rPr>
                <w:rFonts w:ascii="宋体" w:hAnsi="宋体" w:cs="宋体"/>
                <w:kern w:val="0"/>
                <w:sz w:val="18"/>
                <w:szCs w:val="18"/>
              </w:rPr>
            </w:pPr>
          </w:p>
        </w:tc>
        <w:tc>
          <w:tcPr>
            <w:tcW w:w="0" w:type="auto"/>
            <w:vMerge w:val="continue"/>
            <w:tcBorders>
              <w:top w:val="single" w:color="auto" w:sz="4" w:space="0"/>
              <w:left w:val="single" w:color="auto" w:sz="4" w:space="0"/>
              <w:bottom w:val="single" w:color="000000" w:sz="4" w:space="0"/>
              <w:right w:val="single" w:color="auto" w:sz="4" w:space="0"/>
            </w:tcBorders>
            <w:vAlign w:val="center"/>
          </w:tcPr>
          <w:p w14:paraId="304DE2B0">
            <w:pPr>
              <w:widowControl/>
              <w:jc w:val="center"/>
              <w:rPr>
                <w:b/>
                <w:bCs/>
                <w:kern w:val="0"/>
                <w:sz w:val="18"/>
                <w:szCs w:val="18"/>
              </w:rPr>
            </w:pPr>
          </w:p>
        </w:tc>
        <w:tc>
          <w:tcPr>
            <w:tcW w:w="0" w:type="auto"/>
            <w:vMerge w:val="continue"/>
            <w:tcBorders>
              <w:top w:val="single" w:color="auto" w:sz="4" w:space="0"/>
              <w:left w:val="single" w:color="auto" w:sz="4" w:space="0"/>
              <w:bottom w:val="single" w:color="000000" w:sz="4" w:space="0"/>
              <w:right w:val="single" w:color="auto" w:sz="4" w:space="0"/>
            </w:tcBorders>
            <w:vAlign w:val="center"/>
          </w:tcPr>
          <w:p w14:paraId="36FE50C8">
            <w:pPr>
              <w:widowControl/>
              <w:jc w:val="center"/>
              <w:rPr>
                <w:b/>
                <w:bCs/>
                <w:kern w:val="0"/>
                <w:sz w:val="18"/>
                <w:szCs w:val="18"/>
              </w:rPr>
            </w:pPr>
          </w:p>
        </w:tc>
        <w:tc>
          <w:tcPr>
            <w:tcW w:w="0" w:type="auto"/>
            <w:tcBorders>
              <w:top w:val="nil"/>
              <w:left w:val="nil"/>
              <w:bottom w:val="single" w:color="auto" w:sz="4" w:space="0"/>
              <w:right w:val="single" w:color="auto" w:sz="4" w:space="0"/>
            </w:tcBorders>
            <w:vAlign w:val="center"/>
          </w:tcPr>
          <w:p w14:paraId="556DD023">
            <w:pPr>
              <w:widowControl/>
              <w:jc w:val="center"/>
              <w:rPr>
                <w:rFonts w:ascii="Courier New" w:hAnsi="Courier New" w:cs="Courier New"/>
                <w:b/>
                <w:bCs/>
                <w:kern w:val="0"/>
                <w:sz w:val="18"/>
                <w:szCs w:val="18"/>
              </w:rPr>
            </w:pPr>
            <w:r>
              <w:rPr>
                <w:rFonts w:ascii="Courier New" w:hAnsi="Courier New" w:cs="Courier New"/>
                <w:b/>
                <w:bCs/>
                <w:kern w:val="0"/>
                <w:sz w:val="18"/>
                <w:szCs w:val="18"/>
              </w:rPr>
              <w:t>小计</w:t>
            </w:r>
          </w:p>
        </w:tc>
        <w:tc>
          <w:tcPr>
            <w:tcW w:w="788" w:type="dxa"/>
            <w:tcBorders>
              <w:top w:val="single" w:color="auto" w:sz="4" w:space="0"/>
              <w:left w:val="single" w:color="auto" w:sz="4" w:space="0"/>
              <w:bottom w:val="single" w:color="auto" w:sz="4" w:space="0"/>
              <w:right w:val="single" w:color="auto" w:sz="4" w:space="0"/>
            </w:tcBorders>
            <w:vAlign w:val="center"/>
          </w:tcPr>
          <w:p w14:paraId="70D6B37E">
            <w:pPr>
              <w:widowControl/>
              <w:jc w:val="center"/>
              <w:rPr>
                <w:rFonts w:ascii="Courier New" w:hAnsi="Courier New" w:cs="Courier New"/>
                <w:b/>
                <w:bCs/>
                <w:kern w:val="0"/>
                <w:sz w:val="18"/>
                <w:szCs w:val="18"/>
              </w:rPr>
            </w:pPr>
            <w:r>
              <w:rPr>
                <w:rFonts w:ascii="Courier New" w:hAnsi="Courier New" w:cs="Courier New"/>
                <w:kern w:val="0"/>
                <w:sz w:val="18"/>
                <w:szCs w:val="18"/>
              </w:rPr>
              <w:t>公园绿地或城市公园</w:t>
            </w:r>
          </w:p>
        </w:tc>
        <w:tc>
          <w:tcPr>
            <w:tcW w:w="686" w:type="dxa"/>
            <w:tcBorders>
              <w:top w:val="single" w:color="auto" w:sz="4" w:space="0"/>
              <w:left w:val="single" w:color="auto" w:sz="4" w:space="0"/>
              <w:bottom w:val="single" w:color="auto" w:sz="4" w:space="0"/>
              <w:right w:val="single" w:color="auto" w:sz="4" w:space="0"/>
            </w:tcBorders>
            <w:vAlign w:val="center"/>
          </w:tcPr>
          <w:p w14:paraId="77B0CE60">
            <w:pPr>
              <w:widowControl/>
              <w:jc w:val="center"/>
              <w:rPr>
                <w:rFonts w:ascii="Courier New" w:hAnsi="Courier New" w:cs="Courier New"/>
                <w:b/>
                <w:bCs/>
                <w:kern w:val="0"/>
                <w:sz w:val="18"/>
                <w:szCs w:val="18"/>
              </w:rPr>
            </w:pPr>
            <w:r>
              <w:rPr>
                <w:rFonts w:ascii="Courier New" w:hAnsi="Courier New" w:cs="Courier New"/>
                <w:kern w:val="0"/>
                <w:sz w:val="18"/>
                <w:szCs w:val="18"/>
              </w:rPr>
              <w:t>自然保护区</w:t>
            </w:r>
          </w:p>
        </w:tc>
        <w:tc>
          <w:tcPr>
            <w:tcW w:w="671" w:type="dxa"/>
            <w:tcBorders>
              <w:top w:val="single" w:color="auto" w:sz="4" w:space="0"/>
              <w:left w:val="single" w:color="auto" w:sz="4" w:space="0"/>
              <w:bottom w:val="single" w:color="auto" w:sz="4" w:space="0"/>
              <w:right w:val="single" w:color="auto" w:sz="4" w:space="0"/>
            </w:tcBorders>
            <w:vAlign w:val="center"/>
          </w:tcPr>
          <w:p w14:paraId="54EA1E67">
            <w:pPr>
              <w:widowControl/>
              <w:jc w:val="center"/>
              <w:rPr>
                <w:rFonts w:ascii="Courier New" w:hAnsi="Courier New" w:cs="Courier New"/>
                <w:b/>
                <w:bCs/>
                <w:kern w:val="0"/>
                <w:sz w:val="18"/>
                <w:szCs w:val="18"/>
              </w:rPr>
            </w:pPr>
            <w:r>
              <w:rPr>
                <w:rFonts w:ascii="Courier New" w:hAnsi="Courier New" w:cs="Courier New"/>
                <w:kern w:val="0"/>
                <w:sz w:val="18"/>
                <w:szCs w:val="18"/>
              </w:rPr>
              <w:t>森林公园</w:t>
            </w:r>
          </w:p>
        </w:tc>
        <w:tc>
          <w:tcPr>
            <w:tcW w:w="641" w:type="dxa"/>
            <w:tcBorders>
              <w:top w:val="single" w:color="auto" w:sz="4" w:space="0"/>
              <w:left w:val="single" w:color="auto" w:sz="4" w:space="0"/>
              <w:bottom w:val="single" w:color="auto" w:sz="4" w:space="0"/>
              <w:right w:val="single" w:color="auto" w:sz="4" w:space="0"/>
            </w:tcBorders>
            <w:vAlign w:val="center"/>
          </w:tcPr>
          <w:p w14:paraId="349D340E">
            <w:pPr>
              <w:widowControl/>
              <w:jc w:val="center"/>
              <w:rPr>
                <w:rFonts w:ascii="Courier New" w:hAnsi="Courier New" w:cs="Courier New"/>
                <w:b/>
                <w:bCs/>
                <w:kern w:val="0"/>
                <w:sz w:val="18"/>
                <w:szCs w:val="18"/>
              </w:rPr>
            </w:pPr>
            <w:r>
              <w:rPr>
                <w:rFonts w:ascii="Courier New" w:hAnsi="Courier New" w:cs="Courier New"/>
                <w:kern w:val="0"/>
                <w:sz w:val="18"/>
                <w:szCs w:val="18"/>
              </w:rPr>
              <w:t>湿地资源</w:t>
            </w:r>
          </w:p>
        </w:tc>
        <w:tc>
          <w:tcPr>
            <w:tcW w:w="0" w:type="auto"/>
            <w:tcBorders>
              <w:top w:val="nil"/>
              <w:left w:val="nil"/>
              <w:bottom w:val="single" w:color="auto" w:sz="4" w:space="0"/>
              <w:right w:val="single" w:color="auto" w:sz="4" w:space="0"/>
            </w:tcBorders>
            <w:noWrap/>
            <w:vAlign w:val="center"/>
          </w:tcPr>
          <w:p w14:paraId="0DE2C060">
            <w:pPr>
              <w:widowControl/>
              <w:jc w:val="center"/>
              <w:rPr>
                <w:b/>
                <w:bCs/>
                <w:kern w:val="0"/>
                <w:sz w:val="18"/>
                <w:szCs w:val="18"/>
              </w:rPr>
            </w:pPr>
            <w:r>
              <w:rPr>
                <w:rFonts w:ascii="Courier New" w:hAnsi="Courier New" w:cs="Courier New"/>
                <w:b/>
                <w:bCs/>
                <w:kern w:val="0"/>
                <w:sz w:val="18"/>
                <w:szCs w:val="18"/>
              </w:rPr>
              <w:t>小计</w:t>
            </w:r>
          </w:p>
        </w:tc>
        <w:tc>
          <w:tcPr>
            <w:tcW w:w="930" w:type="dxa"/>
            <w:tcBorders>
              <w:top w:val="single" w:color="auto" w:sz="4" w:space="0"/>
              <w:left w:val="nil"/>
              <w:bottom w:val="single" w:color="auto" w:sz="4" w:space="0"/>
              <w:right w:val="single" w:color="auto" w:sz="4" w:space="0"/>
            </w:tcBorders>
            <w:vAlign w:val="center"/>
          </w:tcPr>
          <w:p w14:paraId="4EFADAB2">
            <w:pPr>
              <w:widowControl/>
              <w:jc w:val="center"/>
              <w:rPr>
                <w:rFonts w:ascii="Courier New" w:hAnsi="Courier New" w:cs="Courier New"/>
                <w:kern w:val="0"/>
                <w:sz w:val="18"/>
                <w:szCs w:val="18"/>
              </w:rPr>
            </w:pPr>
            <w:r>
              <w:rPr>
                <w:rFonts w:ascii="Courier New" w:hAnsi="Courier New" w:cs="Courier New"/>
                <w:kern w:val="0"/>
                <w:sz w:val="18"/>
                <w:szCs w:val="18"/>
              </w:rPr>
              <w:t>国有单位</w:t>
            </w:r>
          </w:p>
        </w:tc>
        <w:tc>
          <w:tcPr>
            <w:tcW w:w="862" w:type="dxa"/>
            <w:tcBorders>
              <w:top w:val="nil"/>
              <w:left w:val="single" w:color="auto" w:sz="4" w:space="0"/>
              <w:bottom w:val="single" w:color="auto" w:sz="4" w:space="0"/>
              <w:right w:val="single" w:color="auto" w:sz="4" w:space="0"/>
            </w:tcBorders>
            <w:vAlign w:val="center"/>
          </w:tcPr>
          <w:p w14:paraId="08A4C4DF">
            <w:pPr>
              <w:widowControl/>
              <w:jc w:val="center"/>
              <w:rPr>
                <w:rFonts w:ascii="Courier New" w:hAnsi="Courier New" w:cs="Courier New"/>
                <w:kern w:val="0"/>
                <w:sz w:val="18"/>
                <w:szCs w:val="18"/>
              </w:rPr>
            </w:pPr>
            <w:r>
              <w:rPr>
                <w:rFonts w:ascii="Courier New" w:hAnsi="Courier New" w:cs="Courier New"/>
                <w:kern w:val="0"/>
                <w:sz w:val="18"/>
                <w:szCs w:val="18"/>
              </w:rPr>
              <w:t>种苗繁育基地</w:t>
            </w:r>
          </w:p>
        </w:tc>
        <w:tc>
          <w:tcPr>
            <w:tcW w:w="1002" w:type="dxa"/>
            <w:tcBorders>
              <w:top w:val="nil"/>
              <w:left w:val="nil"/>
              <w:bottom w:val="single" w:color="auto" w:sz="4" w:space="0"/>
              <w:right w:val="single" w:color="auto" w:sz="4" w:space="0"/>
            </w:tcBorders>
            <w:vAlign w:val="center"/>
          </w:tcPr>
          <w:p w14:paraId="34214933">
            <w:pPr>
              <w:widowControl/>
              <w:jc w:val="center"/>
              <w:rPr>
                <w:kern w:val="0"/>
                <w:sz w:val="18"/>
                <w:szCs w:val="18"/>
              </w:rPr>
            </w:pPr>
            <w:r>
              <w:rPr>
                <w:rFonts w:ascii="Courier New" w:hAnsi="Courier New" w:cs="Courier New"/>
                <w:kern w:val="0"/>
                <w:sz w:val="18"/>
                <w:szCs w:val="18"/>
              </w:rPr>
              <w:t>苗木花卉交易市场</w:t>
            </w:r>
          </w:p>
        </w:tc>
        <w:tc>
          <w:tcPr>
            <w:tcW w:w="0" w:type="auto"/>
            <w:tcBorders>
              <w:top w:val="nil"/>
              <w:left w:val="nil"/>
              <w:bottom w:val="single" w:color="auto" w:sz="4" w:space="0"/>
              <w:right w:val="single" w:color="auto" w:sz="4" w:space="0"/>
            </w:tcBorders>
            <w:vAlign w:val="center"/>
          </w:tcPr>
          <w:p w14:paraId="7C01E71D">
            <w:pPr>
              <w:widowControl/>
              <w:jc w:val="center"/>
              <w:rPr>
                <w:kern w:val="0"/>
                <w:sz w:val="18"/>
                <w:szCs w:val="18"/>
              </w:rPr>
            </w:pPr>
            <w:r>
              <w:rPr>
                <w:rFonts w:ascii="Courier New" w:hAnsi="Courier New" w:cs="Courier New"/>
                <w:kern w:val="0"/>
                <w:sz w:val="18"/>
                <w:szCs w:val="18"/>
              </w:rPr>
              <w:t>鲜花店铺</w:t>
            </w:r>
          </w:p>
        </w:tc>
        <w:tc>
          <w:tcPr>
            <w:tcW w:w="0" w:type="auto"/>
            <w:tcBorders>
              <w:top w:val="single" w:color="auto" w:sz="4" w:space="0"/>
              <w:left w:val="nil"/>
              <w:bottom w:val="single" w:color="auto" w:sz="4" w:space="0"/>
              <w:right w:val="single" w:color="auto" w:sz="4" w:space="0"/>
            </w:tcBorders>
            <w:vAlign w:val="center"/>
          </w:tcPr>
          <w:p w14:paraId="700C4F93">
            <w:pPr>
              <w:widowControl/>
              <w:jc w:val="center"/>
              <w:rPr>
                <w:rFonts w:ascii="Courier New" w:hAnsi="Courier New" w:cs="Courier New"/>
                <w:b/>
                <w:bCs/>
                <w:kern w:val="0"/>
                <w:sz w:val="18"/>
                <w:szCs w:val="18"/>
              </w:rPr>
            </w:pPr>
            <w:r>
              <w:rPr>
                <w:rFonts w:ascii="Courier New" w:hAnsi="Courier New" w:cs="Courier New"/>
                <w:b/>
                <w:bCs/>
                <w:kern w:val="0"/>
                <w:sz w:val="18"/>
                <w:szCs w:val="18"/>
              </w:rPr>
              <w:t>小计</w:t>
            </w:r>
          </w:p>
        </w:tc>
        <w:tc>
          <w:tcPr>
            <w:tcW w:w="0" w:type="auto"/>
            <w:tcBorders>
              <w:top w:val="single" w:color="auto" w:sz="4" w:space="0"/>
              <w:left w:val="single" w:color="auto" w:sz="4" w:space="0"/>
              <w:bottom w:val="single" w:color="auto" w:sz="4" w:space="0"/>
              <w:right w:val="single" w:color="auto" w:sz="4" w:space="0"/>
            </w:tcBorders>
            <w:vAlign w:val="center"/>
          </w:tcPr>
          <w:p w14:paraId="2355A6FA">
            <w:pPr>
              <w:widowControl/>
              <w:jc w:val="center"/>
              <w:rPr>
                <w:rFonts w:ascii="Courier New" w:hAnsi="Courier New" w:cs="Courier New"/>
                <w:b/>
                <w:bCs/>
                <w:kern w:val="0"/>
                <w:sz w:val="18"/>
                <w:szCs w:val="18"/>
              </w:rPr>
            </w:pPr>
            <w:r>
              <w:rPr>
                <w:rFonts w:ascii="Courier New" w:hAnsi="Courier New" w:cs="Courier New"/>
                <w:kern w:val="0"/>
                <w:sz w:val="18"/>
                <w:szCs w:val="18"/>
              </w:rPr>
              <w:t>产出</w:t>
            </w:r>
          </w:p>
        </w:tc>
        <w:tc>
          <w:tcPr>
            <w:tcW w:w="711" w:type="dxa"/>
            <w:tcBorders>
              <w:top w:val="single" w:color="auto" w:sz="4" w:space="0"/>
              <w:left w:val="single" w:color="auto" w:sz="4" w:space="0"/>
              <w:bottom w:val="single" w:color="auto" w:sz="4" w:space="0"/>
              <w:right w:val="single" w:color="auto" w:sz="4" w:space="0"/>
            </w:tcBorders>
            <w:vAlign w:val="center"/>
          </w:tcPr>
          <w:p w14:paraId="27F37FF1">
            <w:pPr>
              <w:widowControl/>
              <w:jc w:val="center"/>
              <w:rPr>
                <w:rFonts w:ascii="Courier New" w:hAnsi="Courier New" w:cs="Courier New"/>
                <w:b/>
                <w:bCs/>
                <w:kern w:val="0"/>
                <w:sz w:val="18"/>
                <w:szCs w:val="18"/>
              </w:rPr>
            </w:pPr>
            <w:r>
              <w:rPr>
                <w:rFonts w:ascii="Courier New" w:hAnsi="Courier New" w:cs="Courier New"/>
                <w:kern w:val="0"/>
                <w:sz w:val="18"/>
                <w:szCs w:val="18"/>
              </w:rPr>
              <w:t>加工</w:t>
            </w:r>
          </w:p>
        </w:tc>
        <w:tc>
          <w:tcPr>
            <w:tcW w:w="709" w:type="dxa"/>
            <w:tcBorders>
              <w:top w:val="single" w:color="auto" w:sz="4" w:space="0"/>
              <w:left w:val="single" w:color="auto" w:sz="4" w:space="0"/>
              <w:bottom w:val="single" w:color="auto" w:sz="4" w:space="0"/>
              <w:right w:val="single" w:color="auto" w:sz="4" w:space="0"/>
            </w:tcBorders>
            <w:vAlign w:val="center"/>
          </w:tcPr>
          <w:p w14:paraId="43800017">
            <w:pPr>
              <w:widowControl/>
              <w:jc w:val="center"/>
              <w:rPr>
                <w:rFonts w:ascii="Courier New" w:hAnsi="Courier New" w:cs="Courier New"/>
                <w:b/>
                <w:bCs/>
                <w:kern w:val="0"/>
                <w:sz w:val="18"/>
                <w:szCs w:val="18"/>
              </w:rPr>
            </w:pPr>
            <w:r>
              <w:rPr>
                <w:rFonts w:ascii="Courier New" w:hAnsi="Courier New" w:cs="Courier New"/>
                <w:kern w:val="0"/>
                <w:sz w:val="18"/>
                <w:szCs w:val="18"/>
              </w:rPr>
              <w:t>交易</w:t>
            </w:r>
          </w:p>
        </w:tc>
        <w:tc>
          <w:tcPr>
            <w:tcW w:w="0" w:type="auto"/>
            <w:tcBorders>
              <w:top w:val="nil"/>
              <w:left w:val="nil"/>
              <w:bottom w:val="single" w:color="auto" w:sz="4" w:space="0"/>
              <w:right w:val="single" w:color="auto" w:sz="4" w:space="0"/>
            </w:tcBorders>
            <w:vAlign w:val="center"/>
          </w:tcPr>
          <w:p w14:paraId="20904D65">
            <w:pPr>
              <w:widowControl/>
              <w:jc w:val="center"/>
              <w:rPr>
                <w:b/>
                <w:bCs/>
                <w:kern w:val="0"/>
                <w:sz w:val="18"/>
                <w:szCs w:val="18"/>
              </w:rPr>
            </w:pPr>
            <w:r>
              <w:rPr>
                <w:rFonts w:ascii="Courier New" w:hAnsi="Courier New" w:cs="Courier New"/>
                <w:b/>
                <w:bCs/>
                <w:kern w:val="0"/>
                <w:sz w:val="18"/>
                <w:szCs w:val="18"/>
              </w:rPr>
              <w:t>小计</w:t>
            </w:r>
          </w:p>
        </w:tc>
        <w:tc>
          <w:tcPr>
            <w:tcW w:w="0" w:type="auto"/>
            <w:tcBorders>
              <w:top w:val="nil"/>
              <w:left w:val="nil"/>
              <w:bottom w:val="single" w:color="auto" w:sz="4" w:space="0"/>
              <w:right w:val="single" w:color="auto" w:sz="4" w:space="0"/>
            </w:tcBorders>
            <w:noWrap/>
            <w:vAlign w:val="center"/>
          </w:tcPr>
          <w:p w14:paraId="5AF5E9C4">
            <w:pPr>
              <w:widowControl/>
              <w:jc w:val="center"/>
              <w:rPr>
                <w:kern w:val="0"/>
                <w:sz w:val="18"/>
                <w:szCs w:val="18"/>
              </w:rPr>
            </w:pPr>
            <w:r>
              <w:rPr>
                <w:rFonts w:ascii="Courier New" w:hAnsi="Courier New" w:cs="Courier New"/>
                <w:kern w:val="0"/>
                <w:sz w:val="18"/>
                <w:szCs w:val="18"/>
              </w:rPr>
              <w:t>产出</w:t>
            </w:r>
          </w:p>
        </w:tc>
        <w:tc>
          <w:tcPr>
            <w:tcW w:w="0" w:type="auto"/>
            <w:tcBorders>
              <w:top w:val="nil"/>
              <w:left w:val="nil"/>
              <w:bottom w:val="single" w:color="auto" w:sz="4" w:space="0"/>
              <w:right w:val="single" w:color="auto" w:sz="4" w:space="0"/>
            </w:tcBorders>
            <w:noWrap/>
            <w:vAlign w:val="center"/>
          </w:tcPr>
          <w:p w14:paraId="2715E862">
            <w:pPr>
              <w:widowControl/>
              <w:jc w:val="center"/>
              <w:rPr>
                <w:kern w:val="0"/>
                <w:sz w:val="18"/>
                <w:szCs w:val="18"/>
              </w:rPr>
            </w:pPr>
            <w:r>
              <w:rPr>
                <w:rFonts w:ascii="Courier New" w:hAnsi="Courier New" w:cs="Courier New"/>
                <w:kern w:val="0"/>
                <w:sz w:val="18"/>
                <w:szCs w:val="18"/>
              </w:rPr>
              <w:t>深加工</w:t>
            </w:r>
          </w:p>
        </w:tc>
        <w:tc>
          <w:tcPr>
            <w:tcW w:w="0" w:type="auto"/>
            <w:tcBorders>
              <w:top w:val="single" w:color="auto" w:sz="4" w:space="0"/>
              <w:left w:val="nil"/>
              <w:bottom w:val="single" w:color="auto" w:sz="4" w:space="0"/>
              <w:right w:val="single" w:color="auto" w:sz="4" w:space="0"/>
            </w:tcBorders>
            <w:vAlign w:val="center"/>
          </w:tcPr>
          <w:p w14:paraId="0E80CBD3">
            <w:pPr>
              <w:widowControl/>
              <w:jc w:val="center"/>
              <w:rPr>
                <w:rFonts w:hint="eastAsia" w:ascii="宋体" w:hAnsi="宋体"/>
                <w:b/>
                <w:bCs/>
                <w:sz w:val="18"/>
                <w:szCs w:val="18"/>
              </w:rPr>
            </w:pPr>
            <w:r>
              <w:rPr>
                <w:rFonts w:ascii="Courier New" w:hAnsi="Courier New" w:cs="Courier New"/>
                <w:b/>
                <w:bCs/>
                <w:kern w:val="0"/>
                <w:sz w:val="18"/>
                <w:szCs w:val="18"/>
              </w:rPr>
              <w:t>小计</w:t>
            </w:r>
          </w:p>
        </w:tc>
        <w:tc>
          <w:tcPr>
            <w:tcW w:w="697" w:type="dxa"/>
            <w:tcBorders>
              <w:top w:val="single" w:color="auto" w:sz="4" w:space="0"/>
              <w:left w:val="single" w:color="auto" w:sz="4" w:space="0"/>
              <w:bottom w:val="single" w:color="auto" w:sz="4" w:space="0"/>
              <w:right w:val="single" w:color="auto" w:sz="4" w:space="0"/>
            </w:tcBorders>
            <w:vAlign w:val="center"/>
          </w:tcPr>
          <w:p w14:paraId="7E18176B">
            <w:pPr>
              <w:widowControl/>
              <w:jc w:val="center"/>
              <w:rPr>
                <w:rFonts w:hint="eastAsia" w:ascii="宋体" w:hAnsi="宋体"/>
                <w:b/>
                <w:bCs/>
                <w:sz w:val="18"/>
                <w:szCs w:val="18"/>
              </w:rPr>
            </w:pPr>
            <w:r>
              <w:rPr>
                <w:rFonts w:ascii="Courier New" w:hAnsi="Courier New" w:cs="Courier New"/>
                <w:kern w:val="0"/>
                <w:sz w:val="18"/>
                <w:szCs w:val="18"/>
              </w:rPr>
              <w:t>种植</w:t>
            </w:r>
          </w:p>
        </w:tc>
        <w:tc>
          <w:tcPr>
            <w:tcW w:w="709" w:type="dxa"/>
            <w:tcBorders>
              <w:top w:val="single" w:color="auto" w:sz="4" w:space="0"/>
              <w:left w:val="single" w:color="auto" w:sz="4" w:space="0"/>
              <w:bottom w:val="single" w:color="auto" w:sz="4" w:space="0"/>
              <w:right w:val="single" w:color="auto" w:sz="4" w:space="0"/>
            </w:tcBorders>
            <w:vAlign w:val="center"/>
          </w:tcPr>
          <w:p w14:paraId="7D4765CB">
            <w:pPr>
              <w:widowControl/>
              <w:jc w:val="center"/>
              <w:rPr>
                <w:rFonts w:hint="eastAsia" w:ascii="宋体" w:hAnsi="宋体"/>
                <w:b/>
                <w:bCs/>
                <w:sz w:val="18"/>
                <w:szCs w:val="18"/>
              </w:rPr>
            </w:pPr>
            <w:r>
              <w:rPr>
                <w:rFonts w:ascii="Courier New" w:hAnsi="Courier New" w:cs="Courier New"/>
                <w:kern w:val="0"/>
                <w:sz w:val="18"/>
                <w:szCs w:val="18"/>
              </w:rPr>
              <w:t>养殖</w:t>
            </w:r>
          </w:p>
        </w:tc>
        <w:tc>
          <w:tcPr>
            <w:tcW w:w="0" w:type="auto"/>
            <w:tcBorders>
              <w:top w:val="nil"/>
              <w:left w:val="nil"/>
              <w:bottom w:val="single" w:color="auto" w:sz="4" w:space="0"/>
              <w:right w:val="single" w:color="auto" w:sz="4" w:space="0"/>
            </w:tcBorders>
            <w:vAlign w:val="center"/>
          </w:tcPr>
          <w:p w14:paraId="37191BC0">
            <w:pPr>
              <w:widowControl/>
              <w:jc w:val="center"/>
              <w:rPr>
                <w:rFonts w:ascii="宋体" w:hAnsi="宋体" w:cs="Courier New"/>
                <w:b/>
                <w:bCs/>
                <w:kern w:val="0"/>
                <w:sz w:val="18"/>
                <w:szCs w:val="18"/>
              </w:rPr>
            </w:pPr>
            <w:r>
              <w:rPr>
                <w:rFonts w:hint="eastAsia" w:ascii="宋体" w:hAnsi="宋体"/>
                <w:b/>
                <w:bCs/>
                <w:sz w:val="18"/>
                <w:szCs w:val="18"/>
              </w:rPr>
              <w:t>小计</w:t>
            </w:r>
          </w:p>
        </w:tc>
        <w:tc>
          <w:tcPr>
            <w:tcW w:w="698" w:type="dxa"/>
            <w:tcBorders>
              <w:top w:val="single" w:color="auto" w:sz="4" w:space="0"/>
              <w:left w:val="single" w:color="auto" w:sz="4" w:space="0"/>
              <w:bottom w:val="single" w:color="auto" w:sz="4" w:space="0"/>
              <w:right w:val="single" w:color="auto" w:sz="4" w:space="0"/>
            </w:tcBorders>
            <w:vAlign w:val="center"/>
          </w:tcPr>
          <w:p w14:paraId="594A6A18">
            <w:pPr>
              <w:widowControl/>
              <w:jc w:val="center"/>
              <w:rPr>
                <w:rFonts w:ascii="宋体" w:hAnsi="宋体" w:cs="Courier New"/>
                <w:b/>
                <w:bCs/>
                <w:kern w:val="0"/>
                <w:sz w:val="18"/>
                <w:szCs w:val="18"/>
              </w:rPr>
            </w:pPr>
            <w:r>
              <w:rPr>
                <w:rFonts w:hint="eastAsia" w:ascii="宋体" w:hAnsi="宋体"/>
                <w:sz w:val="18"/>
                <w:szCs w:val="18"/>
              </w:rPr>
              <w:t>山体修复</w:t>
            </w:r>
          </w:p>
        </w:tc>
        <w:tc>
          <w:tcPr>
            <w:tcW w:w="992" w:type="dxa"/>
            <w:tcBorders>
              <w:top w:val="single" w:color="auto" w:sz="4" w:space="0"/>
              <w:left w:val="single" w:color="auto" w:sz="4" w:space="0"/>
              <w:bottom w:val="single" w:color="auto" w:sz="4" w:space="0"/>
              <w:right w:val="single" w:color="auto" w:sz="4" w:space="0"/>
            </w:tcBorders>
            <w:vAlign w:val="center"/>
          </w:tcPr>
          <w:p w14:paraId="16D4F04A">
            <w:pPr>
              <w:widowControl/>
              <w:jc w:val="center"/>
              <w:rPr>
                <w:rFonts w:ascii="宋体" w:hAnsi="宋体" w:cs="Courier New"/>
                <w:b/>
                <w:bCs/>
                <w:kern w:val="0"/>
                <w:sz w:val="18"/>
                <w:szCs w:val="18"/>
              </w:rPr>
            </w:pPr>
            <w:r>
              <w:rPr>
                <w:rFonts w:hint="eastAsia" w:ascii="宋体" w:hAnsi="宋体"/>
                <w:sz w:val="18"/>
                <w:szCs w:val="18"/>
              </w:rPr>
              <w:t>红树林湿地修复</w:t>
            </w:r>
          </w:p>
        </w:tc>
        <w:tc>
          <w:tcPr>
            <w:tcW w:w="709" w:type="dxa"/>
            <w:tcBorders>
              <w:top w:val="single" w:color="auto" w:sz="4" w:space="0"/>
              <w:left w:val="single" w:color="auto" w:sz="4" w:space="0"/>
              <w:bottom w:val="single" w:color="auto" w:sz="4" w:space="0"/>
              <w:right w:val="single" w:color="auto" w:sz="4" w:space="0"/>
            </w:tcBorders>
            <w:vAlign w:val="center"/>
          </w:tcPr>
          <w:p w14:paraId="02130AFF">
            <w:pPr>
              <w:widowControl/>
              <w:jc w:val="center"/>
              <w:rPr>
                <w:rFonts w:ascii="宋体" w:hAnsi="宋体" w:cs="Courier New"/>
                <w:b/>
                <w:bCs/>
                <w:kern w:val="0"/>
                <w:sz w:val="18"/>
                <w:szCs w:val="18"/>
              </w:rPr>
            </w:pPr>
            <w:r>
              <w:rPr>
                <w:rFonts w:hint="eastAsia" w:ascii="宋体" w:hAnsi="宋体"/>
                <w:sz w:val="18"/>
                <w:szCs w:val="18"/>
              </w:rPr>
              <w:t>造林绿化</w:t>
            </w:r>
          </w:p>
        </w:tc>
      </w:tr>
      <w:tr w14:paraId="35C4A5DD">
        <w:tblPrEx>
          <w:tblCellMar>
            <w:top w:w="0" w:type="dxa"/>
            <w:left w:w="108" w:type="dxa"/>
            <w:bottom w:w="0" w:type="dxa"/>
            <w:right w:w="108" w:type="dxa"/>
          </w:tblCellMar>
        </w:tblPrEx>
        <w:trPr>
          <w:trHeight w:val="1103" w:hRule="atLeast"/>
        </w:trPr>
        <w:tc>
          <w:tcPr>
            <w:tcW w:w="0" w:type="auto"/>
            <w:tcBorders>
              <w:top w:val="single" w:color="auto" w:sz="4" w:space="0"/>
              <w:left w:val="single" w:color="auto" w:sz="4" w:space="0"/>
              <w:bottom w:val="single" w:color="auto" w:sz="4" w:space="0"/>
              <w:right w:val="single" w:color="auto" w:sz="4" w:space="0"/>
            </w:tcBorders>
            <w:noWrap/>
            <w:vAlign w:val="center"/>
          </w:tcPr>
          <w:p w14:paraId="3144DED7">
            <w:pPr>
              <w:widowControl/>
              <w:jc w:val="center"/>
              <w:rPr>
                <w:b/>
                <w:bCs/>
                <w:kern w:val="0"/>
                <w:sz w:val="18"/>
                <w:szCs w:val="18"/>
              </w:rPr>
            </w:pPr>
            <w:r>
              <w:rPr>
                <w:rFonts w:ascii="Courier New" w:hAnsi="Courier New" w:cs="Courier New"/>
                <w:b/>
                <w:bCs/>
                <w:kern w:val="0"/>
                <w:sz w:val="18"/>
                <w:szCs w:val="18"/>
              </w:rPr>
              <w:t>第一产业</w:t>
            </w:r>
          </w:p>
        </w:tc>
        <w:tc>
          <w:tcPr>
            <w:tcW w:w="0" w:type="auto"/>
            <w:tcBorders>
              <w:top w:val="nil"/>
              <w:left w:val="nil"/>
              <w:bottom w:val="single" w:color="auto" w:sz="4" w:space="0"/>
              <w:right w:val="single" w:color="auto" w:sz="4" w:space="0"/>
            </w:tcBorders>
            <w:noWrap/>
            <w:vAlign w:val="center"/>
          </w:tcPr>
          <w:p w14:paraId="3A25A36A">
            <w:pPr>
              <w:widowControl/>
              <w:jc w:val="center"/>
              <w:rPr>
                <w:b/>
                <w:bCs/>
                <w:kern w:val="0"/>
                <w:sz w:val="18"/>
                <w:szCs w:val="18"/>
              </w:rPr>
            </w:pPr>
            <w:r>
              <w:rPr>
                <w:rFonts w:hint="eastAsia"/>
                <w:b/>
                <w:bCs/>
                <w:kern w:val="0"/>
                <w:sz w:val="18"/>
                <w:szCs w:val="18"/>
              </w:rPr>
              <w:t>425380</w:t>
            </w:r>
          </w:p>
        </w:tc>
        <w:tc>
          <w:tcPr>
            <w:tcW w:w="0" w:type="auto"/>
            <w:tcBorders>
              <w:top w:val="nil"/>
              <w:left w:val="nil"/>
              <w:bottom w:val="single" w:color="auto" w:sz="4" w:space="0"/>
              <w:right w:val="single" w:color="auto" w:sz="4" w:space="0"/>
            </w:tcBorders>
            <w:noWrap/>
            <w:vAlign w:val="center"/>
          </w:tcPr>
          <w:p w14:paraId="50FAF405">
            <w:pPr>
              <w:widowControl/>
              <w:jc w:val="center"/>
              <w:rPr>
                <w:b/>
                <w:bCs/>
                <w:kern w:val="0"/>
                <w:sz w:val="18"/>
                <w:szCs w:val="18"/>
              </w:rPr>
            </w:pPr>
            <w:r>
              <w:rPr>
                <w:rFonts w:hint="eastAsia"/>
                <w:b/>
                <w:bCs/>
                <w:kern w:val="0"/>
                <w:sz w:val="18"/>
                <w:szCs w:val="18"/>
              </w:rPr>
              <w:t>88.34</w:t>
            </w:r>
          </w:p>
        </w:tc>
        <w:tc>
          <w:tcPr>
            <w:tcW w:w="0" w:type="auto"/>
            <w:tcBorders>
              <w:top w:val="nil"/>
              <w:left w:val="nil"/>
              <w:bottom w:val="single" w:color="auto" w:sz="4" w:space="0"/>
              <w:right w:val="single" w:color="auto" w:sz="4" w:space="0"/>
            </w:tcBorders>
            <w:vAlign w:val="center"/>
          </w:tcPr>
          <w:p w14:paraId="46704DD7">
            <w:pPr>
              <w:widowControl/>
              <w:jc w:val="center"/>
              <w:rPr>
                <w:b/>
                <w:bCs/>
                <w:kern w:val="0"/>
                <w:sz w:val="18"/>
                <w:szCs w:val="18"/>
              </w:rPr>
            </w:pPr>
          </w:p>
        </w:tc>
        <w:tc>
          <w:tcPr>
            <w:tcW w:w="788" w:type="dxa"/>
            <w:tcBorders>
              <w:top w:val="single" w:color="auto" w:sz="4" w:space="0"/>
              <w:left w:val="single" w:color="auto" w:sz="4" w:space="0"/>
              <w:bottom w:val="single" w:color="auto" w:sz="4" w:space="0"/>
              <w:right w:val="single" w:color="auto" w:sz="4" w:space="0"/>
            </w:tcBorders>
            <w:vAlign w:val="center"/>
          </w:tcPr>
          <w:p w14:paraId="5D670BC4">
            <w:pPr>
              <w:widowControl/>
              <w:jc w:val="center"/>
              <w:rPr>
                <w:b/>
                <w:bCs/>
                <w:kern w:val="0"/>
                <w:sz w:val="18"/>
                <w:szCs w:val="18"/>
              </w:rPr>
            </w:pPr>
            <w:r>
              <w:rPr>
                <w:kern w:val="0"/>
                <w:sz w:val="18"/>
                <w:szCs w:val="18"/>
              </w:rPr>
              <w:t>—</w:t>
            </w:r>
          </w:p>
        </w:tc>
        <w:tc>
          <w:tcPr>
            <w:tcW w:w="686" w:type="dxa"/>
            <w:tcBorders>
              <w:top w:val="single" w:color="auto" w:sz="4" w:space="0"/>
              <w:left w:val="single" w:color="auto" w:sz="4" w:space="0"/>
              <w:bottom w:val="single" w:color="auto" w:sz="4" w:space="0"/>
              <w:right w:val="single" w:color="auto" w:sz="4" w:space="0"/>
            </w:tcBorders>
            <w:vAlign w:val="center"/>
          </w:tcPr>
          <w:p w14:paraId="553B562A">
            <w:pPr>
              <w:widowControl/>
              <w:jc w:val="center"/>
              <w:rPr>
                <w:b/>
                <w:bCs/>
                <w:kern w:val="0"/>
                <w:sz w:val="18"/>
                <w:szCs w:val="18"/>
              </w:rPr>
            </w:pPr>
            <w:r>
              <w:rPr>
                <w:kern w:val="0"/>
                <w:sz w:val="18"/>
                <w:szCs w:val="18"/>
              </w:rPr>
              <w:t>—</w:t>
            </w:r>
          </w:p>
        </w:tc>
        <w:tc>
          <w:tcPr>
            <w:tcW w:w="671" w:type="dxa"/>
            <w:tcBorders>
              <w:top w:val="single" w:color="auto" w:sz="4" w:space="0"/>
              <w:left w:val="single" w:color="auto" w:sz="4" w:space="0"/>
              <w:bottom w:val="single" w:color="auto" w:sz="4" w:space="0"/>
              <w:right w:val="single" w:color="auto" w:sz="4" w:space="0"/>
            </w:tcBorders>
            <w:vAlign w:val="center"/>
          </w:tcPr>
          <w:p w14:paraId="60655BAD">
            <w:pPr>
              <w:widowControl/>
              <w:jc w:val="center"/>
              <w:rPr>
                <w:kern w:val="0"/>
                <w:sz w:val="18"/>
                <w:szCs w:val="18"/>
              </w:rPr>
            </w:pPr>
          </w:p>
        </w:tc>
        <w:tc>
          <w:tcPr>
            <w:tcW w:w="641" w:type="dxa"/>
            <w:tcBorders>
              <w:top w:val="single" w:color="auto" w:sz="4" w:space="0"/>
              <w:left w:val="single" w:color="auto" w:sz="4" w:space="0"/>
              <w:bottom w:val="single" w:color="auto" w:sz="4" w:space="0"/>
              <w:right w:val="single" w:color="auto" w:sz="4" w:space="0"/>
            </w:tcBorders>
            <w:vAlign w:val="center"/>
          </w:tcPr>
          <w:p w14:paraId="2B7AF48F">
            <w:pPr>
              <w:widowControl/>
              <w:jc w:val="center"/>
              <w:rPr>
                <w:b/>
                <w:bCs/>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2704DD54">
            <w:pPr>
              <w:widowControl/>
              <w:jc w:val="center"/>
              <w:rPr>
                <w:b/>
                <w:bCs/>
                <w:kern w:val="0"/>
                <w:sz w:val="18"/>
                <w:szCs w:val="18"/>
              </w:rPr>
            </w:pPr>
            <w:r>
              <w:rPr>
                <w:b/>
                <w:bCs/>
                <w:kern w:val="0"/>
                <w:sz w:val="18"/>
                <w:szCs w:val="18"/>
              </w:rPr>
              <w:t>34896</w:t>
            </w:r>
          </w:p>
        </w:tc>
        <w:tc>
          <w:tcPr>
            <w:tcW w:w="930" w:type="dxa"/>
            <w:tcBorders>
              <w:top w:val="single" w:color="auto" w:sz="4" w:space="0"/>
              <w:left w:val="nil"/>
              <w:bottom w:val="single" w:color="auto" w:sz="4" w:space="0"/>
              <w:right w:val="single" w:color="auto" w:sz="4" w:space="0"/>
            </w:tcBorders>
            <w:vAlign w:val="center"/>
          </w:tcPr>
          <w:p w14:paraId="00ABAF05">
            <w:pPr>
              <w:widowControl/>
              <w:jc w:val="center"/>
              <w:rPr>
                <w:kern w:val="0"/>
                <w:sz w:val="18"/>
                <w:szCs w:val="18"/>
              </w:rPr>
            </w:pPr>
            <w:r>
              <w:rPr>
                <w:kern w:val="0"/>
                <w:sz w:val="18"/>
                <w:szCs w:val="18"/>
              </w:rPr>
              <w:t>—</w:t>
            </w:r>
          </w:p>
        </w:tc>
        <w:tc>
          <w:tcPr>
            <w:tcW w:w="862" w:type="dxa"/>
            <w:tcBorders>
              <w:top w:val="nil"/>
              <w:left w:val="single" w:color="auto" w:sz="4" w:space="0"/>
              <w:bottom w:val="single" w:color="auto" w:sz="4" w:space="0"/>
              <w:right w:val="single" w:color="auto" w:sz="4" w:space="0"/>
            </w:tcBorders>
            <w:vAlign w:val="center"/>
          </w:tcPr>
          <w:p w14:paraId="5565FB94">
            <w:pPr>
              <w:widowControl/>
              <w:jc w:val="center"/>
              <w:rPr>
                <w:kern w:val="0"/>
                <w:sz w:val="18"/>
                <w:szCs w:val="18"/>
              </w:rPr>
            </w:pPr>
            <w:r>
              <w:rPr>
                <w:kern w:val="0"/>
                <w:sz w:val="18"/>
                <w:szCs w:val="18"/>
              </w:rPr>
              <w:t>34896</w:t>
            </w:r>
          </w:p>
        </w:tc>
        <w:tc>
          <w:tcPr>
            <w:tcW w:w="1002" w:type="dxa"/>
            <w:tcBorders>
              <w:top w:val="nil"/>
              <w:left w:val="nil"/>
              <w:bottom w:val="single" w:color="auto" w:sz="4" w:space="0"/>
              <w:right w:val="single" w:color="auto" w:sz="4" w:space="0"/>
            </w:tcBorders>
            <w:vAlign w:val="center"/>
          </w:tcPr>
          <w:p w14:paraId="44712F6A">
            <w:pPr>
              <w:widowControl/>
              <w:jc w:val="center"/>
              <w:rPr>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4534C1DC">
            <w:pPr>
              <w:widowControl/>
              <w:jc w:val="center"/>
              <w:rPr>
                <w:kern w:val="0"/>
                <w:sz w:val="18"/>
                <w:szCs w:val="18"/>
              </w:rPr>
            </w:pPr>
            <w:r>
              <w:rPr>
                <w:kern w:val="0"/>
                <w:sz w:val="18"/>
                <w:szCs w:val="18"/>
              </w:rPr>
              <w:t>—</w:t>
            </w:r>
          </w:p>
        </w:tc>
        <w:tc>
          <w:tcPr>
            <w:tcW w:w="0" w:type="auto"/>
            <w:tcBorders>
              <w:top w:val="single" w:color="auto" w:sz="4" w:space="0"/>
              <w:left w:val="nil"/>
              <w:bottom w:val="single" w:color="auto" w:sz="4" w:space="0"/>
              <w:right w:val="single" w:color="auto" w:sz="4" w:space="0"/>
            </w:tcBorders>
            <w:vAlign w:val="center"/>
          </w:tcPr>
          <w:p w14:paraId="13FDF249">
            <w:pPr>
              <w:widowControl/>
              <w:jc w:val="center"/>
              <w:rPr>
                <w:b/>
                <w:kern w:val="0"/>
                <w:sz w:val="18"/>
                <w:szCs w:val="18"/>
              </w:rPr>
            </w:pPr>
            <w:r>
              <w:rPr>
                <w:b/>
                <w:bCs/>
                <w:kern w:val="0"/>
                <w:sz w:val="18"/>
                <w:szCs w:val="18"/>
              </w:rPr>
              <w:t>3480</w:t>
            </w:r>
          </w:p>
        </w:tc>
        <w:tc>
          <w:tcPr>
            <w:tcW w:w="0" w:type="auto"/>
            <w:tcBorders>
              <w:top w:val="single" w:color="auto" w:sz="4" w:space="0"/>
              <w:left w:val="single" w:color="auto" w:sz="4" w:space="0"/>
              <w:bottom w:val="single" w:color="auto" w:sz="4" w:space="0"/>
              <w:right w:val="single" w:color="auto" w:sz="4" w:space="0"/>
            </w:tcBorders>
            <w:vAlign w:val="center"/>
          </w:tcPr>
          <w:p w14:paraId="10449A70">
            <w:pPr>
              <w:widowControl/>
              <w:jc w:val="center"/>
              <w:rPr>
                <w:b/>
                <w:kern w:val="0"/>
                <w:sz w:val="18"/>
                <w:szCs w:val="18"/>
              </w:rPr>
            </w:pPr>
            <w:r>
              <w:rPr>
                <w:kern w:val="0"/>
                <w:sz w:val="18"/>
                <w:szCs w:val="18"/>
              </w:rPr>
              <w:t>3480</w:t>
            </w:r>
          </w:p>
        </w:tc>
        <w:tc>
          <w:tcPr>
            <w:tcW w:w="711" w:type="dxa"/>
            <w:tcBorders>
              <w:top w:val="single" w:color="auto" w:sz="4" w:space="0"/>
              <w:left w:val="single" w:color="auto" w:sz="4" w:space="0"/>
              <w:bottom w:val="single" w:color="auto" w:sz="4" w:space="0"/>
              <w:right w:val="single" w:color="auto" w:sz="4" w:space="0"/>
            </w:tcBorders>
            <w:vAlign w:val="center"/>
          </w:tcPr>
          <w:p w14:paraId="32E56BD7">
            <w:pPr>
              <w:widowControl/>
              <w:jc w:val="center"/>
              <w:rPr>
                <w:b/>
                <w:kern w:val="0"/>
                <w:sz w:val="18"/>
                <w:szCs w:val="18"/>
              </w:rPr>
            </w:pPr>
            <w:r>
              <w:rPr>
                <w:kern w:val="0"/>
                <w:sz w:val="18"/>
                <w:szCs w:val="18"/>
              </w:rPr>
              <w:t>—</w:t>
            </w:r>
          </w:p>
        </w:tc>
        <w:tc>
          <w:tcPr>
            <w:tcW w:w="709" w:type="dxa"/>
            <w:tcBorders>
              <w:top w:val="single" w:color="auto" w:sz="4" w:space="0"/>
              <w:left w:val="single" w:color="auto" w:sz="4" w:space="0"/>
              <w:bottom w:val="single" w:color="auto" w:sz="4" w:space="0"/>
              <w:right w:val="single" w:color="auto" w:sz="4" w:space="0"/>
            </w:tcBorders>
            <w:vAlign w:val="center"/>
          </w:tcPr>
          <w:p w14:paraId="2666F6F1">
            <w:pPr>
              <w:widowControl/>
              <w:jc w:val="center"/>
              <w:rPr>
                <w:b/>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571C3B3D">
            <w:pPr>
              <w:widowControl/>
              <w:jc w:val="center"/>
              <w:rPr>
                <w:b/>
                <w:kern w:val="0"/>
                <w:sz w:val="18"/>
                <w:szCs w:val="18"/>
              </w:rPr>
            </w:pPr>
            <w:r>
              <w:rPr>
                <w:b/>
                <w:kern w:val="0"/>
                <w:sz w:val="18"/>
                <w:szCs w:val="18"/>
              </w:rPr>
              <w:t>372859</w:t>
            </w:r>
          </w:p>
        </w:tc>
        <w:tc>
          <w:tcPr>
            <w:tcW w:w="0" w:type="auto"/>
            <w:tcBorders>
              <w:top w:val="nil"/>
              <w:left w:val="nil"/>
              <w:bottom w:val="single" w:color="auto" w:sz="4" w:space="0"/>
              <w:right w:val="single" w:color="auto" w:sz="4" w:space="0"/>
            </w:tcBorders>
            <w:vAlign w:val="center"/>
          </w:tcPr>
          <w:p w14:paraId="71197C22">
            <w:pPr>
              <w:widowControl/>
              <w:jc w:val="center"/>
              <w:rPr>
                <w:bCs/>
                <w:kern w:val="0"/>
                <w:sz w:val="18"/>
                <w:szCs w:val="18"/>
              </w:rPr>
            </w:pPr>
            <w:r>
              <w:rPr>
                <w:bCs/>
                <w:kern w:val="0"/>
                <w:sz w:val="18"/>
                <w:szCs w:val="18"/>
              </w:rPr>
              <w:t>372859</w:t>
            </w:r>
          </w:p>
        </w:tc>
        <w:tc>
          <w:tcPr>
            <w:tcW w:w="0" w:type="auto"/>
            <w:tcBorders>
              <w:top w:val="nil"/>
              <w:left w:val="nil"/>
              <w:bottom w:val="single" w:color="auto" w:sz="4" w:space="0"/>
              <w:right w:val="single" w:color="auto" w:sz="4" w:space="0"/>
            </w:tcBorders>
            <w:vAlign w:val="center"/>
          </w:tcPr>
          <w:p w14:paraId="79BC108B">
            <w:pPr>
              <w:widowControl/>
              <w:jc w:val="center"/>
              <w:rPr>
                <w:kern w:val="0"/>
                <w:sz w:val="18"/>
                <w:szCs w:val="18"/>
              </w:rPr>
            </w:pPr>
            <w:r>
              <w:rPr>
                <w:kern w:val="0"/>
                <w:sz w:val="18"/>
                <w:szCs w:val="18"/>
              </w:rPr>
              <w:t>—</w:t>
            </w:r>
          </w:p>
        </w:tc>
        <w:tc>
          <w:tcPr>
            <w:tcW w:w="0" w:type="auto"/>
            <w:tcBorders>
              <w:top w:val="single" w:color="auto" w:sz="4" w:space="0"/>
              <w:left w:val="nil"/>
              <w:bottom w:val="single" w:color="auto" w:sz="4" w:space="0"/>
              <w:right w:val="single" w:color="auto" w:sz="4" w:space="0"/>
            </w:tcBorders>
            <w:vAlign w:val="center"/>
          </w:tcPr>
          <w:p w14:paraId="3ED3AFCA">
            <w:pPr>
              <w:widowControl/>
              <w:jc w:val="center"/>
              <w:rPr>
                <w:kern w:val="0"/>
                <w:sz w:val="18"/>
                <w:szCs w:val="18"/>
              </w:rPr>
            </w:pPr>
            <w:r>
              <w:rPr>
                <w:b/>
                <w:kern w:val="0"/>
                <w:sz w:val="18"/>
                <w:szCs w:val="18"/>
              </w:rPr>
              <w:t>5938</w:t>
            </w:r>
          </w:p>
        </w:tc>
        <w:tc>
          <w:tcPr>
            <w:tcW w:w="697" w:type="dxa"/>
            <w:tcBorders>
              <w:top w:val="single" w:color="auto" w:sz="4" w:space="0"/>
              <w:left w:val="single" w:color="auto" w:sz="4" w:space="0"/>
              <w:bottom w:val="single" w:color="auto" w:sz="4" w:space="0"/>
              <w:right w:val="single" w:color="auto" w:sz="4" w:space="0"/>
            </w:tcBorders>
            <w:vAlign w:val="center"/>
          </w:tcPr>
          <w:p w14:paraId="5A0BA5A2">
            <w:pPr>
              <w:widowControl/>
              <w:jc w:val="center"/>
              <w:rPr>
                <w:kern w:val="0"/>
                <w:sz w:val="18"/>
                <w:szCs w:val="18"/>
              </w:rPr>
            </w:pPr>
            <w:r>
              <w:rPr>
                <w:kern w:val="0"/>
                <w:sz w:val="18"/>
                <w:szCs w:val="18"/>
              </w:rPr>
              <w:t>75</w:t>
            </w:r>
          </w:p>
        </w:tc>
        <w:tc>
          <w:tcPr>
            <w:tcW w:w="709" w:type="dxa"/>
            <w:tcBorders>
              <w:top w:val="single" w:color="auto" w:sz="4" w:space="0"/>
              <w:left w:val="single" w:color="auto" w:sz="4" w:space="0"/>
              <w:bottom w:val="single" w:color="auto" w:sz="4" w:space="0"/>
              <w:right w:val="single" w:color="auto" w:sz="4" w:space="0"/>
            </w:tcBorders>
            <w:vAlign w:val="center"/>
          </w:tcPr>
          <w:p w14:paraId="0BDE1C1C">
            <w:pPr>
              <w:widowControl/>
              <w:jc w:val="center"/>
              <w:rPr>
                <w:kern w:val="0"/>
                <w:sz w:val="18"/>
                <w:szCs w:val="18"/>
              </w:rPr>
            </w:pPr>
            <w:r>
              <w:rPr>
                <w:kern w:val="0"/>
                <w:sz w:val="18"/>
                <w:szCs w:val="18"/>
              </w:rPr>
              <w:t>5863</w:t>
            </w:r>
          </w:p>
        </w:tc>
        <w:tc>
          <w:tcPr>
            <w:tcW w:w="0" w:type="auto"/>
            <w:tcBorders>
              <w:top w:val="nil"/>
              <w:left w:val="nil"/>
              <w:bottom w:val="single" w:color="auto" w:sz="4" w:space="0"/>
              <w:right w:val="single" w:color="auto" w:sz="4" w:space="0"/>
            </w:tcBorders>
            <w:vAlign w:val="center"/>
          </w:tcPr>
          <w:p w14:paraId="62E912FF">
            <w:pPr>
              <w:widowControl/>
              <w:jc w:val="center"/>
              <w:rPr>
                <w:kern w:val="0"/>
                <w:sz w:val="18"/>
                <w:szCs w:val="18"/>
              </w:rPr>
            </w:pPr>
            <w:r>
              <w:rPr>
                <w:b/>
                <w:bCs/>
                <w:sz w:val="18"/>
                <w:szCs w:val="18"/>
              </w:rPr>
              <w:t>8206</w:t>
            </w:r>
          </w:p>
        </w:tc>
        <w:tc>
          <w:tcPr>
            <w:tcW w:w="698" w:type="dxa"/>
            <w:tcBorders>
              <w:top w:val="single" w:color="auto" w:sz="4" w:space="0"/>
              <w:left w:val="single" w:color="auto" w:sz="4" w:space="0"/>
              <w:bottom w:val="single" w:color="auto" w:sz="4" w:space="0"/>
              <w:right w:val="single" w:color="auto" w:sz="4" w:space="0"/>
            </w:tcBorders>
            <w:vAlign w:val="center"/>
          </w:tcPr>
          <w:p w14:paraId="228A9CA7">
            <w:pPr>
              <w:widowControl/>
              <w:jc w:val="center"/>
              <w:rPr>
                <w:kern w:val="0"/>
                <w:sz w:val="18"/>
                <w:szCs w:val="18"/>
              </w:rPr>
            </w:pPr>
            <w:r>
              <w:rPr>
                <w:sz w:val="18"/>
                <w:szCs w:val="18"/>
              </w:rPr>
              <w:t>2249</w:t>
            </w:r>
          </w:p>
        </w:tc>
        <w:tc>
          <w:tcPr>
            <w:tcW w:w="992" w:type="dxa"/>
            <w:tcBorders>
              <w:top w:val="single" w:color="auto" w:sz="4" w:space="0"/>
              <w:left w:val="single" w:color="auto" w:sz="4" w:space="0"/>
              <w:bottom w:val="single" w:color="auto" w:sz="4" w:space="0"/>
              <w:right w:val="single" w:color="auto" w:sz="4" w:space="0"/>
            </w:tcBorders>
            <w:vAlign w:val="center"/>
          </w:tcPr>
          <w:p w14:paraId="3AA8683E">
            <w:pPr>
              <w:widowControl/>
              <w:jc w:val="center"/>
              <w:rPr>
                <w:kern w:val="0"/>
                <w:sz w:val="18"/>
                <w:szCs w:val="18"/>
              </w:rPr>
            </w:pPr>
            <w:r>
              <w:rPr>
                <w:sz w:val="18"/>
                <w:szCs w:val="18"/>
              </w:rPr>
              <w:t>2766</w:t>
            </w:r>
          </w:p>
        </w:tc>
        <w:tc>
          <w:tcPr>
            <w:tcW w:w="709" w:type="dxa"/>
            <w:tcBorders>
              <w:top w:val="single" w:color="auto" w:sz="4" w:space="0"/>
              <w:left w:val="single" w:color="auto" w:sz="4" w:space="0"/>
              <w:bottom w:val="single" w:color="auto" w:sz="4" w:space="0"/>
              <w:right w:val="single" w:color="auto" w:sz="4" w:space="0"/>
            </w:tcBorders>
            <w:vAlign w:val="center"/>
          </w:tcPr>
          <w:p w14:paraId="69B3E77D">
            <w:pPr>
              <w:widowControl/>
              <w:jc w:val="center"/>
              <w:rPr>
                <w:kern w:val="0"/>
                <w:sz w:val="18"/>
                <w:szCs w:val="18"/>
              </w:rPr>
            </w:pPr>
            <w:r>
              <w:rPr>
                <w:sz w:val="18"/>
                <w:szCs w:val="18"/>
              </w:rPr>
              <w:t>3191</w:t>
            </w:r>
          </w:p>
        </w:tc>
      </w:tr>
      <w:tr w14:paraId="0167F98C">
        <w:tblPrEx>
          <w:tblCellMar>
            <w:top w:w="0" w:type="dxa"/>
            <w:left w:w="108" w:type="dxa"/>
            <w:bottom w:w="0" w:type="dxa"/>
            <w:right w:w="108" w:type="dxa"/>
          </w:tblCellMar>
        </w:tblPrEx>
        <w:trPr>
          <w:trHeight w:val="1103" w:hRule="atLeast"/>
        </w:trPr>
        <w:tc>
          <w:tcPr>
            <w:tcW w:w="0" w:type="auto"/>
            <w:tcBorders>
              <w:top w:val="single" w:color="auto" w:sz="4" w:space="0"/>
              <w:left w:val="single" w:color="auto" w:sz="4" w:space="0"/>
              <w:bottom w:val="single" w:color="auto" w:sz="4" w:space="0"/>
              <w:right w:val="single" w:color="auto" w:sz="4" w:space="0"/>
            </w:tcBorders>
            <w:noWrap/>
            <w:vAlign w:val="center"/>
          </w:tcPr>
          <w:p w14:paraId="541BE800">
            <w:pPr>
              <w:widowControl/>
              <w:jc w:val="center"/>
              <w:rPr>
                <w:b/>
                <w:bCs/>
                <w:kern w:val="0"/>
                <w:sz w:val="18"/>
                <w:szCs w:val="18"/>
              </w:rPr>
            </w:pPr>
            <w:r>
              <w:rPr>
                <w:rFonts w:ascii="Courier New" w:hAnsi="Courier New" w:cs="Courier New"/>
                <w:b/>
                <w:bCs/>
                <w:kern w:val="0"/>
                <w:sz w:val="18"/>
                <w:szCs w:val="18"/>
              </w:rPr>
              <w:t>第二产业</w:t>
            </w:r>
          </w:p>
        </w:tc>
        <w:tc>
          <w:tcPr>
            <w:tcW w:w="0" w:type="auto"/>
            <w:tcBorders>
              <w:top w:val="nil"/>
              <w:left w:val="nil"/>
              <w:bottom w:val="single" w:color="auto" w:sz="4" w:space="0"/>
              <w:right w:val="single" w:color="auto" w:sz="4" w:space="0"/>
            </w:tcBorders>
            <w:noWrap/>
            <w:vAlign w:val="center"/>
          </w:tcPr>
          <w:p w14:paraId="4DA0243C">
            <w:pPr>
              <w:widowControl/>
              <w:jc w:val="center"/>
              <w:rPr>
                <w:b/>
                <w:bCs/>
                <w:kern w:val="0"/>
                <w:sz w:val="18"/>
                <w:szCs w:val="18"/>
              </w:rPr>
            </w:pPr>
            <w:r>
              <w:rPr>
                <w:b/>
                <w:bCs/>
                <w:kern w:val="0"/>
                <w:sz w:val="18"/>
                <w:szCs w:val="18"/>
              </w:rPr>
              <w:t>12400</w:t>
            </w:r>
          </w:p>
        </w:tc>
        <w:tc>
          <w:tcPr>
            <w:tcW w:w="0" w:type="auto"/>
            <w:tcBorders>
              <w:top w:val="nil"/>
              <w:left w:val="nil"/>
              <w:bottom w:val="single" w:color="auto" w:sz="4" w:space="0"/>
              <w:right w:val="single" w:color="auto" w:sz="4" w:space="0"/>
            </w:tcBorders>
            <w:noWrap/>
            <w:vAlign w:val="center"/>
          </w:tcPr>
          <w:p w14:paraId="139B02A4">
            <w:pPr>
              <w:widowControl/>
              <w:jc w:val="center"/>
              <w:rPr>
                <w:b/>
                <w:bCs/>
                <w:kern w:val="0"/>
                <w:sz w:val="18"/>
                <w:szCs w:val="18"/>
              </w:rPr>
            </w:pPr>
            <w:r>
              <w:rPr>
                <w:b/>
                <w:bCs/>
                <w:kern w:val="0"/>
                <w:sz w:val="18"/>
                <w:szCs w:val="18"/>
              </w:rPr>
              <w:t>2.</w:t>
            </w:r>
            <w:r>
              <w:rPr>
                <w:rFonts w:hint="eastAsia"/>
                <w:b/>
                <w:bCs/>
                <w:kern w:val="0"/>
                <w:sz w:val="18"/>
                <w:szCs w:val="18"/>
              </w:rPr>
              <w:t>58</w:t>
            </w:r>
          </w:p>
        </w:tc>
        <w:tc>
          <w:tcPr>
            <w:tcW w:w="0" w:type="auto"/>
            <w:tcBorders>
              <w:top w:val="single" w:color="auto" w:sz="4" w:space="0"/>
              <w:left w:val="nil"/>
              <w:bottom w:val="single" w:color="auto" w:sz="4" w:space="0"/>
              <w:right w:val="single" w:color="auto" w:sz="4" w:space="0"/>
            </w:tcBorders>
            <w:vAlign w:val="center"/>
          </w:tcPr>
          <w:p w14:paraId="3CC1162F">
            <w:pPr>
              <w:widowControl/>
              <w:jc w:val="center"/>
              <w:rPr>
                <w:b/>
                <w:bCs/>
                <w:kern w:val="0"/>
                <w:sz w:val="18"/>
                <w:szCs w:val="18"/>
              </w:rPr>
            </w:pPr>
          </w:p>
        </w:tc>
        <w:tc>
          <w:tcPr>
            <w:tcW w:w="788" w:type="dxa"/>
            <w:tcBorders>
              <w:top w:val="single" w:color="auto" w:sz="4" w:space="0"/>
              <w:left w:val="single" w:color="auto" w:sz="4" w:space="0"/>
              <w:bottom w:val="single" w:color="auto" w:sz="4" w:space="0"/>
              <w:right w:val="single" w:color="auto" w:sz="4" w:space="0"/>
            </w:tcBorders>
            <w:vAlign w:val="center"/>
          </w:tcPr>
          <w:p w14:paraId="567CE349">
            <w:pPr>
              <w:widowControl/>
              <w:jc w:val="center"/>
              <w:rPr>
                <w:b/>
                <w:bCs/>
                <w:kern w:val="0"/>
                <w:sz w:val="18"/>
                <w:szCs w:val="18"/>
              </w:rPr>
            </w:pPr>
          </w:p>
        </w:tc>
        <w:tc>
          <w:tcPr>
            <w:tcW w:w="686" w:type="dxa"/>
            <w:tcBorders>
              <w:top w:val="single" w:color="auto" w:sz="4" w:space="0"/>
              <w:left w:val="single" w:color="auto" w:sz="4" w:space="0"/>
              <w:bottom w:val="single" w:color="auto" w:sz="4" w:space="0"/>
              <w:right w:val="single" w:color="auto" w:sz="4" w:space="0"/>
            </w:tcBorders>
            <w:vAlign w:val="center"/>
          </w:tcPr>
          <w:p w14:paraId="10285C09">
            <w:pPr>
              <w:widowControl/>
              <w:jc w:val="center"/>
              <w:rPr>
                <w:b/>
                <w:bCs/>
                <w:kern w:val="0"/>
                <w:sz w:val="18"/>
                <w:szCs w:val="18"/>
              </w:rPr>
            </w:pPr>
            <w:r>
              <w:rPr>
                <w:kern w:val="0"/>
                <w:sz w:val="18"/>
                <w:szCs w:val="18"/>
              </w:rPr>
              <w:t>—</w:t>
            </w:r>
          </w:p>
        </w:tc>
        <w:tc>
          <w:tcPr>
            <w:tcW w:w="671" w:type="dxa"/>
            <w:tcBorders>
              <w:top w:val="single" w:color="auto" w:sz="4" w:space="0"/>
              <w:left w:val="single" w:color="auto" w:sz="4" w:space="0"/>
              <w:bottom w:val="single" w:color="auto" w:sz="4" w:space="0"/>
              <w:right w:val="single" w:color="auto" w:sz="4" w:space="0"/>
            </w:tcBorders>
            <w:vAlign w:val="center"/>
          </w:tcPr>
          <w:p w14:paraId="775F8A0D">
            <w:pPr>
              <w:widowControl/>
              <w:jc w:val="center"/>
              <w:rPr>
                <w:kern w:val="0"/>
                <w:sz w:val="18"/>
                <w:szCs w:val="18"/>
              </w:rPr>
            </w:pPr>
          </w:p>
        </w:tc>
        <w:tc>
          <w:tcPr>
            <w:tcW w:w="641" w:type="dxa"/>
            <w:tcBorders>
              <w:top w:val="single" w:color="auto" w:sz="4" w:space="0"/>
              <w:left w:val="single" w:color="auto" w:sz="4" w:space="0"/>
              <w:bottom w:val="single" w:color="auto" w:sz="4" w:space="0"/>
              <w:right w:val="single" w:color="auto" w:sz="4" w:space="0"/>
            </w:tcBorders>
            <w:vAlign w:val="center"/>
          </w:tcPr>
          <w:p w14:paraId="27400B30">
            <w:pPr>
              <w:widowControl/>
              <w:jc w:val="center"/>
              <w:rPr>
                <w:b/>
                <w:bCs/>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5EF9EAA8">
            <w:pPr>
              <w:widowControl/>
              <w:jc w:val="center"/>
              <w:rPr>
                <w:b/>
                <w:bCs/>
                <w:kern w:val="0"/>
                <w:sz w:val="18"/>
                <w:szCs w:val="18"/>
              </w:rPr>
            </w:pPr>
            <w:r>
              <w:rPr>
                <w:b/>
                <w:bCs/>
                <w:kern w:val="0"/>
                <w:sz w:val="18"/>
                <w:szCs w:val="18"/>
              </w:rPr>
              <w:t>12400</w:t>
            </w:r>
          </w:p>
        </w:tc>
        <w:tc>
          <w:tcPr>
            <w:tcW w:w="930" w:type="dxa"/>
            <w:tcBorders>
              <w:top w:val="single" w:color="auto" w:sz="4" w:space="0"/>
              <w:left w:val="nil"/>
              <w:bottom w:val="single" w:color="auto" w:sz="4" w:space="0"/>
              <w:right w:val="single" w:color="auto" w:sz="4" w:space="0"/>
            </w:tcBorders>
            <w:vAlign w:val="center"/>
          </w:tcPr>
          <w:p w14:paraId="34AC0E0B">
            <w:pPr>
              <w:widowControl/>
              <w:jc w:val="center"/>
              <w:rPr>
                <w:kern w:val="0"/>
                <w:sz w:val="18"/>
                <w:szCs w:val="18"/>
              </w:rPr>
            </w:pPr>
            <w:r>
              <w:rPr>
                <w:kern w:val="0"/>
                <w:sz w:val="18"/>
                <w:szCs w:val="18"/>
              </w:rPr>
              <w:t>—</w:t>
            </w:r>
          </w:p>
        </w:tc>
        <w:tc>
          <w:tcPr>
            <w:tcW w:w="862" w:type="dxa"/>
            <w:tcBorders>
              <w:top w:val="nil"/>
              <w:left w:val="single" w:color="auto" w:sz="4" w:space="0"/>
              <w:bottom w:val="single" w:color="auto" w:sz="4" w:space="0"/>
              <w:right w:val="single" w:color="auto" w:sz="4" w:space="0"/>
            </w:tcBorders>
            <w:vAlign w:val="center"/>
          </w:tcPr>
          <w:p w14:paraId="47A37BC3">
            <w:pPr>
              <w:widowControl/>
              <w:jc w:val="center"/>
              <w:rPr>
                <w:kern w:val="0"/>
                <w:sz w:val="18"/>
                <w:szCs w:val="18"/>
              </w:rPr>
            </w:pPr>
            <w:r>
              <w:rPr>
                <w:kern w:val="0"/>
                <w:sz w:val="18"/>
                <w:szCs w:val="18"/>
              </w:rPr>
              <w:t>—</w:t>
            </w:r>
          </w:p>
        </w:tc>
        <w:tc>
          <w:tcPr>
            <w:tcW w:w="1002" w:type="dxa"/>
            <w:tcBorders>
              <w:top w:val="nil"/>
              <w:left w:val="nil"/>
              <w:bottom w:val="single" w:color="auto" w:sz="4" w:space="0"/>
              <w:right w:val="single" w:color="auto" w:sz="4" w:space="0"/>
            </w:tcBorders>
            <w:vAlign w:val="center"/>
          </w:tcPr>
          <w:p w14:paraId="65CFB16B">
            <w:pPr>
              <w:widowControl/>
              <w:jc w:val="center"/>
              <w:rPr>
                <w:kern w:val="0"/>
                <w:sz w:val="18"/>
                <w:szCs w:val="18"/>
              </w:rPr>
            </w:pPr>
            <w:r>
              <w:rPr>
                <w:kern w:val="0"/>
                <w:sz w:val="18"/>
                <w:szCs w:val="18"/>
              </w:rPr>
              <w:t>4200</w:t>
            </w:r>
          </w:p>
        </w:tc>
        <w:tc>
          <w:tcPr>
            <w:tcW w:w="0" w:type="auto"/>
            <w:tcBorders>
              <w:top w:val="nil"/>
              <w:left w:val="nil"/>
              <w:bottom w:val="single" w:color="auto" w:sz="4" w:space="0"/>
              <w:right w:val="single" w:color="auto" w:sz="4" w:space="0"/>
            </w:tcBorders>
            <w:vAlign w:val="center"/>
          </w:tcPr>
          <w:p w14:paraId="6BD63DF2">
            <w:pPr>
              <w:widowControl/>
              <w:jc w:val="center"/>
              <w:rPr>
                <w:kern w:val="0"/>
                <w:sz w:val="18"/>
                <w:szCs w:val="18"/>
              </w:rPr>
            </w:pPr>
            <w:r>
              <w:rPr>
                <w:kern w:val="0"/>
                <w:sz w:val="18"/>
                <w:szCs w:val="18"/>
              </w:rPr>
              <w:t>8200</w:t>
            </w:r>
          </w:p>
        </w:tc>
        <w:tc>
          <w:tcPr>
            <w:tcW w:w="0" w:type="auto"/>
            <w:tcBorders>
              <w:top w:val="single" w:color="auto" w:sz="4" w:space="0"/>
              <w:left w:val="nil"/>
              <w:bottom w:val="single" w:color="auto" w:sz="4" w:space="0"/>
              <w:right w:val="single" w:color="auto" w:sz="4" w:space="0"/>
            </w:tcBorders>
            <w:vAlign w:val="center"/>
          </w:tcPr>
          <w:p w14:paraId="15135238">
            <w:pPr>
              <w:widowControl/>
              <w:jc w:val="center"/>
              <w:rPr>
                <w:kern w:val="0"/>
                <w:sz w:val="18"/>
                <w:szCs w:val="18"/>
              </w:rPr>
            </w:pPr>
          </w:p>
        </w:tc>
        <w:tc>
          <w:tcPr>
            <w:tcW w:w="0" w:type="auto"/>
            <w:tcBorders>
              <w:top w:val="single" w:color="auto" w:sz="4" w:space="0"/>
              <w:left w:val="single" w:color="auto" w:sz="4" w:space="0"/>
              <w:bottom w:val="single" w:color="auto" w:sz="4" w:space="0"/>
              <w:right w:val="single" w:color="auto" w:sz="4" w:space="0"/>
            </w:tcBorders>
            <w:vAlign w:val="center"/>
          </w:tcPr>
          <w:p w14:paraId="2145F800">
            <w:pPr>
              <w:widowControl/>
              <w:jc w:val="center"/>
              <w:rPr>
                <w:kern w:val="0"/>
                <w:sz w:val="18"/>
                <w:szCs w:val="18"/>
              </w:rPr>
            </w:pPr>
            <w:r>
              <w:rPr>
                <w:kern w:val="0"/>
                <w:sz w:val="18"/>
                <w:szCs w:val="18"/>
              </w:rPr>
              <w:t>—</w:t>
            </w:r>
          </w:p>
        </w:tc>
        <w:tc>
          <w:tcPr>
            <w:tcW w:w="711" w:type="dxa"/>
            <w:tcBorders>
              <w:top w:val="single" w:color="auto" w:sz="4" w:space="0"/>
              <w:left w:val="single" w:color="auto" w:sz="4" w:space="0"/>
              <w:bottom w:val="single" w:color="auto" w:sz="4" w:space="0"/>
              <w:right w:val="single" w:color="auto" w:sz="4" w:space="0"/>
            </w:tcBorders>
            <w:vAlign w:val="center"/>
          </w:tcPr>
          <w:p w14:paraId="1447E0AF">
            <w:pPr>
              <w:widowControl/>
              <w:jc w:val="center"/>
              <w:rPr>
                <w:kern w:val="0"/>
                <w:sz w:val="18"/>
                <w:szCs w:val="18"/>
              </w:rPr>
            </w:pPr>
            <w:r>
              <w:rPr>
                <w:kern w:val="0"/>
                <w:sz w:val="18"/>
                <w:szCs w:val="18"/>
              </w:rPr>
              <w:t>—</w:t>
            </w:r>
          </w:p>
        </w:tc>
        <w:tc>
          <w:tcPr>
            <w:tcW w:w="709" w:type="dxa"/>
            <w:tcBorders>
              <w:top w:val="single" w:color="auto" w:sz="4" w:space="0"/>
              <w:left w:val="single" w:color="auto" w:sz="4" w:space="0"/>
              <w:bottom w:val="single" w:color="auto" w:sz="4" w:space="0"/>
              <w:right w:val="single" w:color="auto" w:sz="4" w:space="0"/>
            </w:tcBorders>
            <w:vAlign w:val="center"/>
          </w:tcPr>
          <w:p w14:paraId="24835465">
            <w:pPr>
              <w:widowControl/>
              <w:jc w:val="center"/>
              <w:rPr>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5D4970B8">
            <w:pPr>
              <w:widowControl/>
              <w:jc w:val="center"/>
              <w:rPr>
                <w:kern w:val="0"/>
                <w:sz w:val="18"/>
                <w:szCs w:val="18"/>
              </w:rPr>
            </w:pPr>
          </w:p>
        </w:tc>
        <w:tc>
          <w:tcPr>
            <w:tcW w:w="0" w:type="auto"/>
            <w:tcBorders>
              <w:top w:val="nil"/>
              <w:left w:val="nil"/>
              <w:bottom w:val="single" w:color="auto" w:sz="4" w:space="0"/>
              <w:right w:val="single" w:color="auto" w:sz="4" w:space="0"/>
            </w:tcBorders>
            <w:vAlign w:val="center"/>
          </w:tcPr>
          <w:p w14:paraId="65762E5D">
            <w:pPr>
              <w:widowControl/>
              <w:jc w:val="center"/>
              <w:rPr>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01DD98BB">
            <w:pPr>
              <w:widowControl/>
              <w:jc w:val="center"/>
              <w:rPr>
                <w:kern w:val="0"/>
                <w:sz w:val="18"/>
                <w:szCs w:val="18"/>
              </w:rPr>
            </w:pPr>
            <w:r>
              <w:rPr>
                <w:kern w:val="0"/>
                <w:sz w:val="18"/>
                <w:szCs w:val="18"/>
              </w:rPr>
              <w:t>—</w:t>
            </w:r>
          </w:p>
        </w:tc>
        <w:tc>
          <w:tcPr>
            <w:tcW w:w="0" w:type="auto"/>
            <w:tcBorders>
              <w:top w:val="single" w:color="auto" w:sz="4" w:space="0"/>
              <w:left w:val="nil"/>
              <w:bottom w:val="single" w:color="auto" w:sz="4" w:space="0"/>
              <w:right w:val="single" w:color="auto" w:sz="4" w:space="0"/>
            </w:tcBorders>
            <w:vAlign w:val="center"/>
          </w:tcPr>
          <w:p w14:paraId="2D38E379">
            <w:pPr>
              <w:widowControl/>
              <w:jc w:val="center"/>
              <w:rPr>
                <w:kern w:val="0"/>
                <w:sz w:val="18"/>
                <w:szCs w:val="18"/>
              </w:rPr>
            </w:pPr>
          </w:p>
        </w:tc>
        <w:tc>
          <w:tcPr>
            <w:tcW w:w="697" w:type="dxa"/>
            <w:tcBorders>
              <w:top w:val="single" w:color="auto" w:sz="4" w:space="0"/>
              <w:left w:val="single" w:color="auto" w:sz="4" w:space="0"/>
              <w:bottom w:val="single" w:color="auto" w:sz="4" w:space="0"/>
              <w:right w:val="single" w:color="auto" w:sz="4" w:space="0"/>
            </w:tcBorders>
            <w:vAlign w:val="center"/>
          </w:tcPr>
          <w:p w14:paraId="7A7B72DF">
            <w:pPr>
              <w:widowControl/>
              <w:jc w:val="center"/>
              <w:rPr>
                <w:kern w:val="0"/>
                <w:sz w:val="18"/>
                <w:szCs w:val="18"/>
              </w:rPr>
            </w:pPr>
            <w:r>
              <w:rPr>
                <w:kern w:val="0"/>
                <w:sz w:val="18"/>
                <w:szCs w:val="18"/>
              </w:rPr>
              <w:t>—</w:t>
            </w:r>
          </w:p>
        </w:tc>
        <w:tc>
          <w:tcPr>
            <w:tcW w:w="709" w:type="dxa"/>
            <w:tcBorders>
              <w:top w:val="single" w:color="auto" w:sz="4" w:space="0"/>
              <w:left w:val="single" w:color="auto" w:sz="4" w:space="0"/>
              <w:bottom w:val="single" w:color="auto" w:sz="4" w:space="0"/>
              <w:right w:val="single" w:color="auto" w:sz="4" w:space="0"/>
            </w:tcBorders>
            <w:vAlign w:val="center"/>
          </w:tcPr>
          <w:p w14:paraId="6CF2C4A7">
            <w:pPr>
              <w:widowControl/>
              <w:jc w:val="center"/>
              <w:rPr>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386F2D62">
            <w:pPr>
              <w:widowControl/>
              <w:jc w:val="center"/>
              <w:rPr>
                <w:kern w:val="0"/>
                <w:sz w:val="18"/>
                <w:szCs w:val="18"/>
              </w:rPr>
            </w:pPr>
          </w:p>
        </w:tc>
        <w:tc>
          <w:tcPr>
            <w:tcW w:w="698" w:type="dxa"/>
            <w:tcBorders>
              <w:top w:val="single" w:color="auto" w:sz="4" w:space="0"/>
              <w:left w:val="single" w:color="auto" w:sz="4" w:space="0"/>
              <w:bottom w:val="single" w:color="auto" w:sz="4" w:space="0"/>
              <w:right w:val="single" w:color="auto" w:sz="4" w:space="0"/>
            </w:tcBorders>
            <w:vAlign w:val="center"/>
          </w:tcPr>
          <w:p w14:paraId="1C2CE60A">
            <w:pPr>
              <w:widowControl/>
              <w:jc w:val="center"/>
              <w:rPr>
                <w:kern w:val="0"/>
                <w:sz w:val="18"/>
                <w:szCs w:val="18"/>
              </w:rPr>
            </w:pPr>
            <w:r>
              <w:rPr>
                <w:kern w:val="0"/>
                <w:sz w:val="18"/>
                <w:szCs w:val="18"/>
              </w:rPr>
              <w:t>—</w:t>
            </w:r>
          </w:p>
        </w:tc>
        <w:tc>
          <w:tcPr>
            <w:tcW w:w="992" w:type="dxa"/>
            <w:tcBorders>
              <w:top w:val="single" w:color="auto" w:sz="4" w:space="0"/>
              <w:left w:val="single" w:color="auto" w:sz="4" w:space="0"/>
              <w:bottom w:val="single" w:color="auto" w:sz="4" w:space="0"/>
              <w:right w:val="single" w:color="auto" w:sz="4" w:space="0"/>
            </w:tcBorders>
            <w:vAlign w:val="center"/>
          </w:tcPr>
          <w:p w14:paraId="0181D485">
            <w:pPr>
              <w:widowControl/>
              <w:jc w:val="center"/>
              <w:rPr>
                <w:kern w:val="0"/>
                <w:sz w:val="18"/>
                <w:szCs w:val="18"/>
              </w:rPr>
            </w:pPr>
            <w:r>
              <w:rPr>
                <w:kern w:val="0"/>
                <w:sz w:val="18"/>
                <w:szCs w:val="18"/>
              </w:rPr>
              <w:t>—</w:t>
            </w:r>
          </w:p>
        </w:tc>
        <w:tc>
          <w:tcPr>
            <w:tcW w:w="709" w:type="dxa"/>
            <w:tcBorders>
              <w:top w:val="single" w:color="auto" w:sz="4" w:space="0"/>
              <w:left w:val="single" w:color="auto" w:sz="4" w:space="0"/>
              <w:bottom w:val="single" w:color="auto" w:sz="4" w:space="0"/>
              <w:right w:val="single" w:color="auto" w:sz="4" w:space="0"/>
            </w:tcBorders>
            <w:vAlign w:val="center"/>
          </w:tcPr>
          <w:p w14:paraId="6CC29F59">
            <w:pPr>
              <w:widowControl/>
              <w:jc w:val="center"/>
              <w:rPr>
                <w:kern w:val="0"/>
                <w:sz w:val="18"/>
                <w:szCs w:val="18"/>
              </w:rPr>
            </w:pPr>
            <w:r>
              <w:rPr>
                <w:kern w:val="0"/>
                <w:sz w:val="18"/>
                <w:szCs w:val="18"/>
              </w:rPr>
              <w:t>—</w:t>
            </w:r>
          </w:p>
        </w:tc>
      </w:tr>
      <w:tr w14:paraId="62E53B7F">
        <w:tblPrEx>
          <w:tblCellMar>
            <w:top w:w="0" w:type="dxa"/>
            <w:left w:w="108" w:type="dxa"/>
            <w:bottom w:w="0" w:type="dxa"/>
            <w:right w:w="108" w:type="dxa"/>
          </w:tblCellMar>
        </w:tblPrEx>
        <w:trPr>
          <w:trHeight w:val="1103" w:hRule="atLeast"/>
        </w:trPr>
        <w:tc>
          <w:tcPr>
            <w:tcW w:w="0" w:type="auto"/>
            <w:tcBorders>
              <w:top w:val="single" w:color="auto" w:sz="4" w:space="0"/>
              <w:left w:val="single" w:color="auto" w:sz="4" w:space="0"/>
              <w:bottom w:val="single" w:color="auto" w:sz="4" w:space="0"/>
              <w:right w:val="single" w:color="auto" w:sz="4" w:space="0"/>
            </w:tcBorders>
            <w:noWrap/>
            <w:vAlign w:val="center"/>
          </w:tcPr>
          <w:p w14:paraId="0CDD1135">
            <w:pPr>
              <w:widowControl/>
              <w:jc w:val="center"/>
              <w:rPr>
                <w:b/>
                <w:bCs/>
                <w:kern w:val="0"/>
                <w:sz w:val="18"/>
                <w:szCs w:val="18"/>
              </w:rPr>
            </w:pPr>
            <w:r>
              <w:rPr>
                <w:rFonts w:ascii="Courier New" w:hAnsi="Courier New" w:cs="Courier New"/>
                <w:b/>
                <w:bCs/>
                <w:kern w:val="0"/>
                <w:sz w:val="18"/>
                <w:szCs w:val="18"/>
              </w:rPr>
              <w:t>第三产业</w:t>
            </w:r>
          </w:p>
        </w:tc>
        <w:tc>
          <w:tcPr>
            <w:tcW w:w="0" w:type="auto"/>
            <w:tcBorders>
              <w:top w:val="nil"/>
              <w:left w:val="nil"/>
              <w:bottom w:val="single" w:color="auto" w:sz="4" w:space="0"/>
              <w:right w:val="single" w:color="auto" w:sz="4" w:space="0"/>
            </w:tcBorders>
            <w:noWrap/>
            <w:vAlign w:val="center"/>
          </w:tcPr>
          <w:p w14:paraId="17E9CB37">
            <w:pPr>
              <w:widowControl/>
              <w:jc w:val="center"/>
              <w:rPr>
                <w:b/>
                <w:bCs/>
                <w:kern w:val="0"/>
                <w:sz w:val="18"/>
                <w:szCs w:val="18"/>
              </w:rPr>
            </w:pPr>
            <w:r>
              <w:rPr>
                <w:rFonts w:hint="eastAsia"/>
                <w:b/>
                <w:bCs/>
                <w:kern w:val="0"/>
                <w:sz w:val="18"/>
                <w:szCs w:val="18"/>
              </w:rPr>
              <w:t>43712</w:t>
            </w:r>
          </w:p>
        </w:tc>
        <w:tc>
          <w:tcPr>
            <w:tcW w:w="0" w:type="auto"/>
            <w:tcBorders>
              <w:top w:val="nil"/>
              <w:left w:val="nil"/>
              <w:bottom w:val="single" w:color="auto" w:sz="4" w:space="0"/>
              <w:right w:val="single" w:color="auto" w:sz="4" w:space="0"/>
            </w:tcBorders>
            <w:noWrap/>
            <w:vAlign w:val="center"/>
          </w:tcPr>
          <w:p w14:paraId="7F25BB5B">
            <w:pPr>
              <w:widowControl/>
              <w:jc w:val="center"/>
              <w:rPr>
                <w:b/>
                <w:bCs/>
                <w:kern w:val="0"/>
                <w:sz w:val="18"/>
                <w:szCs w:val="18"/>
              </w:rPr>
            </w:pPr>
            <w:r>
              <w:rPr>
                <w:rFonts w:hint="eastAsia"/>
                <w:b/>
                <w:bCs/>
                <w:kern w:val="0"/>
                <w:sz w:val="18"/>
                <w:szCs w:val="18"/>
              </w:rPr>
              <w:t>9.08</w:t>
            </w:r>
          </w:p>
        </w:tc>
        <w:tc>
          <w:tcPr>
            <w:tcW w:w="0" w:type="auto"/>
            <w:tcBorders>
              <w:top w:val="single" w:color="auto" w:sz="4" w:space="0"/>
              <w:left w:val="nil"/>
              <w:bottom w:val="single" w:color="auto" w:sz="4" w:space="0"/>
              <w:right w:val="single" w:color="auto" w:sz="4" w:space="0"/>
            </w:tcBorders>
            <w:vAlign w:val="center"/>
          </w:tcPr>
          <w:p w14:paraId="6591875B">
            <w:pPr>
              <w:widowControl/>
              <w:jc w:val="center"/>
              <w:rPr>
                <w:b/>
                <w:bCs/>
                <w:kern w:val="0"/>
                <w:sz w:val="18"/>
                <w:szCs w:val="18"/>
              </w:rPr>
            </w:pPr>
            <w:r>
              <w:rPr>
                <w:b/>
                <w:bCs/>
                <w:kern w:val="0"/>
                <w:sz w:val="18"/>
                <w:szCs w:val="18"/>
              </w:rPr>
              <w:t>43712</w:t>
            </w:r>
          </w:p>
        </w:tc>
        <w:tc>
          <w:tcPr>
            <w:tcW w:w="788" w:type="dxa"/>
            <w:tcBorders>
              <w:top w:val="single" w:color="auto" w:sz="4" w:space="0"/>
              <w:left w:val="single" w:color="auto" w:sz="4" w:space="0"/>
              <w:bottom w:val="single" w:color="auto" w:sz="4" w:space="0"/>
              <w:right w:val="single" w:color="auto" w:sz="4" w:space="0"/>
            </w:tcBorders>
            <w:vAlign w:val="center"/>
          </w:tcPr>
          <w:p w14:paraId="1B02A8DE">
            <w:pPr>
              <w:widowControl/>
              <w:jc w:val="center"/>
              <w:rPr>
                <w:bCs/>
                <w:kern w:val="0"/>
                <w:sz w:val="18"/>
                <w:szCs w:val="18"/>
              </w:rPr>
            </w:pPr>
          </w:p>
        </w:tc>
        <w:tc>
          <w:tcPr>
            <w:tcW w:w="686" w:type="dxa"/>
            <w:tcBorders>
              <w:top w:val="single" w:color="auto" w:sz="4" w:space="0"/>
              <w:left w:val="single" w:color="auto" w:sz="4" w:space="0"/>
              <w:bottom w:val="single" w:color="auto" w:sz="4" w:space="0"/>
              <w:right w:val="single" w:color="auto" w:sz="4" w:space="0"/>
            </w:tcBorders>
            <w:vAlign w:val="center"/>
          </w:tcPr>
          <w:p w14:paraId="50151B53">
            <w:pPr>
              <w:widowControl/>
              <w:jc w:val="center"/>
              <w:rPr>
                <w:b/>
                <w:bCs/>
                <w:kern w:val="0"/>
                <w:sz w:val="18"/>
                <w:szCs w:val="18"/>
              </w:rPr>
            </w:pPr>
            <w:r>
              <w:rPr>
                <w:b/>
                <w:bCs/>
                <w:kern w:val="0"/>
                <w:sz w:val="18"/>
                <w:szCs w:val="18"/>
              </w:rPr>
              <w:t>—</w:t>
            </w:r>
          </w:p>
        </w:tc>
        <w:tc>
          <w:tcPr>
            <w:tcW w:w="671" w:type="dxa"/>
            <w:tcBorders>
              <w:top w:val="single" w:color="auto" w:sz="4" w:space="0"/>
              <w:left w:val="single" w:color="auto" w:sz="4" w:space="0"/>
              <w:bottom w:val="single" w:color="auto" w:sz="4" w:space="0"/>
              <w:right w:val="single" w:color="auto" w:sz="4" w:space="0"/>
            </w:tcBorders>
            <w:vAlign w:val="center"/>
          </w:tcPr>
          <w:p w14:paraId="54C60E5A">
            <w:pPr>
              <w:widowControl/>
              <w:jc w:val="center"/>
              <w:rPr>
                <w:b/>
                <w:bCs/>
                <w:kern w:val="0"/>
                <w:sz w:val="18"/>
                <w:szCs w:val="18"/>
              </w:rPr>
            </w:pPr>
            <w:r>
              <w:rPr>
                <w:bCs/>
                <w:kern w:val="0"/>
                <w:sz w:val="18"/>
                <w:szCs w:val="18"/>
              </w:rPr>
              <w:t>43712</w:t>
            </w:r>
          </w:p>
        </w:tc>
        <w:tc>
          <w:tcPr>
            <w:tcW w:w="641" w:type="dxa"/>
            <w:tcBorders>
              <w:top w:val="single" w:color="auto" w:sz="4" w:space="0"/>
              <w:left w:val="single" w:color="auto" w:sz="4" w:space="0"/>
              <w:bottom w:val="single" w:color="auto" w:sz="4" w:space="0"/>
              <w:right w:val="single" w:color="auto" w:sz="4" w:space="0"/>
            </w:tcBorders>
            <w:vAlign w:val="center"/>
          </w:tcPr>
          <w:p w14:paraId="4D216C4F">
            <w:pPr>
              <w:widowControl/>
              <w:jc w:val="center"/>
              <w:rPr>
                <w:b/>
                <w:bCs/>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1644F5D5">
            <w:pPr>
              <w:widowControl/>
              <w:jc w:val="center"/>
              <w:rPr>
                <w:b/>
                <w:bCs/>
                <w:kern w:val="0"/>
                <w:sz w:val="18"/>
                <w:szCs w:val="18"/>
              </w:rPr>
            </w:pPr>
          </w:p>
        </w:tc>
        <w:tc>
          <w:tcPr>
            <w:tcW w:w="930" w:type="dxa"/>
            <w:tcBorders>
              <w:top w:val="single" w:color="auto" w:sz="4" w:space="0"/>
              <w:left w:val="nil"/>
              <w:bottom w:val="single" w:color="auto" w:sz="4" w:space="0"/>
              <w:right w:val="single" w:color="auto" w:sz="4" w:space="0"/>
            </w:tcBorders>
            <w:vAlign w:val="center"/>
          </w:tcPr>
          <w:p w14:paraId="6E97ABC4">
            <w:pPr>
              <w:widowControl/>
              <w:jc w:val="center"/>
              <w:rPr>
                <w:kern w:val="0"/>
                <w:sz w:val="18"/>
                <w:szCs w:val="18"/>
              </w:rPr>
            </w:pPr>
            <w:r>
              <w:rPr>
                <w:kern w:val="0"/>
                <w:sz w:val="18"/>
                <w:szCs w:val="18"/>
              </w:rPr>
              <w:t>—</w:t>
            </w:r>
          </w:p>
        </w:tc>
        <w:tc>
          <w:tcPr>
            <w:tcW w:w="862" w:type="dxa"/>
            <w:tcBorders>
              <w:top w:val="nil"/>
              <w:left w:val="single" w:color="auto" w:sz="4" w:space="0"/>
              <w:bottom w:val="single" w:color="auto" w:sz="4" w:space="0"/>
              <w:right w:val="single" w:color="auto" w:sz="4" w:space="0"/>
            </w:tcBorders>
            <w:vAlign w:val="center"/>
          </w:tcPr>
          <w:p w14:paraId="4BA571AB">
            <w:pPr>
              <w:widowControl/>
              <w:jc w:val="center"/>
              <w:rPr>
                <w:kern w:val="0"/>
                <w:sz w:val="18"/>
                <w:szCs w:val="18"/>
              </w:rPr>
            </w:pPr>
            <w:r>
              <w:rPr>
                <w:kern w:val="0"/>
                <w:sz w:val="18"/>
                <w:szCs w:val="18"/>
              </w:rPr>
              <w:t>—</w:t>
            </w:r>
          </w:p>
        </w:tc>
        <w:tc>
          <w:tcPr>
            <w:tcW w:w="1002" w:type="dxa"/>
            <w:tcBorders>
              <w:top w:val="nil"/>
              <w:left w:val="nil"/>
              <w:bottom w:val="single" w:color="auto" w:sz="4" w:space="0"/>
              <w:right w:val="single" w:color="auto" w:sz="4" w:space="0"/>
            </w:tcBorders>
            <w:vAlign w:val="center"/>
          </w:tcPr>
          <w:p w14:paraId="25068384">
            <w:pPr>
              <w:widowControl/>
              <w:jc w:val="center"/>
              <w:rPr>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05F022FE">
            <w:pPr>
              <w:widowControl/>
              <w:jc w:val="center"/>
              <w:rPr>
                <w:kern w:val="0"/>
                <w:sz w:val="18"/>
                <w:szCs w:val="18"/>
              </w:rPr>
            </w:pPr>
            <w:r>
              <w:rPr>
                <w:kern w:val="0"/>
                <w:sz w:val="18"/>
                <w:szCs w:val="18"/>
              </w:rPr>
              <w:t>—</w:t>
            </w:r>
          </w:p>
        </w:tc>
        <w:tc>
          <w:tcPr>
            <w:tcW w:w="0" w:type="auto"/>
            <w:tcBorders>
              <w:top w:val="single" w:color="auto" w:sz="4" w:space="0"/>
              <w:left w:val="nil"/>
              <w:bottom w:val="single" w:color="auto" w:sz="4" w:space="0"/>
              <w:right w:val="single" w:color="auto" w:sz="4" w:space="0"/>
            </w:tcBorders>
            <w:vAlign w:val="center"/>
          </w:tcPr>
          <w:p w14:paraId="687B1B0D">
            <w:pPr>
              <w:widowControl/>
              <w:jc w:val="center"/>
              <w:rPr>
                <w:kern w:val="0"/>
                <w:sz w:val="18"/>
                <w:szCs w:val="18"/>
              </w:rPr>
            </w:pPr>
          </w:p>
        </w:tc>
        <w:tc>
          <w:tcPr>
            <w:tcW w:w="0" w:type="auto"/>
            <w:tcBorders>
              <w:top w:val="single" w:color="auto" w:sz="4" w:space="0"/>
              <w:left w:val="single" w:color="auto" w:sz="4" w:space="0"/>
              <w:bottom w:val="single" w:color="auto" w:sz="4" w:space="0"/>
              <w:right w:val="single" w:color="auto" w:sz="4" w:space="0"/>
            </w:tcBorders>
            <w:vAlign w:val="center"/>
          </w:tcPr>
          <w:p w14:paraId="55C9A514">
            <w:pPr>
              <w:widowControl/>
              <w:jc w:val="center"/>
              <w:rPr>
                <w:kern w:val="0"/>
                <w:sz w:val="18"/>
                <w:szCs w:val="18"/>
              </w:rPr>
            </w:pPr>
            <w:r>
              <w:rPr>
                <w:kern w:val="0"/>
                <w:sz w:val="18"/>
                <w:szCs w:val="18"/>
              </w:rPr>
              <w:t>—</w:t>
            </w:r>
          </w:p>
        </w:tc>
        <w:tc>
          <w:tcPr>
            <w:tcW w:w="711" w:type="dxa"/>
            <w:tcBorders>
              <w:top w:val="single" w:color="auto" w:sz="4" w:space="0"/>
              <w:left w:val="single" w:color="auto" w:sz="4" w:space="0"/>
              <w:bottom w:val="single" w:color="auto" w:sz="4" w:space="0"/>
              <w:right w:val="single" w:color="auto" w:sz="4" w:space="0"/>
            </w:tcBorders>
            <w:vAlign w:val="center"/>
          </w:tcPr>
          <w:p w14:paraId="33CEC490">
            <w:pPr>
              <w:widowControl/>
              <w:jc w:val="center"/>
              <w:rPr>
                <w:kern w:val="0"/>
                <w:sz w:val="18"/>
                <w:szCs w:val="18"/>
              </w:rPr>
            </w:pPr>
            <w:r>
              <w:rPr>
                <w:kern w:val="0"/>
                <w:sz w:val="18"/>
                <w:szCs w:val="18"/>
              </w:rPr>
              <w:t>—</w:t>
            </w:r>
          </w:p>
        </w:tc>
        <w:tc>
          <w:tcPr>
            <w:tcW w:w="709" w:type="dxa"/>
            <w:tcBorders>
              <w:top w:val="single" w:color="auto" w:sz="4" w:space="0"/>
              <w:left w:val="single" w:color="auto" w:sz="4" w:space="0"/>
              <w:bottom w:val="single" w:color="auto" w:sz="4" w:space="0"/>
              <w:right w:val="single" w:color="auto" w:sz="4" w:space="0"/>
            </w:tcBorders>
            <w:vAlign w:val="center"/>
          </w:tcPr>
          <w:p w14:paraId="1E57890E">
            <w:pPr>
              <w:widowControl/>
              <w:jc w:val="center"/>
              <w:rPr>
                <w:kern w:val="0"/>
                <w:sz w:val="18"/>
                <w:szCs w:val="18"/>
              </w:rPr>
            </w:pPr>
            <w:r>
              <w:rPr>
                <w:kern w:val="0"/>
                <w:sz w:val="18"/>
                <w:szCs w:val="18"/>
              </w:rPr>
              <w:t>—</w:t>
            </w:r>
          </w:p>
        </w:tc>
        <w:tc>
          <w:tcPr>
            <w:tcW w:w="0" w:type="auto"/>
            <w:tcBorders>
              <w:top w:val="nil"/>
              <w:left w:val="nil"/>
              <w:bottom w:val="single" w:color="auto" w:sz="4" w:space="0"/>
              <w:right w:val="single" w:color="auto" w:sz="4" w:space="0"/>
            </w:tcBorders>
            <w:noWrap/>
            <w:vAlign w:val="center"/>
          </w:tcPr>
          <w:p w14:paraId="1F318F2B">
            <w:pPr>
              <w:widowControl/>
              <w:jc w:val="center"/>
              <w:rPr>
                <w:kern w:val="0"/>
                <w:sz w:val="18"/>
                <w:szCs w:val="18"/>
              </w:rPr>
            </w:pPr>
          </w:p>
        </w:tc>
        <w:tc>
          <w:tcPr>
            <w:tcW w:w="0" w:type="auto"/>
            <w:tcBorders>
              <w:top w:val="nil"/>
              <w:left w:val="nil"/>
              <w:bottom w:val="single" w:color="auto" w:sz="4" w:space="0"/>
              <w:right w:val="single" w:color="auto" w:sz="4" w:space="0"/>
            </w:tcBorders>
            <w:vAlign w:val="center"/>
          </w:tcPr>
          <w:p w14:paraId="4B4E171F">
            <w:pPr>
              <w:widowControl/>
              <w:jc w:val="center"/>
              <w:rPr>
                <w:kern w:val="0"/>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0DD9EA70">
            <w:pPr>
              <w:widowControl/>
              <w:jc w:val="center"/>
              <w:rPr>
                <w:kern w:val="0"/>
                <w:sz w:val="18"/>
                <w:szCs w:val="18"/>
              </w:rPr>
            </w:pPr>
            <w:r>
              <w:rPr>
                <w:kern w:val="0"/>
                <w:sz w:val="18"/>
                <w:szCs w:val="18"/>
              </w:rPr>
              <w:t>—</w:t>
            </w:r>
          </w:p>
        </w:tc>
        <w:tc>
          <w:tcPr>
            <w:tcW w:w="0" w:type="auto"/>
            <w:tcBorders>
              <w:top w:val="single" w:color="auto" w:sz="4" w:space="0"/>
              <w:left w:val="nil"/>
              <w:bottom w:val="single" w:color="auto" w:sz="4" w:space="0"/>
              <w:right w:val="single" w:color="auto" w:sz="4" w:space="0"/>
            </w:tcBorders>
            <w:vAlign w:val="center"/>
          </w:tcPr>
          <w:p w14:paraId="7C038CEC">
            <w:pPr>
              <w:widowControl/>
              <w:jc w:val="center"/>
              <w:rPr>
                <w:b/>
                <w:bCs/>
                <w:sz w:val="18"/>
                <w:szCs w:val="18"/>
              </w:rPr>
            </w:pPr>
          </w:p>
        </w:tc>
        <w:tc>
          <w:tcPr>
            <w:tcW w:w="697" w:type="dxa"/>
            <w:tcBorders>
              <w:top w:val="single" w:color="auto" w:sz="4" w:space="0"/>
              <w:left w:val="single" w:color="auto" w:sz="4" w:space="0"/>
              <w:bottom w:val="single" w:color="auto" w:sz="4" w:space="0"/>
              <w:right w:val="single" w:color="auto" w:sz="4" w:space="0"/>
            </w:tcBorders>
            <w:vAlign w:val="center"/>
          </w:tcPr>
          <w:p w14:paraId="2F422974">
            <w:pPr>
              <w:widowControl/>
              <w:jc w:val="center"/>
              <w:rPr>
                <w:b/>
                <w:bCs/>
                <w:sz w:val="18"/>
                <w:szCs w:val="18"/>
              </w:rPr>
            </w:pPr>
            <w:r>
              <w:rPr>
                <w:kern w:val="0"/>
                <w:sz w:val="18"/>
                <w:szCs w:val="18"/>
              </w:rPr>
              <w:t>—</w:t>
            </w:r>
          </w:p>
        </w:tc>
        <w:tc>
          <w:tcPr>
            <w:tcW w:w="709" w:type="dxa"/>
            <w:tcBorders>
              <w:top w:val="single" w:color="auto" w:sz="4" w:space="0"/>
              <w:left w:val="single" w:color="auto" w:sz="4" w:space="0"/>
              <w:bottom w:val="single" w:color="auto" w:sz="4" w:space="0"/>
              <w:right w:val="single" w:color="auto" w:sz="4" w:space="0"/>
            </w:tcBorders>
            <w:vAlign w:val="center"/>
          </w:tcPr>
          <w:p w14:paraId="183D1A64">
            <w:pPr>
              <w:widowControl/>
              <w:jc w:val="center"/>
              <w:rPr>
                <w:b/>
                <w:bCs/>
                <w:sz w:val="18"/>
                <w:szCs w:val="18"/>
              </w:rPr>
            </w:pPr>
            <w:r>
              <w:rPr>
                <w:kern w:val="0"/>
                <w:sz w:val="18"/>
                <w:szCs w:val="18"/>
              </w:rPr>
              <w:t>—</w:t>
            </w:r>
          </w:p>
        </w:tc>
        <w:tc>
          <w:tcPr>
            <w:tcW w:w="0" w:type="auto"/>
            <w:tcBorders>
              <w:top w:val="nil"/>
              <w:left w:val="nil"/>
              <w:bottom w:val="single" w:color="auto" w:sz="4" w:space="0"/>
              <w:right w:val="single" w:color="auto" w:sz="4" w:space="0"/>
            </w:tcBorders>
            <w:vAlign w:val="center"/>
          </w:tcPr>
          <w:p w14:paraId="7B2A1A3C">
            <w:pPr>
              <w:widowControl/>
              <w:jc w:val="center"/>
              <w:rPr>
                <w:kern w:val="0"/>
                <w:sz w:val="18"/>
                <w:szCs w:val="18"/>
              </w:rPr>
            </w:pPr>
          </w:p>
        </w:tc>
        <w:tc>
          <w:tcPr>
            <w:tcW w:w="698" w:type="dxa"/>
            <w:tcBorders>
              <w:top w:val="single" w:color="auto" w:sz="4" w:space="0"/>
              <w:left w:val="single" w:color="auto" w:sz="4" w:space="0"/>
              <w:bottom w:val="single" w:color="auto" w:sz="4" w:space="0"/>
              <w:right w:val="single" w:color="auto" w:sz="4" w:space="0"/>
            </w:tcBorders>
            <w:vAlign w:val="center"/>
          </w:tcPr>
          <w:p w14:paraId="193D5A93">
            <w:pPr>
              <w:widowControl/>
              <w:jc w:val="center"/>
              <w:rPr>
                <w:kern w:val="0"/>
                <w:sz w:val="18"/>
                <w:szCs w:val="18"/>
              </w:rPr>
            </w:pPr>
            <w:r>
              <w:rPr>
                <w:kern w:val="0"/>
                <w:sz w:val="18"/>
                <w:szCs w:val="18"/>
              </w:rPr>
              <w:t>—</w:t>
            </w:r>
          </w:p>
        </w:tc>
        <w:tc>
          <w:tcPr>
            <w:tcW w:w="992" w:type="dxa"/>
            <w:tcBorders>
              <w:top w:val="single" w:color="auto" w:sz="4" w:space="0"/>
              <w:left w:val="single" w:color="auto" w:sz="4" w:space="0"/>
              <w:bottom w:val="single" w:color="auto" w:sz="4" w:space="0"/>
              <w:right w:val="single" w:color="auto" w:sz="4" w:space="0"/>
            </w:tcBorders>
            <w:vAlign w:val="center"/>
          </w:tcPr>
          <w:p w14:paraId="61C866BB">
            <w:pPr>
              <w:widowControl/>
              <w:jc w:val="center"/>
              <w:rPr>
                <w:kern w:val="0"/>
                <w:sz w:val="18"/>
                <w:szCs w:val="18"/>
              </w:rPr>
            </w:pPr>
            <w:r>
              <w:rPr>
                <w:kern w:val="0"/>
                <w:sz w:val="18"/>
                <w:szCs w:val="18"/>
              </w:rPr>
              <w:t>—</w:t>
            </w:r>
          </w:p>
        </w:tc>
        <w:tc>
          <w:tcPr>
            <w:tcW w:w="709" w:type="dxa"/>
            <w:tcBorders>
              <w:top w:val="single" w:color="auto" w:sz="4" w:space="0"/>
              <w:left w:val="single" w:color="auto" w:sz="4" w:space="0"/>
              <w:bottom w:val="single" w:color="auto" w:sz="4" w:space="0"/>
              <w:right w:val="single" w:color="auto" w:sz="4" w:space="0"/>
            </w:tcBorders>
            <w:vAlign w:val="center"/>
          </w:tcPr>
          <w:p w14:paraId="601A1003">
            <w:pPr>
              <w:widowControl/>
              <w:jc w:val="center"/>
              <w:rPr>
                <w:kern w:val="0"/>
                <w:sz w:val="18"/>
                <w:szCs w:val="18"/>
              </w:rPr>
            </w:pPr>
            <w:r>
              <w:rPr>
                <w:kern w:val="0"/>
                <w:sz w:val="18"/>
                <w:szCs w:val="18"/>
              </w:rPr>
              <w:t>—</w:t>
            </w:r>
          </w:p>
        </w:tc>
      </w:tr>
      <w:tr w14:paraId="0E175F48">
        <w:tblPrEx>
          <w:tblCellMar>
            <w:top w:w="0" w:type="dxa"/>
            <w:left w:w="108" w:type="dxa"/>
            <w:bottom w:w="0" w:type="dxa"/>
            <w:right w:w="108" w:type="dxa"/>
          </w:tblCellMar>
        </w:tblPrEx>
        <w:trPr>
          <w:trHeight w:val="1103" w:hRule="atLeast"/>
        </w:trPr>
        <w:tc>
          <w:tcPr>
            <w:tcW w:w="0" w:type="auto"/>
            <w:tcBorders>
              <w:top w:val="single" w:color="auto" w:sz="4" w:space="0"/>
              <w:left w:val="single" w:color="auto" w:sz="4" w:space="0"/>
              <w:bottom w:val="single" w:color="auto" w:sz="4" w:space="0"/>
              <w:right w:val="single" w:color="000000" w:sz="4" w:space="0"/>
            </w:tcBorders>
            <w:noWrap/>
            <w:vAlign w:val="center"/>
          </w:tcPr>
          <w:p w14:paraId="0F28735F">
            <w:pPr>
              <w:widowControl/>
              <w:jc w:val="center"/>
              <w:rPr>
                <w:b/>
                <w:bCs/>
                <w:kern w:val="0"/>
                <w:sz w:val="18"/>
                <w:szCs w:val="18"/>
              </w:rPr>
            </w:pPr>
            <w:r>
              <w:rPr>
                <w:rFonts w:ascii="Courier New" w:hAnsi="Courier New" w:cs="Courier New"/>
                <w:b/>
                <w:bCs/>
                <w:kern w:val="0"/>
                <w:sz w:val="18"/>
                <w:szCs w:val="18"/>
              </w:rPr>
              <w:t>合计</w:t>
            </w:r>
          </w:p>
        </w:tc>
        <w:tc>
          <w:tcPr>
            <w:tcW w:w="0" w:type="auto"/>
            <w:tcBorders>
              <w:top w:val="nil"/>
              <w:left w:val="nil"/>
              <w:bottom w:val="single" w:color="auto" w:sz="4" w:space="0"/>
              <w:right w:val="single" w:color="auto" w:sz="4" w:space="0"/>
            </w:tcBorders>
            <w:noWrap/>
            <w:vAlign w:val="center"/>
          </w:tcPr>
          <w:p w14:paraId="1DDEBD22">
            <w:pPr>
              <w:widowControl/>
              <w:jc w:val="center"/>
              <w:rPr>
                <w:b/>
                <w:bCs/>
                <w:kern w:val="0"/>
                <w:sz w:val="18"/>
                <w:szCs w:val="18"/>
              </w:rPr>
            </w:pPr>
            <w:r>
              <w:rPr>
                <w:rFonts w:hint="eastAsia"/>
                <w:b/>
                <w:bCs/>
                <w:kern w:val="0"/>
                <w:sz w:val="18"/>
                <w:szCs w:val="18"/>
              </w:rPr>
              <w:t>481492</w:t>
            </w:r>
          </w:p>
        </w:tc>
        <w:tc>
          <w:tcPr>
            <w:tcW w:w="0" w:type="auto"/>
            <w:tcBorders>
              <w:top w:val="nil"/>
              <w:left w:val="nil"/>
              <w:bottom w:val="single" w:color="auto" w:sz="4" w:space="0"/>
              <w:right w:val="single" w:color="auto" w:sz="4" w:space="0"/>
            </w:tcBorders>
            <w:noWrap/>
            <w:vAlign w:val="center"/>
          </w:tcPr>
          <w:p w14:paraId="050A8EFB">
            <w:pPr>
              <w:widowControl/>
              <w:jc w:val="center"/>
              <w:rPr>
                <w:b/>
                <w:bCs/>
                <w:kern w:val="0"/>
                <w:sz w:val="18"/>
                <w:szCs w:val="18"/>
              </w:rPr>
            </w:pPr>
            <w:r>
              <w:rPr>
                <w:b/>
                <w:bCs/>
                <w:kern w:val="0"/>
                <w:sz w:val="18"/>
                <w:szCs w:val="18"/>
              </w:rPr>
              <w:t>100</w:t>
            </w:r>
          </w:p>
        </w:tc>
        <w:tc>
          <w:tcPr>
            <w:tcW w:w="0" w:type="auto"/>
            <w:tcBorders>
              <w:top w:val="single" w:color="auto" w:sz="4" w:space="0"/>
              <w:left w:val="nil"/>
              <w:bottom w:val="single" w:color="auto" w:sz="4" w:space="0"/>
              <w:right w:val="single" w:color="auto" w:sz="4" w:space="0"/>
            </w:tcBorders>
            <w:vAlign w:val="center"/>
          </w:tcPr>
          <w:p w14:paraId="011BED8F">
            <w:pPr>
              <w:widowControl/>
              <w:jc w:val="center"/>
              <w:rPr>
                <w:b/>
                <w:bCs/>
                <w:kern w:val="0"/>
                <w:sz w:val="18"/>
                <w:szCs w:val="18"/>
              </w:rPr>
            </w:pPr>
          </w:p>
        </w:tc>
        <w:tc>
          <w:tcPr>
            <w:tcW w:w="788" w:type="dxa"/>
            <w:tcBorders>
              <w:top w:val="single" w:color="auto" w:sz="4" w:space="0"/>
              <w:left w:val="single" w:color="auto" w:sz="4" w:space="0"/>
              <w:bottom w:val="single" w:color="auto" w:sz="4" w:space="0"/>
              <w:right w:val="single" w:color="auto" w:sz="4" w:space="0"/>
            </w:tcBorders>
            <w:vAlign w:val="center"/>
          </w:tcPr>
          <w:p w14:paraId="2775272C">
            <w:pPr>
              <w:widowControl/>
              <w:jc w:val="center"/>
              <w:rPr>
                <w:b/>
                <w:bCs/>
                <w:kern w:val="0"/>
                <w:sz w:val="18"/>
                <w:szCs w:val="18"/>
              </w:rPr>
            </w:pPr>
          </w:p>
        </w:tc>
        <w:tc>
          <w:tcPr>
            <w:tcW w:w="686" w:type="dxa"/>
            <w:tcBorders>
              <w:top w:val="single" w:color="auto" w:sz="4" w:space="0"/>
              <w:left w:val="single" w:color="auto" w:sz="4" w:space="0"/>
              <w:bottom w:val="single" w:color="auto" w:sz="4" w:space="0"/>
              <w:right w:val="single" w:color="auto" w:sz="4" w:space="0"/>
            </w:tcBorders>
            <w:vAlign w:val="center"/>
          </w:tcPr>
          <w:p w14:paraId="546C7A82">
            <w:pPr>
              <w:widowControl/>
              <w:jc w:val="center"/>
              <w:rPr>
                <w:b/>
                <w:bCs/>
                <w:kern w:val="0"/>
                <w:sz w:val="18"/>
                <w:szCs w:val="18"/>
              </w:rPr>
            </w:pPr>
          </w:p>
        </w:tc>
        <w:tc>
          <w:tcPr>
            <w:tcW w:w="671" w:type="dxa"/>
            <w:tcBorders>
              <w:top w:val="single" w:color="auto" w:sz="4" w:space="0"/>
              <w:left w:val="single" w:color="auto" w:sz="4" w:space="0"/>
              <w:bottom w:val="single" w:color="auto" w:sz="4" w:space="0"/>
              <w:right w:val="single" w:color="auto" w:sz="4" w:space="0"/>
            </w:tcBorders>
            <w:vAlign w:val="center"/>
          </w:tcPr>
          <w:p w14:paraId="60A4A30E">
            <w:pPr>
              <w:widowControl/>
              <w:jc w:val="center"/>
              <w:rPr>
                <w:kern w:val="0"/>
                <w:sz w:val="18"/>
                <w:szCs w:val="18"/>
              </w:rPr>
            </w:pPr>
          </w:p>
        </w:tc>
        <w:tc>
          <w:tcPr>
            <w:tcW w:w="641" w:type="dxa"/>
            <w:tcBorders>
              <w:top w:val="single" w:color="auto" w:sz="4" w:space="0"/>
              <w:left w:val="single" w:color="auto" w:sz="4" w:space="0"/>
              <w:bottom w:val="single" w:color="auto" w:sz="4" w:space="0"/>
              <w:right w:val="single" w:color="auto" w:sz="4" w:space="0"/>
            </w:tcBorders>
            <w:vAlign w:val="center"/>
          </w:tcPr>
          <w:p w14:paraId="27103FBB">
            <w:pPr>
              <w:widowControl/>
              <w:jc w:val="center"/>
              <w:rPr>
                <w:b/>
                <w:bCs/>
                <w:kern w:val="0"/>
                <w:sz w:val="18"/>
                <w:szCs w:val="18"/>
              </w:rPr>
            </w:pPr>
          </w:p>
        </w:tc>
        <w:tc>
          <w:tcPr>
            <w:tcW w:w="0" w:type="auto"/>
            <w:tcBorders>
              <w:top w:val="nil"/>
              <w:left w:val="nil"/>
              <w:bottom w:val="single" w:color="auto" w:sz="4" w:space="0"/>
              <w:right w:val="single" w:color="auto" w:sz="4" w:space="0"/>
            </w:tcBorders>
            <w:vAlign w:val="center"/>
          </w:tcPr>
          <w:p w14:paraId="3569B523">
            <w:pPr>
              <w:widowControl/>
              <w:jc w:val="center"/>
              <w:rPr>
                <w:b/>
                <w:bCs/>
                <w:kern w:val="0"/>
                <w:sz w:val="18"/>
                <w:szCs w:val="18"/>
              </w:rPr>
            </w:pPr>
          </w:p>
        </w:tc>
        <w:tc>
          <w:tcPr>
            <w:tcW w:w="930" w:type="dxa"/>
            <w:tcBorders>
              <w:top w:val="single" w:color="auto" w:sz="4" w:space="0"/>
              <w:left w:val="nil"/>
              <w:bottom w:val="single" w:color="auto" w:sz="4" w:space="0"/>
              <w:right w:val="single" w:color="auto" w:sz="4" w:space="0"/>
            </w:tcBorders>
            <w:vAlign w:val="center"/>
          </w:tcPr>
          <w:p w14:paraId="3356CF24">
            <w:pPr>
              <w:widowControl/>
              <w:jc w:val="center"/>
              <w:rPr>
                <w:kern w:val="0"/>
                <w:sz w:val="18"/>
                <w:szCs w:val="18"/>
              </w:rPr>
            </w:pPr>
          </w:p>
        </w:tc>
        <w:tc>
          <w:tcPr>
            <w:tcW w:w="862" w:type="dxa"/>
            <w:tcBorders>
              <w:top w:val="nil"/>
              <w:left w:val="single" w:color="auto" w:sz="4" w:space="0"/>
              <w:bottom w:val="single" w:color="auto" w:sz="4" w:space="0"/>
              <w:right w:val="single" w:color="auto" w:sz="4" w:space="0"/>
            </w:tcBorders>
            <w:vAlign w:val="center"/>
          </w:tcPr>
          <w:p w14:paraId="2455603C">
            <w:pPr>
              <w:widowControl/>
              <w:jc w:val="center"/>
              <w:rPr>
                <w:kern w:val="0"/>
                <w:sz w:val="18"/>
                <w:szCs w:val="18"/>
              </w:rPr>
            </w:pPr>
          </w:p>
        </w:tc>
        <w:tc>
          <w:tcPr>
            <w:tcW w:w="1002" w:type="dxa"/>
            <w:tcBorders>
              <w:top w:val="nil"/>
              <w:left w:val="nil"/>
              <w:bottom w:val="single" w:color="auto" w:sz="4" w:space="0"/>
              <w:right w:val="single" w:color="auto" w:sz="4" w:space="0"/>
            </w:tcBorders>
            <w:vAlign w:val="center"/>
          </w:tcPr>
          <w:p w14:paraId="7A59B490">
            <w:pPr>
              <w:widowControl/>
              <w:jc w:val="center"/>
              <w:rPr>
                <w:kern w:val="0"/>
                <w:sz w:val="18"/>
                <w:szCs w:val="18"/>
              </w:rPr>
            </w:pPr>
          </w:p>
        </w:tc>
        <w:tc>
          <w:tcPr>
            <w:tcW w:w="0" w:type="auto"/>
            <w:tcBorders>
              <w:top w:val="nil"/>
              <w:left w:val="nil"/>
              <w:bottom w:val="single" w:color="auto" w:sz="4" w:space="0"/>
              <w:right w:val="single" w:color="auto" w:sz="4" w:space="0"/>
            </w:tcBorders>
            <w:vAlign w:val="center"/>
          </w:tcPr>
          <w:p w14:paraId="5E70DF30">
            <w:pPr>
              <w:widowControl/>
              <w:jc w:val="center"/>
              <w:rPr>
                <w:kern w:val="0"/>
                <w:sz w:val="18"/>
                <w:szCs w:val="18"/>
              </w:rPr>
            </w:pPr>
          </w:p>
        </w:tc>
        <w:tc>
          <w:tcPr>
            <w:tcW w:w="0" w:type="auto"/>
            <w:tcBorders>
              <w:top w:val="single" w:color="auto" w:sz="4" w:space="0"/>
              <w:left w:val="nil"/>
              <w:bottom w:val="single" w:color="auto" w:sz="4" w:space="0"/>
              <w:right w:val="single" w:color="auto" w:sz="4" w:space="0"/>
            </w:tcBorders>
            <w:vAlign w:val="center"/>
          </w:tcPr>
          <w:p w14:paraId="2B2F1D6A">
            <w:pPr>
              <w:widowControl/>
              <w:jc w:val="center"/>
              <w:rPr>
                <w:kern w:val="0"/>
                <w:sz w:val="18"/>
                <w:szCs w:val="18"/>
              </w:rPr>
            </w:pPr>
          </w:p>
        </w:tc>
        <w:tc>
          <w:tcPr>
            <w:tcW w:w="0" w:type="auto"/>
            <w:tcBorders>
              <w:top w:val="single" w:color="auto" w:sz="4" w:space="0"/>
              <w:left w:val="single" w:color="auto" w:sz="4" w:space="0"/>
              <w:bottom w:val="single" w:color="auto" w:sz="4" w:space="0"/>
              <w:right w:val="single" w:color="auto" w:sz="4" w:space="0"/>
            </w:tcBorders>
            <w:vAlign w:val="center"/>
          </w:tcPr>
          <w:p w14:paraId="49883157">
            <w:pPr>
              <w:widowControl/>
              <w:jc w:val="center"/>
              <w:rPr>
                <w:kern w:val="0"/>
                <w:sz w:val="18"/>
                <w:szCs w:val="18"/>
              </w:rPr>
            </w:pPr>
          </w:p>
        </w:tc>
        <w:tc>
          <w:tcPr>
            <w:tcW w:w="711" w:type="dxa"/>
            <w:tcBorders>
              <w:top w:val="single" w:color="auto" w:sz="4" w:space="0"/>
              <w:left w:val="single" w:color="auto" w:sz="4" w:space="0"/>
              <w:bottom w:val="single" w:color="auto" w:sz="4" w:space="0"/>
              <w:right w:val="single" w:color="auto" w:sz="4" w:space="0"/>
            </w:tcBorders>
            <w:vAlign w:val="center"/>
          </w:tcPr>
          <w:p w14:paraId="08D9BB8A">
            <w:pPr>
              <w:widowControl/>
              <w:jc w:val="center"/>
              <w:rPr>
                <w:kern w:val="0"/>
                <w:sz w:val="18"/>
                <w:szCs w:val="18"/>
              </w:rPr>
            </w:pPr>
          </w:p>
        </w:tc>
        <w:tc>
          <w:tcPr>
            <w:tcW w:w="709" w:type="dxa"/>
            <w:tcBorders>
              <w:top w:val="single" w:color="auto" w:sz="4" w:space="0"/>
              <w:left w:val="single" w:color="auto" w:sz="4" w:space="0"/>
              <w:bottom w:val="single" w:color="auto" w:sz="4" w:space="0"/>
              <w:right w:val="single" w:color="auto" w:sz="4" w:space="0"/>
            </w:tcBorders>
            <w:vAlign w:val="center"/>
          </w:tcPr>
          <w:p w14:paraId="23FC43F3">
            <w:pPr>
              <w:widowControl/>
              <w:jc w:val="center"/>
              <w:rPr>
                <w:kern w:val="0"/>
                <w:sz w:val="18"/>
                <w:szCs w:val="18"/>
              </w:rPr>
            </w:pPr>
          </w:p>
        </w:tc>
        <w:tc>
          <w:tcPr>
            <w:tcW w:w="0" w:type="auto"/>
            <w:tcBorders>
              <w:top w:val="nil"/>
              <w:left w:val="nil"/>
              <w:bottom w:val="single" w:color="auto" w:sz="4" w:space="0"/>
              <w:right w:val="single" w:color="auto" w:sz="4" w:space="0"/>
            </w:tcBorders>
            <w:noWrap/>
            <w:vAlign w:val="center"/>
          </w:tcPr>
          <w:p w14:paraId="1FC77834">
            <w:pPr>
              <w:widowControl/>
              <w:jc w:val="center"/>
              <w:rPr>
                <w:kern w:val="0"/>
                <w:sz w:val="18"/>
                <w:szCs w:val="18"/>
              </w:rPr>
            </w:pPr>
          </w:p>
        </w:tc>
        <w:tc>
          <w:tcPr>
            <w:tcW w:w="0" w:type="auto"/>
            <w:tcBorders>
              <w:top w:val="nil"/>
              <w:left w:val="nil"/>
              <w:bottom w:val="single" w:color="auto" w:sz="4" w:space="0"/>
              <w:right w:val="single" w:color="auto" w:sz="4" w:space="0"/>
            </w:tcBorders>
            <w:noWrap/>
            <w:vAlign w:val="center"/>
          </w:tcPr>
          <w:p w14:paraId="425B1BD6">
            <w:pPr>
              <w:widowControl/>
              <w:jc w:val="center"/>
              <w:rPr>
                <w:kern w:val="0"/>
                <w:sz w:val="18"/>
                <w:szCs w:val="18"/>
              </w:rPr>
            </w:pPr>
          </w:p>
        </w:tc>
        <w:tc>
          <w:tcPr>
            <w:tcW w:w="0" w:type="auto"/>
            <w:tcBorders>
              <w:top w:val="nil"/>
              <w:left w:val="nil"/>
              <w:bottom w:val="single" w:color="auto" w:sz="4" w:space="0"/>
              <w:right w:val="single" w:color="auto" w:sz="4" w:space="0"/>
            </w:tcBorders>
            <w:noWrap/>
            <w:vAlign w:val="center"/>
          </w:tcPr>
          <w:p w14:paraId="3C47BC61">
            <w:pPr>
              <w:widowControl/>
              <w:jc w:val="center"/>
              <w:rPr>
                <w:kern w:val="0"/>
                <w:sz w:val="18"/>
                <w:szCs w:val="18"/>
              </w:rPr>
            </w:pPr>
          </w:p>
        </w:tc>
        <w:tc>
          <w:tcPr>
            <w:tcW w:w="0" w:type="auto"/>
            <w:tcBorders>
              <w:top w:val="single" w:color="auto" w:sz="4" w:space="0"/>
              <w:left w:val="nil"/>
              <w:bottom w:val="single" w:color="auto" w:sz="4" w:space="0"/>
              <w:right w:val="single" w:color="auto" w:sz="4" w:space="0"/>
            </w:tcBorders>
            <w:vAlign w:val="center"/>
          </w:tcPr>
          <w:p w14:paraId="2712B4B3">
            <w:pPr>
              <w:widowControl/>
              <w:jc w:val="center"/>
              <w:rPr>
                <w:kern w:val="0"/>
                <w:sz w:val="18"/>
                <w:szCs w:val="18"/>
              </w:rPr>
            </w:pPr>
          </w:p>
        </w:tc>
        <w:tc>
          <w:tcPr>
            <w:tcW w:w="697" w:type="dxa"/>
            <w:tcBorders>
              <w:top w:val="single" w:color="auto" w:sz="4" w:space="0"/>
              <w:left w:val="single" w:color="auto" w:sz="4" w:space="0"/>
              <w:bottom w:val="single" w:color="auto" w:sz="4" w:space="0"/>
              <w:right w:val="single" w:color="auto" w:sz="4" w:space="0"/>
            </w:tcBorders>
            <w:vAlign w:val="center"/>
          </w:tcPr>
          <w:p w14:paraId="13AAFA3E">
            <w:pPr>
              <w:widowControl/>
              <w:jc w:val="center"/>
              <w:rPr>
                <w:kern w:val="0"/>
                <w:sz w:val="18"/>
                <w:szCs w:val="18"/>
              </w:rPr>
            </w:pPr>
          </w:p>
        </w:tc>
        <w:tc>
          <w:tcPr>
            <w:tcW w:w="709" w:type="dxa"/>
            <w:tcBorders>
              <w:top w:val="single" w:color="auto" w:sz="4" w:space="0"/>
              <w:left w:val="single" w:color="auto" w:sz="4" w:space="0"/>
              <w:bottom w:val="single" w:color="auto" w:sz="4" w:space="0"/>
              <w:right w:val="single" w:color="auto" w:sz="4" w:space="0"/>
            </w:tcBorders>
            <w:vAlign w:val="center"/>
          </w:tcPr>
          <w:p w14:paraId="214ECD61">
            <w:pPr>
              <w:widowControl/>
              <w:jc w:val="center"/>
              <w:rPr>
                <w:kern w:val="0"/>
                <w:sz w:val="18"/>
                <w:szCs w:val="18"/>
              </w:rPr>
            </w:pPr>
          </w:p>
        </w:tc>
        <w:tc>
          <w:tcPr>
            <w:tcW w:w="0" w:type="auto"/>
            <w:tcBorders>
              <w:top w:val="nil"/>
              <w:left w:val="nil"/>
              <w:bottom w:val="single" w:color="auto" w:sz="4" w:space="0"/>
              <w:right w:val="single" w:color="auto" w:sz="4" w:space="0"/>
            </w:tcBorders>
            <w:vAlign w:val="center"/>
          </w:tcPr>
          <w:p w14:paraId="6729C632">
            <w:pPr>
              <w:widowControl/>
              <w:jc w:val="center"/>
              <w:rPr>
                <w:kern w:val="0"/>
                <w:sz w:val="18"/>
                <w:szCs w:val="18"/>
              </w:rPr>
            </w:pPr>
          </w:p>
        </w:tc>
        <w:tc>
          <w:tcPr>
            <w:tcW w:w="698" w:type="dxa"/>
            <w:tcBorders>
              <w:top w:val="single" w:color="auto" w:sz="4" w:space="0"/>
              <w:left w:val="single" w:color="auto" w:sz="4" w:space="0"/>
              <w:bottom w:val="single" w:color="auto" w:sz="4" w:space="0"/>
              <w:right w:val="single" w:color="auto" w:sz="4" w:space="0"/>
            </w:tcBorders>
            <w:vAlign w:val="center"/>
          </w:tcPr>
          <w:p w14:paraId="48A562B3">
            <w:pPr>
              <w:widowControl/>
              <w:jc w:val="center"/>
              <w:rPr>
                <w:kern w:val="0"/>
                <w:sz w:val="18"/>
                <w:szCs w:val="18"/>
              </w:rPr>
            </w:pPr>
          </w:p>
        </w:tc>
        <w:tc>
          <w:tcPr>
            <w:tcW w:w="992" w:type="dxa"/>
            <w:tcBorders>
              <w:top w:val="single" w:color="auto" w:sz="4" w:space="0"/>
              <w:left w:val="single" w:color="auto" w:sz="4" w:space="0"/>
              <w:bottom w:val="single" w:color="auto" w:sz="4" w:space="0"/>
              <w:right w:val="single" w:color="auto" w:sz="4" w:space="0"/>
            </w:tcBorders>
            <w:vAlign w:val="center"/>
          </w:tcPr>
          <w:p w14:paraId="0BC85482">
            <w:pPr>
              <w:widowControl/>
              <w:jc w:val="center"/>
              <w:rPr>
                <w:kern w:val="0"/>
                <w:sz w:val="18"/>
                <w:szCs w:val="18"/>
              </w:rPr>
            </w:pPr>
          </w:p>
        </w:tc>
        <w:tc>
          <w:tcPr>
            <w:tcW w:w="709" w:type="dxa"/>
            <w:tcBorders>
              <w:top w:val="single" w:color="auto" w:sz="4" w:space="0"/>
              <w:left w:val="single" w:color="auto" w:sz="4" w:space="0"/>
              <w:bottom w:val="single" w:color="auto" w:sz="4" w:space="0"/>
              <w:right w:val="single" w:color="auto" w:sz="4" w:space="0"/>
            </w:tcBorders>
            <w:vAlign w:val="center"/>
          </w:tcPr>
          <w:p w14:paraId="1F5EACC9">
            <w:pPr>
              <w:widowControl/>
              <w:jc w:val="center"/>
              <w:rPr>
                <w:kern w:val="0"/>
                <w:sz w:val="18"/>
                <w:szCs w:val="18"/>
              </w:rPr>
            </w:pPr>
          </w:p>
        </w:tc>
      </w:tr>
    </w:tbl>
    <w:p w14:paraId="31AF12D7">
      <w:pPr>
        <w:rPr>
          <w:rFonts w:hint="eastAsia"/>
          <w:lang w:val="en-US" w:eastAsia="zh-CN"/>
        </w:rPr>
      </w:pPr>
    </w:p>
    <w:p w14:paraId="24729919">
      <w:pPr>
        <w:rPr>
          <w:rFonts w:hint="eastAsia" w:ascii="仿宋_GB2312" w:eastAsia="仿宋_GB2312"/>
          <w:sz w:val="24"/>
          <w:szCs w:val="36"/>
        </w:rPr>
      </w:pPr>
      <w:r>
        <w:rPr>
          <w:rFonts w:hint="eastAsia" w:ascii="仿宋_GB2312" w:eastAsia="仿宋_GB2312"/>
          <w:b/>
          <w:sz w:val="24"/>
          <w:szCs w:val="36"/>
        </w:rPr>
        <w:t>注：</w:t>
      </w:r>
      <w:r>
        <w:rPr>
          <w:rFonts w:hint="eastAsia" w:ascii="仿宋_GB2312" w:eastAsia="仿宋_GB2312"/>
          <w:sz w:val="24"/>
          <w:szCs w:val="36"/>
        </w:rPr>
        <w:t>第一产业包括种苗花卉繁育基地生产、经济林产出、用材林产出和重点生态保护与修复产业；第二产业包含苗木花卉交易、鲜花店铺、经济林深加工、用材林加工；第三产业包含森林旅游与森林康养和用材林交易产业，直接产生社会效益与生态效益，间接经济效益未进行估算。</w:t>
      </w:r>
    </w:p>
    <w:p w14:paraId="5B682980">
      <w:pPr>
        <w:jc w:val="left"/>
        <w:sectPr>
          <w:pgSz w:w="23811" w:h="16838" w:orient="landscape"/>
          <w:pgMar w:top="1803" w:right="1440" w:bottom="1803" w:left="1440" w:header="851" w:footer="992" w:gutter="0"/>
          <w:cols w:space="720" w:num="1"/>
          <w:docGrid w:type="lines" w:linePitch="319" w:charSpace="0"/>
        </w:sectPr>
      </w:pPr>
    </w:p>
    <w:p w14:paraId="460CF009">
      <w:pPr>
        <w:jc w:val="center"/>
        <w:rPr>
          <w:rFonts w:eastAsia="黑体"/>
          <w:b/>
          <w:sz w:val="32"/>
          <w:szCs w:val="32"/>
        </w:rPr>
      </w:pPr>
      <w:bookmarkStart w:id="261" w:name="_Toc32262"/>
      <w:bookmarkStart w:id="262" w:name="_Toc10328"/>
      <w:bookmarkStart w:id="263" w:name="_Toc30271"/>
      <w:bookmarkStart w:id="264" w:name="_Toc5515"/>
      <w:bookmarkStart w:id="265" w:name="_Toc25899"/>
      <w:bookmarkStart w:id="266" w:name="_Toc6979"/>
      <w:bookmarkStart w:id="267" w:name="_Toc32719"/>
      <w:bookmarkStart w:id="268" w:name="_Toc13063"/>
      <w:bookmarkStart w:id="269" w:name="_Toc24245"/>
      <w:bookmarkStart w:id="270" w:name="_Toc70598428"/>
      <w:r>
        <w:rPr>
          <w:rFonts w:eastAsia="黑体"/>
          <w:b/>
          <w:sz w:val="32"/>
          <w:szCs w:val="32"/>
        </w:rPr>
        <w:t>表3 三亚市林业产业规划（</w:t>
      </w:r>
      <w:r>
        <w:rPr>
          <w:rFonts w:hint="eastAsia" w:eastAsia="黑体"/>
          <w:b/>
          <w:sz w:val="32"/>
          <w:szCs w:val="32"/>
        </w:rPr>
        <w:t>2021-2035年</w:t>
      </w:r>
      <w:r>
        <w:rPr>
          <w:rFonts w:eastAsia="黑体"/>
          <w:b/>
          <w:sz w:val="32"/>
          <w:szCs w:val="32"/>
        </w:rPr>
        <w:t>）重点工程</w:t>
      </w:r>
      <w:r>
        <w:rPr>
          <w:rFonts w:hint="eastAsia" w:eastAsia="黑体"/>
          <w:b/>
          <w:sz w:val="32"/>
          <w:szCs w:val="32"/>
        </w:rPr>
        <w:t>和</w:t>
      </w:r>
      <w:r>
        <w:rPr>
          <w:rFonts w:eastAsia="黑体"/>
          <w:b/>
          <w:sz w:val="32"/>
          <w:szCs w:val="32"/>
        </w:rPr>
        <w:t>规划储备项目投资估算</w:t>
      </w:r>
      <w:bookmarkEnd w:id="261"/>
      <w:bookmarkEnd w:id="262"/>
      <w:bookmarkEnd w:id="263"/>
      <w:bookmarkEnd w:id="264"/>
      <w:bookmarkEnd w:id="265"/>
      <w:bookmarkEnd w:id="266"/>
      <w:bookmarkEnd w:id="267"/>
      <w:bookmarkEnd w:id="268"/>
      <w:bookmarkEnd w:id="269"/>
      <w:bookmarkEnd w:id="270"/>
      <w:r>
        <w:rPr>
          <w:rFonts w:eastAsia="黑体"/>
          <w:b/>
          <w:sz w:val="32"/>
          <w:szCs w:val="32"/>
        </w:rPr>
        <w:t>表</w:t>
      </w:r>
    </w:p>
    <w:tbl>
      <w:tblPr>
        <w:tblStyle w:val="18"/>
        <w:tblW w:w="14434" w:type="dxa"/>
        <w:tblInd w:w="93" w:type="dxa"/>
        <w:tblLayout w:type="autofit"/>
        <w:tblCellMar>
          <w:top w:w="0" w:type="dxa"/>
          <w:left w:w="108" w:type="dxa"/>
          <w:bottom w:w="0" w:type="dxa"/>
          <w:right w:w="108" w:type="dxa"/>
        </w:tblCellMar>
      </w:tblPr>
      <w:tblGrid>
        <w:gridCol w:w="1140"/>
        <w:gridCol w:w="3128"/>
        <w:gridCol w:w="1984"/>
        <w:gridCol w:w="1236"/>
        <w:gridCol w:w="1701"/>
        <w:gridCol w:w="1559"/>
        <w:gridCol w:w="1559"/>
        <w:gridCol w:w="1276"/>
        <w:gridCol w:w="851"/>
      </w:tblGrid>
      <w:tr w14:paraId="2B5814D1">
        <w:tblPrEx>
          <w:tblCellMar>
            <w:top w:w="0" w:type="dxa"/>
            <w:left w:w="108" w:type="dxa"/>
            <w:bottom w:w="0" w:type="dxa"/>
            <w:right w:w="108" w:type="dxa"/>
          </w:tblCellMar>
        </w:tblPrEx>
        <w:trPr>
          <w:cantSplit/>
          <w:trHeight w:val="885" w:hRule="atLeast"/>
          <w:tblHeader/>
        </w:trPr>
        <w:tc>
          <w:tcPr>
            <w:tcW w:w="1140" w:type="dxa"/>
            <w:tcBorders>
              <w:top w:val="single" w:color="auto" w:sz="4" w:space="0"/>
              <w:left w:val="single" w:color="auto" w:sz="4" w:space="0"/>
              <w:bottom w:val="single" w:color="auto" w:sz="4" w:space="0"/>
              <w:right w:val="single" w:color="auto" w:sz="4" w:space="0"/>
            </w:tcBorders>
            <w:vAlign w:val="center"/>
          </w:tcPr>
          <w:p w14:paraId="79616F9E">
            <w:pPr>
              <w:widowControl/>
              <w:jc w:val="center"/>
              <w:rPr>
                <w:b/>
                <w:bCs/>
                <w:kern w:val="0"/>
                <w:sz w:val="24"/>
              </w:rPr>
            </w:pPr>
            <w:r>
              <w:rPr>
                <w:rFonts w:hint="eastAsia" w:ascii="宋体" w:hAnsi="宋体"/>
                <w:b/>
                <w:bCs/>
                <w:kern w:val="0"/>
                <w:sz w:val="24"/>
              </w:rPr>
              <w:t>序号</w:t>
            </w:r>
          </w:p>
        </w:tc>
        <w:tc>
          <w:tcPr>
            <w:tcW w:w="3128" w:type="dxa"/>
            <w:tcBorders>
              <w:top w:val="single" w:color="auto" w:sz="4" w:space="0"/>
              <w:left w:val="nil"/>
              <w:bottom w:val="single" w:color="auto" w:sz="4" w:space="0"/>
              <w:right w:val="single" w:color="auto" w:sz="4" w:space="0"/>
            </w:tcBorders>
            <w:vAlign w:val="center"/>
          </w:tcPr>
          <w:p w14:paraId="2A04053F">
            <w:pPr>
              <w:widowControl/>
              <w:jc w:val="center"/>
              <w:rPr>
                <w:rFonts w:ascii="宋体" w:hAnsi="宋体" w:cs="宋体"/>
                <w:b/>
                <w:bCs/>
                <w:kern w:val="0"/>
                <w:sz w:val="24"/>
              </w:rPr>
            </w:pPr>
            <w:r>
              <w:rPr>
                <w:rFonts w:hint="eastAsia" w:ascii="宋体" w:hAnsi="宋体" w:cs="宋体"/>
                <w:b/>
                <w:bCs/>
                <w:kern w:val="0"/>
                <w:sz w:val="24"/>
              </w:rPr>
              <w:t>产业重点工程/规划储备项目</w:t>
            </w:r>
          </w:p>
        </w:tc>
        <w:tc>
          <w:tcPr>
            <w:tcW w:w="1984" w:type="dxa"/>
            <w:tcBorders>
              <w:top w:val="single" w:color="auto" w:sz="4" w:space="0"/>
              <w:left w:val="nil"/>
              <w:bottom w:val="single" w:color="auto" w:sz="4" w:space="0"/>
              <w:right w:val="single" w:color="auto" w:sz="4" w:space="0"/>
            </w:tcBorders>
            <w:vAlign w:val="center"/>
          </w:tcPr>
          <w:p w14:paraId="774A1DAC">
            <w:pPr>
              <w:widowControl/>
              <w:jc w:val="center"/>
              <w:rPr>
                <w:b/>
                <w:bCs/>
                <w:kern w:val="0"/>
                <w:sz w:val="24"/>
              </w:rPr>
            </w:pPr>
            <w:r>
              <w:rPr>
                <w:rFonts w:hint="eastAsia" w:ascii="宋体" w:hAnsi="宋体"/>
                <w:b/>
                <w:bCs/>
                <w:kern w:val="0"/>
                <w:sz w:val="24"/>
              </w:rPr>
              <w:t>建设地点</w:t>
            </w:r>
          </w:p>
        </w:tc>
        <w:tc>
          <w:tcPr>
            <w:tcW w:w="1236" w:type="dxa"/>
            <w:tcBorders>
              <w:top w:val="single" w:color="auto" w:sz="4" w:space="0"/>
              <w:left w:val="nil"/>
              <w:bottom w:val="single" w:color="auto" w:sz="4" w:space="0"/>
              <w:right w:val="single" w:color="auto" w:sz="4" w:space="0"/>
            </w:tcBorders>
            <w:vAlign w:val="center"/>
          </w:tcPr>
          <w:p w14:paraId="71613CE1">
            <w:pPr>
              <w:widowControl/>
              <w:jc w:val="center"/>
              <w:rPr>
                <w:b/>
                <w:bCs/>
                <w:kern w:val="0"/>
                <w:sz w:val="24"/>
              </w:rPr>
            </w:pPr>
            <w:r>
              <w:rPr>
                <w:rFonts w:hint="eastAsia" w:ascii="宋体" w:hAnsi="宋体"/>
                <w:b/>
                <w:bCs/>
                <w:kern w:val="0"/>
                <w:sz w:val="24"/>
              </w:rPr>
              <w:t>建设规模</w:t>
            </w:r>
          </w:p>
        </w:tc>
        <w:tc>
          <w:tcPr>
            <w:tcW w:w="1701" w:type="dxa"/>
            <w:tcBorders>
              <w:top w:val="single" w:color="auto" w:sz="4" w:space="0"/>
              <w:left w:val="nil"/>
              <w:bottom w:val="single" w:color="auto" w:sz="4" w:space="0"/>
              <w:right w:val="single" w:color="auto" w:sz="4" w:space="0"/>
            </w:tcBorders>
            <w:vAlign w:val="center"/>
          </w:tcPr>
          <w:p w14:paraId="3A696512">
            <w:pPr>
              <w:widowControl/>
              <w:jc w:val="center"/>
              <w:rPr>
                <w:b/>
                <w:bCs/>
                <w:kern w:val="0"/>
                <w:sz w:val="24"/>
              </w:rPr>
            </w:pPr>
            <w:r>
              <w:rPr>
                <w:b/>
                <w:bCs/>
                <w:kern w:val="0"/>
                <w:sz w:val="24"/>
              </w:rPr>
              <w:t>2021~2035</w:t>
            </w:r>
            <w:r>
              <w:rPr>
                <w:rFonts w:hint="eastAsia" w:ascii="宋体" w:hAnsi="宋体"/>
                <w:b/>
                <w:bCs/>
                <w:kern w:val="0"/>
                <w:sz w:val="24"/>
              </w:rPr>
              <w:t>年总投资估算（万元）</w:t>
            </w:r>
          </w:p>
        </w:tc>
        <w:tc>
          <w:tcPr>
            <w:tcW w:w="1559" w:type="dxa"/>
            <w:tcBorders>
              <w:top w:val="single" w:color="auto" w:sz="4" w:space="0"/>
              <w:left w:val="nil"/>
              <w:bottom w:val="single" w:color="auto" w:sz="4" w:space="0"/>
              <w:right w:val="single" w:color="auto" w:sz="4" w:space="0"/>
            </w:tcBorders>
            <w:vAlign w:val="center"/>
          </w:tcPr>
          <w:p w14:paraId="78573B94">
            <w:pPr>
              <w:widowControl/>
              <w:jc w:val="center"/>
              <w:rPr>
                <w:b/>
                <w:bCs/>
                <w:kern w:val="0"/>
                <w:sz w:val="24"/>
              </w:rPr>
            </w:pPr>
            <w:r>
              <w:rPr>
                <w:b/>
                <w:bCs/>
                <w:kern w:val="0"/>
                <w:sz w:val="24"/>
              </w:rPr>
              <w:t>2021~2025</w:t>
            </w:r>
            <w:r>
              <w:rPr>
                <w:rFonts w:hint="eastAsia" w:ascii="宋体" w:hAnsi="宋体"/>
                <w:b/>
                <w:bCs/>
                <w:kern w:val="0"/>
                <w:sz w:val="24"/>
              </w:rPr>
              <w:t>年投资估算（万元）</w:t>
            </w:r>
          </w:p>
        </w:tc>
        <w:tc>
          <w:tcPr>
            <w:tcW w:w="1559" w:type="dxa"/>
            <w:tcBorders>
              <w:top w:val="single" w:color="auto" w:sz="4" w:space="0"/>
              <w:left w:val="nil"/>
              <w:bottom w:val="single" w:color="auto" w:sz="4" w:space="0"/>
              <w:right w:val="single" w:color="auto" w:sz="4" w:space="0"/>
            </w:tcBorders>
            <w:vAlign w:val="center"/>
          </w:tcPr>
          <w:p w14:paraId="45958704">
            <w:pPr>
              <w:widowControl/>
              <w:jc w:val="center"/>
              <w:rPr>
                <w:b/>
                <w:bCs/>
                <w:kern w:val="0"/>
                <w:sz w:val="24"/>
              </w:rPr>
            </w:pPr>
            <w:r>
              <w:rPr>
                <w:b/>
                <w:bCs/>
                <w:kern w:val="0"/>
                <w:sz w:val="24"/>
              </w:rPr>
              <w:t>2026~2035</w:t>
            </w:r>
            <w:r>
              <w:rPr>
                <w:rFonts w:hint="eastAsia" w:ascii="宋体" w:hAnsi="宋体"/>
                <w:b/>
                <w:bCs/>
                <w:kern w:val="0"/>
                <w:sz w:val="24"/>
              </w:rPr>
              <w:t>年累计投资估算（万元）</w:t>
            </w:r>
          </w:p>
        </w:tc>
        <w:tc>
          <w:tcPr>
            <w:tcW w:w="1276" w:type="dxa"/>
            <w:tcBorders>
              <w:top w:val="single" w:color="auto" w:sz="4" w:space="0"/>
              <w:left w:val="nil"/>
              <w:bottom w:val="single" w:color="auto" w:sz="4" w:space="0"/>
              <w:right w:val="single" w:color="auto" w:sz="4" w:space="0"/>
            </w:tcBorders>
            <w:vAlign w:val="center"/>
          </w:tcPr>
          <w:p w14:paraId="14696DD0">
            <w:pPr>
              <w:widowControl/>
              <w:jc w:val="center"/>
              <w:rPr>
                <w:b/>
                <w:bCs/>
                <w:kern w:val="0"/>
                <w:sz w:val="24"/>
              </w:rPr>
            </w:pPr>
            <w:r>
              <w:rPr>
                <w:rFonts w:hint="eastAsia" w:ascii="宋体" w:hAnsi="宋体"/>
                <w:b/>
                <w:bCs/>
                <w:kern w:val="0"/>
                <w:sz w:val="24"/>
              </w:rPr>
              <w:t>资金来源</w:t>
            </w:r>
          </w:p>
        </w:tc>
        <w:tc>
          <w:tcPr>
            <w:tcW w:w="851" w:type="dxa"/>
            <w:tcBorders>
              <w:top w:val="single" w:color="auto" w:sz="4" w:space="0"/>
              <w:left w:val="nil"/>
              <w:bottom w:val="single" w:color="auto" w:sz="4" w:space="0"/>
              <w:right w:val="single" w:color="auto" w:sz="4" w:space="0"/>
            </w:tcBorders>
            <w:vAlign w:val="center"/>
          </w:tcPr>
          <w:p w14:paraId="2BA6715F">
            <w:pPr>
              <w:widowControl/>
              <w:jc w:val="center"/>
              <w:rPr>
                <w:b/>
                <w:bCs/>
                <w:kern w:val="0"/>
                <w:sz w:val="24"/>
              </w:rPr>
            </w:pPr>
            <w:r>
              <w:rPr>
                <w:rFonts w:hint="eastAsia" w:ascii="宋体" w:hAnsi="宋体"/>
                <w:b/>
                <w:bCs/>
                <w:kern w:val="0"/>
                <w:sz w:val="24"/>
              </w:rPr>
              <w:t>备注</w:t>
            </w:r>
          </w:p>
        </w:tc>
      </w:tr>
      <w:tr w14:paraId="094E1DE9">
        <w:tblPrEx>
          <w:tblCellMar>
            <w:top w:w="0" w:type="dxa"/>
            <w:left w:w="108" w:type="dxa"/>
            <w:bottom w:w="0" w:type="dxa"/>
            <w:right w:w="108" w:type="dxa"/>
          </w:tblCellMar>
        </w:tblPrEx>
        <w:trPr>
          <w:cantSplit/>
          <w:trHeight w:val="618" w:hRule="atLeast"/>
        </w:trPr>
        <w:tc>
          <w:tcPr>
            <w:tcW w:w="1140" w:type="dxa"/>
            <w:tcBorders>
              <w:top w:val="nil"/>
              <w:left w:val="single" w:color="auto" w:sz="4" w:space="0"/>
              <w:bottom w:val="single" w:color="auto" w:sz="4" w:space="0"/>
              <w:right w:val="single" w:color="auto" w:sz="4" w:space="0"/>
            </w:tcBorders>
            <w:vAlign w:val="center"/>
          </w:tcPr>
          <w:p w14:paraId="6D235E74">
            <w:pPr>
              <w:widowControl/>
              <w:jc w:val="center"/>
              <w:rPr>
                <w:kern w:val="0"/>
                <w:sz w:val="24"/>
              </w:rPr>
            </w:pPr>
            <w:r>
              <w:rPr>
                <w:kern w:val="0"/>
                <w:sz w:val="24"/>
              </w:rPr>
              <w:t>　</w:t>
            </w:r>
          </w:p>
        </w:tc>
        <w:tc>
          <w:tcPr>
            <w:tcW w:w="3128" w:type="dxa"/>
            <w:tcBorders>
              <w:top w:val="nil"/>
              <w:left w:val="nil"/>
              <w:bottom w:val="single" w:color="auto" w:sz="4" w:space="0"/>
              <w:right w:val="single" w:color="auto" w:sz="4" w:space="0"/>
            </w:tcBorders>
            <w:vAlign w:val="center"/>
          </w:tcPr>
          <w:p w14:paraId="00EB81C1">
            <w:pPr>
              <w:widowControl/>
              <w:jc w:val="center"/>
              <w:rPr>
                <w:rFonts w:ascii="宋体" w:hAnsi="宋体" w:cs="宋体"/>
                <w:b/>
                <w:bCs/>
                <w:kern w:val="0"/>
                <w:sz w:val="24"/>
              </w:rPr>
            </w:pPr>
            <w:r>
              <w:rPr>
                <w:rFonts w:hint="eastAsia" w:ascii="宋体" w:hAnsi="宋体" w:cs="宋体"/>
                <w:b/>
                <w:bCs/>
                <w:kern w:val="0"/>
                <w:sz w:val="24"/>
              </w:rPr>
              <w:t>项目总投资</w:t>
            </w:r>
          </w:p>
        </w:tc>
        <w:tc>
          <w:tcPr>
            <w:tcW w:w="1984" w:type="dxa"/>
            <w:tcBorders>
              <w:top w:val="nil"/>
              <w:left w:val="nil"/>
              <w:bottom w:val="single" w:color="auto" w:sz="4" w:space="0"/>
              <w:right w:val="single" w:color="auto" w:sz="4" w:space="0"/>
            </w:tcBorders>
            <w:vAlign w:val="center"/>
          </w:tcPr>
          <w:p w14:paraId="65DD7518">
            <w:pPr>
              <w:widowControl/>
              <w:jc w:val="center"/>
              <w:rPr>
                <w:kern w:val="0"/>
                <w:sz w:val="24"/>
              </w:rPr>
            </w:pPr>
            <w:r>
              <w:rPr>
                <w:kern w:val="0"/>
                <w:sz w:val="24"/>
              </w:rPr>
              <w:t>　</w:t>
            </w:r>
          </w:p>
        </w:tc>
        <w:tc>
          <w:tcPr>
            <w:tcW w:w="1236" w:type="dxa"/>
            <w:tcBorders>
              <w:top w:val="nil"/>
              <w:left w:val="nil"/>
              <w:bottom w:val="single" w:color="auto" w:sz="4" w:space="0"/>
              <w:right w:val="single" w:color="auto" w:sz="4" w:space="0"/>
            </w:tcBorders>
            <w:vAlign w:val="center"/>
          </w:tcPr>
          <w:p w14:paraId="7BE20B75">
            <w:pPr>
              <w:widowControl/>
              <w:jc w:val="center"/>
              <w:rPr>
                <w:kern w:val="0"/>
                <w:sz w:val="24"/>
              </w:rPr>
            </w:pPr>
            <w:r>
              <w:rPr>
                <w:kern w:val="0"/>
                <w:sz w:val="24"/>
              </w:rPr>
              <w:t>　</w:t>
            </w:r>
          </w:p>
        </w:tc>
        <w:tc>
          <w:tcPr>
            <w:tcW w:w="1701" w:type="dxa"/>
            <w:tcBorders>
              <w:top w:val="nil"/>
              <w:left w:val="nil"/>
              <w:bottom w:val="single" w:color="auto" w:sz="4" w:space="0"/>
              <w:right w:val="single" w:color="auto" w:sz="4" w:space="0"/>
            </w:tcBorders>
            <w:vAlign w:val="center"/>
          </w:tcPr>
          <w:p w14:paraId="29DE88D5">
            <w:pPr>
              <w:widowControl/>
              <w:jc w:val="center"/>
              <w:rPr>
                <w:b/>
                <w:bCs/>
                <w:kern w:val="0"/>
                <w:sz w:val="24"/>
              </w:rPr>
            </w:pPr>
            <w:r>
              <w:rPr>
                <w:b/>
                <w:bCs/>
                <w:kern w:val="0"/>
                <w:sz w:val="24"/>
              </w:rPr>
              <w:t>1</w:t>
            </w:r>
            <w:r>
              <w:rPr>
                <w:rFonts w:hint="eastAsia"/>
                <w:b/>
                <w:bCs/>
                <w:kern w:val="0"/>
                <w:sz w:val="24"/>
              </w:rPr>
              <w:t>7</w:t>
            </w:r>
            <w:r>
              <w:rPr>
                <w:b/>
                <w:bCs/>
                <w:kern w:val="0"/>
                <w:sz w:val="24"/>
              </w:rPr>
              <w:t>8</w:t>
            </w:r>
            <w:r>
              <w:rPr>
                <w:rFonts w:hint="eastAsia"/>
                <w:b/>
                <w:bCs/>
                <w:kern w:val="0"/>
                <w:sz w:val="24"/>
              </w:rPr>
              <w:t>4</w:t>
            </w:r>
            <w:r>
              <w:rPr>
                <w:b/>
                <w:bCs/>
                <w:kern w:val="0"/>
                <w:sz w:val="24"/>
              </w:rPr>
              <w:t>300</w:t>
            </w:r>
          </w:p>
        </w:tc>
        <w:tc>
          <w:tcPr>
            <w:tcW w:w="1559" w:type="dxa"/>
            <w:tcBorders>
              <w:top w:val="nil"/>
              <w:left w:val="nil"/>
              <w:bottom w:val="single" w:color="auto" w:sz="4" w:space="0"/>
              <w:right w:val="single" w:color="auto" w:sz="4" w:space="0"/>
            </w:tcBorders>
            <w:vAlign w:val="center"/>
          </w:tcPr>
          <w:p w14:paraId="59341AA2">
            <w:pPr>
              <w:widowControl/>
              <w:jc w:val="center"/>
              <w:rPr>
                <w:b/>
                <w:bCs/>
                <w:kern w:val="0"/>
                <w:sz w:val="24"/>
              </w:rPr>
            </w:pPr>
            <w:r>
              <w:rPr>
                <w:rFonts w:hint="eastAsia"/>
                <w:b/>
                <w:bCs/>
                <w:kern w:val="0"/>
                <w:sz w:val="24"/>
              </w:rPr>
              <w:t>730</w:t>
            </w:r>
            <w:r>
              <w:rPr>
                <w:b/>
                <w:bCs/>
                <w:kern w:val="0"/>
                <w:sz w:val="24"/>
              </w:rPr>
              <w:t>850</w:t>
            </w:r>
          </w:p>
        </w:tc>
        <w:tc>
          <w:tcPr>
            <w:tcW w:w="1559" w:type="dxa"/>
            <w:tcBorders>
              <w:top w:val="nil"/>
              <w:left w:val="nil"/>
              <w:bottom w:val="single" w:color="auto" w:sz="4" w:space="0"/>
              <w:right w:val="single" w:color="auto" w:sz="4" w:space="0"/>
            </w:tcBorders>
            <w:vAlign w:val="center"/>
          </w:tcPr>
          <w:p w14:paraId="3EEEAF17">
            <w:pPr>
              <w:widowControl/>
              <w:jc w:val="center"/>
              <w:rPr>
                <w:b/>
                <w:bCs/>
                <w:kern w:val="0"/>
                <w:sz w:val="24"/>
              </w:rPr>
            </w:pPr>
            <w:r>
              <w:rPr>
                <w:b/>
                <w:bCs/>
                <w:kern w:val="0"/>
                <w:sz w:val="24"/>
              </w:rPr>
              <w:t>10</w:t>
            </w:r>
            <w:r>
              <w:rPr>
                <w:rFonts w:hint="eastAsia"/>
                <w:b/>
                <w:bCs/>
                <w:kern w:val="0"/>
                <w:sz w:val="24"/>
              </w:rPr>
              <w:t>5</w:t>
            </w:r>
            <w:r>
              <w:rPr>
                <w:b/>
                <w:bCs/>
                <w:kern w:val="0"/>
                <w:sz w:val="24"/>
              </w:rPr>
              <w:t>3450</w:t>
            </w:r>
          </w:p>
        </w:tc>
        <w:tc>
          <w:tcPr>
            <w:tcW w:w="1276" w:type="dxa"/>
            <w:tcBorders>
              <w:top w:val="nil"/>
              <w:left w:val="nil"/>
              <w:bottom w:val="single" w:color="auto" w:sz="4" w:space="0"/>
              <w:right w:val="single" w:color="auto" w:sz="4" w:space="0"/>
            </w:tcBorders>
            <w:vAlign w:val="center"/>
          </w:tcPr>
          <w:p w14:paraId="65BFD0F5">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0AC02B69">
            <w:pPr>
              <w:widowControl/>
              <w:jc w:val="center"/>
              <w:rPr>
                <w:b/>
                <w:bCs/>
                <w:kern w:val="0"/>
                <w:sz w:val="24"/>
              </w:rPr>
            </w:pPr>
            <w:r>
              <w:rPr>
                <w:b/>
                <w:bCs/>
                <w:kern w:val="0"/>
                <w:sz w:val="24"/>
              </w:rPr>
              <w:t>　</w:t>
            </w:r>
          </w:p>
        </w:tc>
      </w:tr>
      <w:tr w14:paraId="671CD30A">
        <w:tblPrEx>
          <w:tblCellMar>
            <w:top w:w="0" w:type="dxa"/>
            <w:left w:w="108" w:type="dxa"/>
            <w:bottom w:w="0" w:type="dxa"/>
            <w:right w:w="108" w:type="dxa"/>
          </w:tblCellMar>
        </w:tblPrEx>
        <w:trPr>
          <w:cantSplit/>
          <w:trHeight w:val="556" w:hRule="atLeast"/>
        </w:trPr>
        <w:tc>
          <w:tcPr>
            <w:tcW w:w="1140" w:type="dxa"/>
            <w:tcBorders>
              <w:top w:val="nil"/>
              <w:left w:val="single" w:color="auto" w:sz="4" w:space="0"/>
              <w:bottom w:val="single" w:color="auto" w:sz="4" w:space="0"/>
              <w:right w:val="single" w:color="auto" w:sz="4" w:space="0"/>
            </w:tcBorders>
            <w:vAlign w:val="center"/>
          </w:tcPr>
          <w:p w14:paraId="14DE210E">
            <w:pPr>
              <w:widowControl/>
              <w:jc w:val="center"/>
              <w:rPr>
                <w:rFonts w:ascii="宋体" w:hAnsi="宋体" w:cs="宋体"/>
                <w:b/>
                <w:bCs/>
                <w:kern w:val="0"/>
                <w:sz w:val="24"/>
              </w:rPr>
            </w:pPr>
            <w:r>
              <w:rPr>
                <w:rFonts w:hint="eastAsia" w:ascii="宋体" w:hAnsi="宋体" w:cs="宋体"/>
                <w:b/>
                <w:bCs/>
                <w:kern w:val="0"/>
                <w:sz w:val="24"/>
              </w:rPr>
              <w:t>一</w:t>
            </w:r>
          </w:p>
        </w:tc>
        <w:tc>
          <w:tcPr>
            <w:tcW w:w="3128" w:type="dxa"/>
            <w:tcBorders>
              <w:top w:val="nil"/>
              <w:left w:val="nil"/>
              <w:bottom w:val="single" w:color="auto" w:sz="4" w:space="0"/>
              <w:right w:val="single" w:color="auto" w:sz="4" w:space="0"/>
            </w:tcBorders>
            <w:vAlign w:val="center"/>
          </w:tcPr>
          <w:p w14:paraId="28A6CC69">
            <w:pPr>
              <w:widowControl/>
              <w:jc w:val="left"/>
              <w:rPr>
                <w:rFonts w:ascii="宋体" w:hAnsi="宋体" w:cs="宋体"/>
                <w:b/>
                <w:bCs/>
                <w:kern w:val="0"/>
                <w:sz w:val="24"/>
              </w:rPr>
            </w:pPr>
            <w:r>
              <w:rPr>
                <w:rFonts w:hint="eastAsia" w:ascii="宋体" w:hAnsi="宋体" w:cs="宋体"/>
                <w:b/>
                <w:bCs/>
                <w:kern w:val="0"/>
                <w:sz w:val="24"/>
              </w:rPr>
              <w:t>森林旅游与森林康养产业</w:t>
            </w:r>
          </w:p>
        </w:tc>
        <w:tc>
          <w:tcPr>
            <w:tcW w:w="1984" w:type="dxa"/>
            <w:tcBorders>
              <w:top w:val="nil"/>
              <w:left w:val="nil"/>
              <w:bottom w:val="single" w:color="auto" w:sz="4" w:space="0"/>
              <w:right w:val="single" w:color="auto" w:sz="4" w:space="0"/>
            </w:tcBorders>
            <w:vAlign w:val="center"/>
          </w:tcPr>
          <w:p w14:paraId="21FCA612">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747BD6C7">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4DEB931E">
            <w:pPr>
              <w:widowControl/>
              <w:jc w:val="center"/>
              <w:rPr>
                <w:b/>
                <w:bCs/>
                <w:kern w:val="0"/>
                <w:sz w:val="24"/>
              </w:rPr>
            </w:pPr>
            <w:r>
              <w:rPr>
                <w:rFonts w:hint="eastAsia"/>
                <w:b/>
                <w:bCs/>
                <w:kern w:val="0"/>
                <w:sz w:val="24"/>
              </w:rPr>
              <w:t>967</w:t>
            </w:r>
            <w:r>
              <w:rPr>
                <w:b/>
                <w:bCs/>
                <w:kern w:val="0"/>
                <w:sz w:val="24"/>
              </w:rPr>
              <w:t>900</w:t>
            </w:r>
          </w:p>
        </w:tc>
        <w:tc>
          <w:tcPr>
            <w:tcW w:w="1559" w:type="dxa"/>
            <w:tcBorders>
              <w:top w:val="nil"/>
              <w:left w:val="nil"/>
              <w:bottom w:val="single" w:color="auto" w:sz="4" w:space="0"/>
              <w:right w:val="single" w:color="auto" w:sz="4" w:space="0"/>
            </w:tcBorders>
            <w:vAlign w:val="center"/>
          </w:tcPr>
          <w:p w14:paraId="6177C56E">
            <w:pPr>
              <w:widowControl/>
              <w:jc w:val="center"/>
              <w:rPr>
                <w:b/>
                <w:bCs/>
                <w:kern w:val="0"/>
                <w:sz w:val="24"/>
              </w:rPr>
            </w:pPr>
            <w:r>
              <w:rPr>
                <w:rFonts w:hint="eastAsia"/>
                <w:b/>
                <w:bCs/>
                <w:kern w:val="0"/>
                <w:sz w:val="24"/>
              </w:rPr>
              <w:t>351</w:t>
            </w:r>
            <w:r>
              <w:rPr>
                <w:b/>
                <w:bCs/>
                <w:kern w:val="0"/>
                <w:sz w:val="24"/>
              </w:rPr>
              <w:t>900</w:t>
            </w:r>
          </w:p>
        </w:tc>
        <w:tc>
          <w:tcPr>
            <w:tcW w:w="1559" w:type="dxa"/>
            <w:tcBorders>
              <w:top w:val="nil"/>
              <w:left w:val="nil"/>
              <w:bottom w:val="single" w:color="auto" w:sz="4" w:space="0"/>
              <w:right w:val="single" w:color="auto" w:sz="4" w:space="0"/>
            </w:tcBorders>
            <w:vAlign w:val="center"/>
          </w:tcPr>
          <w:p w14:paraId="4ADDFD81">
            <w:pPr>
              <w:widowControl/>
              <w:jc w:val="center"/>
              <w:rPr>
                <w:b/>
                <w:bCs/>
                <w:kern w:val="0"/>
                <w:sz w:val="24"/>
              </w:rPr>
            </w:pPr>
            <w:r>
              <w:rPr>
                <w:rFonts w:hint="eastAsia"/>
                <w:b/>
                <w:bCs/>
                <w:kern w:val="0"/>
                <w:sz w:val="24"/>
              </w:rPr>
              <w:t>61</w:t>
            </w:r>
            <w:r>
              <w:rPr>
                <w:b/>
                <w:bCs/>
                <w:kern w:val="0"/>
                <w:sz w:val="24"/>
              </w:rPr>
              <w:t>6000</w:t>
            </w:r>
          </w:p>
        </w:tc>
        <w:tc>
          <w:tcPr>
            <w:tcW w:w="1276" w:type="dxa"/>
            <w:tcBorders>
              <w:top w:val="nil"/>
              <w:left w:val="nil"/>
              <w:bottom w:val="single" w:color="auto" w:sz="4" w:space="0"/>
              <w:right w:val="single" w:color="auto" w:sz="4" w:space="0"/>
            </w:tcBorders>
            <w:vAlign w:val="center"/>
          </w:tcPr>
          <w:p w14:paraId="415310F6">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2ABE71B4">
            <w:pPr>
              <w:widowControl/>
              <w:jc w:val="center"/>
              <w:rPr>
                <w:b/>
                <w:bCs/>
                <w:kern w:val="0"/>
                <w:sz w:val="24"/>
              </w:rPr>
            </w:pPr>
            <w:r>
              <w:rPr>
                <w:b/>
                <w:bCs/>
                <w:kern w:val="0"/>
                <w:sz w:val="24"/>
              </w:rPr>
              <w:t>　</w:t>
            </w:r>
          </w:p>
        </w:tc>
      </w:tr>
      <w:tr w14:paraId="6D0E131A">
        <w:tblPrEx>
          <w:tblCellMar>
            <w:top w:w="0" w:type="dxa"/>
            <w:left w:w="108" w:type="dxa"/>
            <w:bottom w:w="0" w:type="dxa"/>
            <w:right w:w="108" w:type="dxa"/>
          </w:tblCellMar>
        </w:tblPrEx>
        <w:trPr>
          <w:cantSplit/>
          <w:trHeight w:val="533" w:hRule="atLeast"/>
        </w:trPr>
        <w:tc>
          <w:tcPr>
            <w:tcW w:w="1140" w:type="dxa"/>
            <w:tcBorders>
              <w:top w:val="nil"/>
              <w:left w:val="single" w:color="auto" w:sz="4" w:space="0"/>
              <w:bottom w:val="single" w:color="auto" w:sz="4" w:space="0"/>
              <w:right w:val="single" w:color="auto" w:sz="4" w:space="0"/>
            </w:tcBorders>
            <w:vAlign w:val="center"/>
          </w:tcPr>
          <w:p w14:paraId="57D91FDE">
            <w:pPr>
              <w:widowControl/>
              <w:jc w:val="center"/>
              <w:rPr>
                <w:b/>
                <w:bCs/>
                <w:kern w:val="0"/>
                <w:sz w:val="24"/>
              </w:rPr>
            </w:pPr>
            <w:r>
              <w:rPr>
                <w:b/>
                <w:bCs/>
                <w:kern w:val="0"/>
                <w:sz w:val="24"/>
              </w:rPr>
              <w:t>1.1</w:t>
            </w:r>
          </w:p>
        </w:tc>
        <w:tc>
          <w:tcPr>
            <w:tcW w:w="3128" w:type="dxa"/>
            <w:tcBorders>
              <w:top w:val="nil"/>
              <w:left w:val="nil"/>
              <w:bottom w:val="single" w:color="auto" w:sz="4" w:space="0"/>
              <w:right w:val="single" w:color="auto" w:sz="4" w:space="0"/>
            </w:tcBorders>
            <w:vAlign w:val="center"/>
          </w:tcPr>
          <w:p w14:paraId="3FA85D71">
            <w:pPr>
              <w:widowControl/>
              <w:jc w:val="left"/>
              <w:rPr>
                <w:rFonts w:ascii="宋体" w:hAnsi="宋体" w:cs="宋体"/>
                <w:b/>
                <w:bCs/>
                <w:kern w:val="0"/>
                <w:sz w:val="24"/>
              </w:rPr>
            </w:pPr>
            <w:r>
              <w:rPr>
                <w:rFonts w:hint="eastAsia" w:ascii="宋体" w:hAnsi="宋体" w:cs="宋体"/>
                <w:b/>
                <w:bCs/>
                <w:kern w:val="0"/>
                <w:sz w:val="24"/>
              </w:rPr>
              <w:t>重点建设现有森林公园工程</w:t>
            </w:r>
          </w:p>
        </w:tc>
        <w:tc>
          <w:tcPr>
            <w:tcW w:w="1984" w:type="dxa"/>
            <w:tcBorders>
              <w:top w:val="nil"/>
              <w:left w:val="nil"/>
              <w:bottom w:val="single" w:color="auto" w:sz="4" w:space="0"/>
              <w:right w:val="single" w:color="auto" w:sz="4" w:space="0"/>
            </w:tcBorders>
            <w:vAlign w:val="center"/>
          </w:tcPr>
          <w:p w14:paraId="39159111">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0B6B0AED">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248EE018">
            <w:pPr>
              <w:widowControl/>
              <w:jc w:val="center"/>
              <w:rPr>
                <w:b/>
                <w:bCs/>
                <w:kern w:val="0"/>
                <w:sz w:val="24"/>
              </w:rPr>
            </w:pPr>
            <w:r>
              <w:rPr>
                <w:b/>
                <w:bCs/>
                <w:kern w:val="0"/>
                <w:sz w:val="24"/>
              </w:rPr>
              <w:t>81000</w:t>
            </w:r>
          </w:p>
        </w:tc>
        <w:tc>
          <w:tcPr>
            <w:tcW w:w="1559" w:type="dxa"/>
            <w:tcBorders>
              <w:top w:val="nil"/>
              <w:left w:val="nil"/>
              <w:bottom w:val="single" w:color="auto" w:sz="4" w:space="0"/>
              <w:right w:val="single" w:color="auto" w:sz="4" w:space="0"/>
            </w:tcBorders>
            <w:vAlign w:val="center"/>
          </w:tcPr>
          <w:p w14:paraId="1837C2D3">
            <w:pPr>
              <w:widowControl/>
              <w:jc w:val="center"/>
              <w:rPr>
                <w:b/>
                <w:bCs/>
                <w:kern w:val="0"/>
                <w:sz w:val="24"/>
              </w:rPr>
            </w:pPr>
            <w:r>
              <w:rPr>
                <w:b/>
                <w:bCs/>
                <w:kern w:val="0"/>
                <w:sz w:val="24"/>
              </w:rPr>
              <w:t>30000</w:t>
            </w:r>
          </w:p>
        </w:tc>
        <w:tc>
          <w:tcPr>
            <w:tcW w:w="1559" w:type="dxa"/>
            <w:tcBorders>
              <w:top w:val="nil"/>
              <w:left w:val="nil"/>
              <w:bottom w:val="single" w:color="auto" w:sz="4" w:space="0"/>
              <w:right w:val="single" w:color="auto" w:sz="4" w:space="0"/>
            </w:tcBorders>
            <w:vAlign w:val="center"/>
          </w:tcPr>
          <w:p w14:paraId="2E39E4C8">
            <w:pPr>
              <w:widowControl/>
              <w:jc w:val="center"/>
              <w:rPr>
                <w:b/>
                <w:bCs/>
                <w:kern w:val="0"/>
                <w:sz w:val="24"/>
              </w:rPr>
            </w:pPr>
            <w:r>
              <w:rPr>
                <w:b/>
                <w:bCs/>
                <w:kern w:val="0"/>
                <w:sz w:val="24"/>
              </w:rPr>
              <w:t>51000</w:t>
            </w:r>
          </w:p>
        </w:tc>
        <w:tc>
          <w:tcPr>
            <w:tcW w:w="1276" w:type="dxa"/>
            <w:tcBorders>
              <w:top w:val="nil"/>
              <w:left w:val="nil"/>
              <w:bottom w:val="single" w:color="auto" w:sz="4" w:space="0"/>
              <w:right w:val="single" w:color="auto" w:sz="4" w:space="0"/>
            </w:tcBorders>
            <w:vAlign w:val="center"/>
          </w:tcPr>
          <w:p w14:paraId="7E0A951C">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770745CF">
            <w:pPr>
              <w:widowControl/>
              <w:jc w:val="center"/>
              <w:rPr>
                <w:b/>
                <w:bCs/>
                <w:kern w:val="0"/>
                <w:sz w:val="24"/>
              </w:rPr>
            </w:pPr>
            <w:r>
              <w:rPr>
                <w:b/>
                <w:bCs/>
                <w:kern w:val="0"/>
                <w:sz w:val="24"/>
              </w:rPr>
              <w:t>　</w:t>
            </w:r>
          </w:p>
        </w:tc>
      </w:tr>
      <w:tr w14:paraId="643BA615">
        <w:tblPrEx>
          <w:tblCellMar>
            <w:top w:w="0" w:type="dxa"/>
            <w:left w:w="108" w:type="dxa"/>
            <w:bottom w:w="0" w:type="dxa"/>
            <w:right w:w="108" w:type="dxa"/>
          </w:tblCellMar>
        </w:tblPrEx>
        <w:trPr>
          <w:cantSplit/>
          <w:trHeight w:val="1425" w:hRule="atLeast"/>
        </w:trPr>
        <w:tc>
          <w:tcPr>
            <w:tcW w:w="1140" w:type="dxa"/>
            <w:tcBorders>
              <w:top w:val="nil"/>
              <w:left w:val="single" w:color="auto" w:sz="4" w:space="0"/>
              <w:bottom w:val="single" w:color="auto" w:sz="4" w:space="0"/>
              <w:right w:val="single" w:color="auto" w:sz="4" w:space="0"/>
            </w:tcBorders>
            <w:vAlign w:val="center"/>
          </w:tcPr>
          <w:p w14:paraId="4FFFC4DB">
            <w:pPr>
              <w:widowControl/>
              <w:jc w:val="center"/>
              <w:rPr>
                <w:kern w:val="0"/>
                <w:sz w:val="24"/>
              </w:rPr>
            </w:pPr>
            <w:r>
              <w:rPr>
                <w:kern w:val="0"/>
                <w:sz w:val="24"/>
              </w:rPr>
              <w:t>1.1.1</w:t>
            </w:r>
          </w:p>
        </w:tc>
        <w:tc>
          <w:tcPr>
            <w:tcW w:w="3128" w:type="dxa"/>
            <w:tcBorders>
              <w:top w:val="nil"/>
              <w:left w:val="nil"/>
              <w:bottom w:val="single" w:color="auto" w:sz="4" w:space="0"/>
              <w:right w:val="single" w:color="auto" w:sz="4" w:space="0"/>
            </w:tcBorders>
            <w:vAlign w:val="center"/>
          </w:tcPr>
          <w:p w14:paraId="222FDB81">
            <w:pPr>
              <w:widowControl/>
              <w:jc w:val="left"/>
              <w:rPr>
                <w:rFonts w:ascii="宋体" w:hAnsi="宋体" w:cs="宋体"/>
                <w:kern w:val="0"/>
                <w:sz w:val="24"/>
              </w:rPr>
            </w:pPr>
            <w:r>
              <w:rPr>
                <w:rFonts w:hint="eastAsia" w:ascii="宋体" w:hAnsi="宋体" w:cs="宋体"/>
                <w:kern w:val="0"/>
                <w:sz w:val="24"/>
              </w:rPr>
              <w:t>重点建设现有森林公园</w:t>
            </w:r>
          </w:p>
        </w:tc>
        <w:tc>
          <w:tcPr>
            <w:tcW w:w="1984" w:type="dxa"/>
            <w:tcBorders>
              <w:top w:val="nil"/>
              <w:left w:val="nil"/>
              <w:bottom w:val="single" w:color="auto" w:sz="4" w:space="0"/>
              <w:right w:val="single" w:color="auto" w:sz="4" w:space="0"/>
            </w:tcBorders>
            <w:vAlign w:val="center"/>
          </w:tcPr>
          <w:p w14:paraId="2104A474">
            <w:pPr>
              <w:widowControl/>
              <w:jc w:val="center"/>
              <w:rPr>
                <w:kern w:val="0"/>
                <w:sz w:val="24"/>
              </w:rPr>
            </w:pPr>
            <w:r>
              <w:rPr>
                <w:rFonts w:hint="eastAsia" w:ascii="宋体" w:hAnsi="宋体"/>
                <w:kern w:val="0"/>
                <w:sz w:val="24"/>
              </w:rPr>
              <w:t>亚龙湾热带天堂森林公园、临春岭森林公园等</w:t>
            </w:r>
          </w:p>
        </w:tc>
        <w:tc>
          <w:tcPr>
            <w:tcW w:w="1236" w:type="dxa"/>
            <w:tcBorders>
              <w:top w:val="nil"/>
              <w:left w:val="nil"/>
              <w:bottom w:val="single" w:color="auto" w:sz="4" w:space="0"/>
              <w:right w:val="single" w:color="auto" w:sz="4" w:space="0"/>
            </w:tcBorders>
            <w:vAlign w:val="center"/>
          </w:tcPr>
          <w:p w14:paraId="4A25BFA5">
            <w:pPr>
              <w:widowControl/>
              <w:jc w:val="center"/>
              <w:rPr>
                <w:kern w:val="0"/>
                <w:sz w:val="24"/>
              </w:rPr>
            </w:pPr>
            <w:r>
              <w:rPr>
                <w:kern w:val="0"/>
                <w:sz w:val="24"/>
              </w:rPr>
              <w:t>11104.7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535FE0D">
            <w:pPr>
              <w:widowControl/>
              <w:jc w:val="center"/>
              <w:rPr>
                <w:kern w:val="0"/>
                <w:sz w:val="24"/>
              </w:rPr>
            </w:pPr>
            <w:r>
              <w:rPr>
                <w:kern w:val="0"/>
                <w:sz w:val="24"/>
              </w:rPr>
              <w:t>81000</w:t>
            </w:r>
          </w:p>
        </w:tc>
        <w:tc>
          <w:tcPr>
            <w:tcW w:w="1559" w:type="dxa"/>
            <w:tcBorders>
              <w:top w:val="nil"/>
              <w:left w:val="nil"/>
              <w:bottom w:val="single" w:color="auto" w:sz="4" w:space="0"/>
              <w:right w:val="single" w:color="auto" w:sz="4" w:space="0"/>
            </w:tcBorders>
            <w:vAlign w:val="center"/>
          </w:tcPr>
          <w:p w14:paraId="235FFBC9">
            <w:pPr>
              <w:widowControl/>
              <w:jc w:val="center"/>
              <w:rPr>
                <w:kern w:val="0"/>
                <w:sz w:val="24"/>
              </w:rPr>
            </w:pPr>
            <w:r>
              <w:rPr>
                <w:kern w:val="0"/>
                <w:sz w:val="24"/>
              </w:rPr>
              <w:t>30000</w:t>
            </w:r>
          </w:p>
        </w:tc>
        <w:tc>
          <w:tcPr>
            <w:tcW w:w="1559" w:type="dxa"/>
            <w:tcBorders>
              <w:top w:val="nil"/>
              <w:left w:val="nil"/>
              <w:bottom w:val="single" w:color="auto" w:sz="4" w:space="0"/>
              <w:right w:val="single" w:color="auto" w:sz="4" w:space="0"/>
            </w:tcBorders>
            <w:vAlign w:val="center"/>
          </w:tcPr>
          <w:p w14:paraId="344B174D">
            <w:pPr>
              <w:widowControl/>
              <w:jc w:val="center"/>
              <w:rPr>
                <w:kern w:val="0"/>
                <w:sz w:val="24"/>
              </w:rPr>
            </w:pPr>
            <w:r>
              <w:rPr>
                <w:kern w:val="0"/>
                <w:sz w:val="24"/>
              </w:rPr>
              <w:t>51000</w:t>
            </w:r>
          </w:p>
        </w:tc>
        <w:tc>
          <w:tcPr>
            <w:tcW w:w="1276" w:type="dxa"/>
            <w:tcBorders>
              <w:top w:val="nil"/>
              <w:left w:val="nil"/>
              <w:bottom w:val="single" w:color="auto" w:sz="4" w:space="0"/>
              <w:right w:val="single" w:color="auto" w:sz="4" w:space="0"/>
            </w:tcBorders>
            <w:vAlign w:val="center"/>
          </w:tcPr>
          <w:p w14:paraId="3FC9B12D">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379EDAC6">
            <w:pPr>
              <w:widowControl/>
              <w:jc w:val="center"/>
              <w:rPr>
                <w:b/>
                <w:bCs/>
                <w:kern w:val="0"/>
                <w:sz w:val="24"/>
              </w:rPr>
            </w:pPr>
            <w:r>
              <w:rPr>
                <w:b/>
                <w:bCs/>
                <w:kern w:val="0"/>
                <w:sz w:val="24"/>
              </w:rPr>
              <w:t>　</w:t>
            </w:r>
          </w:p>
        </w:tc>
      </w:tr>
      <w:tr w14:paraId="75339C2F">
        <w:tblPrEx>
          <w:tblCellMar>
            <w:top w:w="0" w:type="dxa"/>
            <w:left w:w="108" w:type="dxa"/>
            <w:bottom w:w="0" w:type="dxa"/>
            <w:right w:w="108" w:type="dxa"/>
          </w:tblCellMar>
        </w:tblPrEx>
        <w:trPr>
          <w:cantSplit/>
          <w:trHeight w:val="706" w:hRule="atLeast"/>
        </w:trPr>
        <w:tc>
          <w:tcPr>
            <w:tcW w:w="1140" w:type="dxa"/>
            <w:tcBorders>
              <w:top w:val="nil"/>
              <w:left w:val="single" w:color="auto" w:sz="4" w:space="0"/>
              <w:bottom w:val="single" w:color="auto" w:sz="4" w:space="0"/>
              <w:right w:val="single" w:color="auto" w:sz="4" w:space="0"/>
            </w:tcBorders>
            <w:vAlign w:val="center"/>
          </w:tcPr>
          <w:p w14:paraId="5F5F70C2">
            <w:pPr>
              <w:widowControl/>
              <w:jc w:val="center"/>
              <w:rPr>
                <w:b/>
                <w:bCs/>
                <w:kern w:val="0"/>
                <w:sz w:val="24"/>
              </w:rPr>
            </w:pPr>
            <w:r>
              <w:rPr>
                <w:b/>
                <w:bCs/>
                <w:kern w:val="0"/>
                <w:sz w:val="24"/>
              </w:rPr>
              <w:t>1.2</w:t>
            </w:r>
          </w:p>
        </w:tc>
        <w:tc>
          <w:tcPr>
            <w:tcW w:w="3128" w:type="dxa"/>
            <w:tcBorders>
              <w:top w:val="nil"/>
              <w:left w:val="nil"/>
              <w:bottom w:val="single" w:color="auto" w:sz="4" w:space="0"/>
              <w:right w:val="single" w:color="auto" w:sz="4" w:space="0"/>
            </w:tcBorders>
            <w:vAlign w:val="center"/>
          </w:tcPr>
          <w:p w14:paraId="6B75A95A">
            <w:pPr>
              <w:widowControl/>
              <w:jc w:val="left"/>
              <w:rPr>
                <w:rFonts w:ascii="宋体" w:hAnsi="宋体" w:cs="宋体"/>
                <w:b/>
                <w:bCs/>
                <w:kern w:val="0"/>
                <w:sz w:val="24"/>
              </w:rPr>
            </w:pPr>
            <w:r>
              <w:rPr>
                <w:rFonts w:hint="eastAsia" w:ascii="宋体" w:hAnsi="宋体" w:cs="宋体"/>
                <w:b/>
                <w:bCs/>
                <w:kern w:val="0"/>
                <w:sz w:val="24"/>
              </w:rPr>
              <w:t>建设生态旅游湿地公园工程</w:t>
            </w:r>
          </w:p>
        </w:tc>
        <w:tc>
          <w:tcPr>
            <w:tcW w:w="1984" w:type="dxa"/>
            <w:tcBorders>
              <w:top w:val="nil"/>
              <w:left w:val="nil"/>
              <w:bottom w:val="single" w:color="auto" w:sz="4" w:space="0"/>
              <w:right w:val="single" w:color="auto" w:sz="4" w:space="0"/>
            </w:tcBorders>
            <w:vAlign w:val="center"/>
          </w:tcPr>
          <w:p w14:paraId="1BEECA99">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32DF0E73">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323A1477">
            <w:pPr>
              <w:widowControl/>
              <w:jc w:val="center"/>
              <w:rPr>
                <w:b/>
                <w:bCs/>
                <w:kern w:val="0"/>
                <w:sz w:val="24"/>
              </w:rPr>
            </w:pPr>
            <w:r>
              <w:rPr>
                <w:b/>
                <w:bCs/>
                <w:kern w:val="0"/>
                <w:sz w:val="24"/>
              </w:rPr>
              <w:t>101900</w:t>
            </w:r>
          </w:p>
        </w:tc>
        <w:tc>
          <w:tcPr>
            <w:tcW w:w="1559" w:type="dxa"/>
            <w:tcBorders>
              <w:top w:val="nil"/>
              <w:left w:val="nil"/>
              <w:bottom w:val="single" w:color="auto" w:sz="4" w:space="0"/>
              <w:right w:val="single" w:color="auto" w:sz="4" w:space="0"/>
            </w:tcBorders>
            <w:vAlign w:val="center"/>
          </w:tcPr>
          <w:p w14:paraId="792FE607">
            <w:pPr>
              <w:widowControl/>
              <w:jc w:val="center"/>
              <w:rPr>
                <w:b/>
                <w:bCs/>
                <w:kern w:val="0"/>
                <w:sz w:val="24"/>
              </w:rPr>
            </w:pPr>
            <w:r>
              <w:rPr>
                <w:b/>
                <w:bCs/>
                <w:kern w:val="0"/>
                <w:sz w:val="24"/>
              </w:rPr>
              <w:t>101900</w:t>
            </w:r>
          </w:p>
        </w:tc>
        <w:tc>
          <w:tcPr>
            <w:tcW w:w="1559" w:type="dxa"/>
            <w:tcBorders>
              <w:top w:val="nil"/>
              <w:left w:val="nil"/>
              <w:bottom w:val="single" w:color="auto" w:sz="4" w:space="0"/>
              <w:right w:val="single" w:color="auto" w:sz="4" w:space="0"/>
            </w:tcBorders>
            <w:vAlign w:val="center"/>
          </w:tcPr>
          <w:p w14:paraId="3D98A1B7">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2380B709">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1BFA87AC">
            <w:pPr>
              <w:widowControl/>
              <w:jc w:val="center"/>
              <w:rPr>
                <w:b/>
                <w:bCs/>
                <w:kern w:val="0"/>
                <w:sz w:val="24"/>
              </w:rPr>
            </w:pPr>
            <w:r>
              <w:rPr>
                <w:b/>
                <w:bCs/>
                <w:kern w:val="0"/>
                <w:sz w:val="24"/>
              </w:rPr>
              <w:t>　</w:t>
            </w:r>
          </w:p>
        </w:tc>
      </w:tr>
      <w:tr w14:paraId="470E4ABF">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57FBBAF2">
            <w:pPr>
              <w:widowControl/>
              <w:jc w:val="center"/>
              <w:rPr>
                <w:kern w:val="0"/>
                <w:sz w:val="24"/>
              </w:rPr>
            </w:pPr>
            <w:r>
              <w:rPr>
                <w:kern w:val="0"/>
                <w:sz w:val="24"/>
              </w:rPr>
              <w:t>1.2.1</w:t>
            </w:r>
          </w:p>
        </w:tc>
        <w:tc>
          <w:tcPr>
            <w:tcW w:w="3128" w:type="dxa"/>
            <w:tcBorders>
              <w:top w:val="nil"/>
              <w:left w:val="nil"/>
              <w:bottom w:val="single" w:color="auto" w:sz="4" w:space="0"/>
              <w:right w:val="single" w:color="auto" w:sz="4" w:space="0"/>
            </w:tcBorders>
            <w:vAlign w:val="center"/>
          </w:tcPr>
          <w:p w14:paraId="6F3FCA20">
            <w:pPr>
              <w:widowControl/>
              <w:jc w:val="left"/>
              <w:rPr>
                <w:kern w:val="0"/>
                <w:sz w:val="24"/>
              </w:rPr>
            </w:pPr>
            <w:r>
              <w:rPr>
                <w:rFonts w:hint="eastAsia" w:ascii="宋体" w:hAnsi="宋体"/>
                <w:kern w:val="0"/>
                <w:sz w:val="24"/>
              </w:rPr>
              <w:t>三亚河国家湿地公园</w:t>
            </w:r>
          </w:p>
        </w:tc>
        <w:tc>
          <w:tcPr>
            <w:tcW w:w="1984" w:type="dxa"/>
            <w:tcBorders>
              <w:top w:val="nil"/>
              <w:left w:val="nil"/>
              <w:bottom w:val="single" w:color="auto" w:sz="4" w:space="0"/>
              <w:right w:val="single" w:color="auto" w:sz="4" w:space="0"/>
            </w:tcBorders>
            <w:vAlign w:val="center"/>
          </w:tcPr>
          <w:p w14:paraId="7D3A2342">
            <w:pPr>
              <w:widowControl/>
              <w:jc w:val="center"/>
              <w:rPr>
                <w:kern w:val="0"/>
                <w:sz w:val="24"/>
              </w:rPr>
            </w:pPr>
            <w:r>
              <w:rPr>
                <w:rFonts w:hint="eastAsia" w:ascii="宋体" w:hAnsi="宋体"/>
                <w:kern w:val="0"/>
                <w:sz w:val="24"/>
              </w:rPr>
              <w:t>三亚河</w:t>
            </w:r>
          </w:p>
        </w:tc>
        <w:tc>
          <w:tcPr>
            <w:tcW w:w="1236" w:type="dxa"/>
            <w:tcBorders>
              <w:top w:val="nil"/>
              <w:left w:val="nil"/>
              <w:bottom w:val="single" w:color="auto" w:sz="4" w:space="0"/>
              <w:right w:val="single" w:color="auto" w:sz="4" w:space="0"/>
            </w:tcBorders>
            <w:vAlign w:val="center"/>
          </w:tcPr>
          <w:p w14:paraId="3A67A213">
            <w:pPr>
              <w:widowControl/>
              <w:jc w:val="center"/>
              <w:rPr>
                <w:kern w:val="0"/>
                <w:sz w:val="24"/>
              </w:rPr>
            </w:pPr>
            <w:r>
              <w:rPr>
                <w:kern w:val="0"/>
                <w:sz w:val="24"/>
              </w:rPr>
              <w:t>1843.24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34C17990">
            <w:pPr>
              <w:widowControl/>
              <w:jc w:val="center"/>
              <w:rPr>
                <w:kern w:val="0"/>
                <w:sz w:val="24"/>
              </w:rPr>
            </w:pPr>
            <w:r>
              <w:rPr>
                <w:kern w:val="0"/>
                <w:sz w:val="24"/>
              </w:rPr>
              <w:t>49900</w:t>
            </w:r>
          </w:p>
        </w:tc>
        <w:tc>
          <w:tcPr>
            <w:tcW w:w="1559" w:type="dxa"/>
            <w:tcBorders>
              <w:top w:val="nil"/>
              <w:left w:val="nil"/>
              <w:bottom w:val="single" w:color="auto" w:sz="4" w:space="0"/>
              <w:right w:val="single" w:color="auto" w:sz="4" w:space="0"/>
            </w:tcBorders>
            <w:vAlign w:val="center"/>
          </w:tcPr>
          <w:p w14:paraId="7D6147CD">
            <w:pPr>
              <w:widowControl/>
              <w:jc w:val="center"/>
              <w:rPr>
                <w:kern w:val="0"/>
                <w:sz w:val="24"/>
              </w:rPr>
            </w:pPr>
            <w:r>
              <w:rPr>
                <w:kern w:val="0"/>
                <w:sz w:val="24"/>
              </w:rPr>
              <w:t>49900</w:t>
            </w:r>
          </w:p>
        </w:tc>
        <w:tc>
          <w:tcPr>
            <w:tcW w:w="1559" w:type="dxa"/>
            <w:tcBorders>
              <w:top w:val="nil"/>
              <w:left w:val="nil"/>
              <w:bottom w:val="single" w:color="auto" w:sz="4" w:space="0"/>
              <w:right w:val="single" w:color="auto" w:sz="4" w:space="0"/>
            </w:tcBorders>
            <w:vAlign w:val="center"/>
          </w:tcPr>
          <w:p w14:paraId="180C700C">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3033377B">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37E42939">
            <w:pPr>
              <w:widowControl/>
              <w:jc w:val="center"/>
              <w:rPr>
                <w:b/>
                <w:bCs/>
                <w:kern w:val="0"/>
                <w:sz w:val="24"/>
              </w:rPr>
            </w:pPr>
            <w:r>
              <w:rPr>
                <w:b/>
                <w:bCs/>
                <w:kern w:val="0"/>
                <w:sz w:val="24"/>
              </w:rPr>
              <w:t>　</w:t>
            </w:r>
          </w:p>
        </w:tc>
      </w:tr>
      <w:tr w14:paraId="43A7C93A">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0A564F77">
            <w:pPr>
              <w:widowControl/>
              <w:jc w:val="center"/>
              <w:rPr>
                <w:kern w:val="0"/>
                <w:sz w:val="24"/>
              </w:rPr>
            </w:pPr>
            <w:r>
              <w:rPr>
                <w:kern w:val="0"/>
                <w:sz w:val="24"/>
              </w:rPr>
              <w:t>1.2.2</w:t>
            </w:r>
          </w:p>
        </w:tc>
        <w:tc>
          <w:tcPr>
            <w:tcW w:w="3128" w:type="dxa"/>
            <w:tcBorders>
              <w:top w:val="nil"/>
              <w:left w:val="nil"/>
              <w:bottom w:val="single" w:color="auto" w:sz="4" w:space="0"/>
              <w:right w:val="single" w:color="auto" w:sz="4" w:space="0"/>
            </w:tcBorders>
            <w:vAlign w:val="center"/>
          </w:tcPr>
          <w:p w14:paraId="2C33460C">
            <w:pPr>
              <w:widowControl/>
              <w:jc w:val="left"/>
              <w:rPr>
                <w:kern w:val="0"/>
                <w:sz w:val="24"/>
              </w:rPr>
            </w:pPr>
            <w:r>
              <w:rPr>
                <w:rFonts w:hint="eastAsia" w:ascii="宋体" w:hAnsi="宋体"/>
                <w:kern w:val="0"/>
                <w:sz w:val="24"/>
              </w:rPr>
              <w:t>新建红树林公园</w:t>
            </w:r>
          </w:p>
        </w:tc>
        <w:tc>
          <w:tcPr>
            <w:tcW w:w="1984" w:type="dxa"/>
            <w:tcBorders>
              <w:top w:val="nil"/>
              <w:left w:val="nil"/>
              <w:bottom w:val="single" w:color="auto" w:sz="4" w:space="0"/>
              <w:right w:val="single" w:color="auto" w:sz="4" w:space="0"/>
            </w:tcBorders>
            <w:vAlign w:val="center"/>
          </w:tcPr>
          <w:p w14:paraId="46130E94">
            <w:pPr>
              <w:widowControl/>
              <w:jc w:val="center"/>
              <w:rPr>
                <w:kern w:val="0"/>
                <w:sz w:val="24"/>
              </w:rPr>
            </w:pPr>
            <w:r>
              <w:rPr>
                <w:rFonts w:hint="eastAsia" w:ascii="宋体" w:hAnsi="宋体"/>
                <w:kern w:val="0"/>
                <w:sz w:val="24"/>
              </w:rPr>
              <w:t>铁炉港红树林自然保护区</w:t>
            </w:r>
          </w:p>
        </w:tc>
        <w:tc>
          <w:tcPr>
            <w:tcW w:w="1236" w:type="dxa"/>
            <w:tcBorders>
              <w:top w:val="nil"/>
              <w:left w:val="nil"/>
              <w:bottom w:val="single" w:color="auto" w:sz="4" w:space="0"/>
              <w:right w:val="single" w:color="auto" w:sz="4" w:space="0"/>
            </w:tcBorders>
            <w:vAlign w:val="center"/>
          </w:tcPr>
          <w:p w14:paraId="642323E6">
            <w:pPr>
              <w:widowControl/>
              <w:jc w:val="center"/>
              <w:rPr>
                <w:kern w:val="0"/>
                <w:sz w:val="24"/>
              </w:rPr>
            </w:pPr>
            <w:r>
              <w:rPr>
                <w:kern w:val="0"/>
                <w:sz w:val="24"/>
              </w:rPr>
              <w:t>293.13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33250A1E">
            <w:pPr>
              <w:widowControl/>
              <w:jc w:val="center"/>
              <w:rPr>
                <w:kern w:val="0"/>
                <w:sz w:val="24"/>
              </w:rPr>
            </w:pPr>
            <w:r>
              <w:rPr>
                <w:kern w:val="0"/>
                <w:sz w:val="24"/>
              </w:rPr>
              <w:t>52000</w:t>
            </w:r>
          </w:p>
        </w:tc>
        <w:tc>
          <w:tcPr>
            <w:tcW w:w="1559" w:type="dxa"/>
            <w:tcBorders>
              <w:top w:val="nil"/>
              <w:left w:val="nil"/>
              <w:bottom w:val="single" w:color="auto" w:sz="4" w:space="0"/>
              <w:right w:val="single" w:color="auto" w:sz="4" w:space="0"/>
            </w:tcBorders>
            <w:vAlign w:val="center"/>
          </w:tcPr>
          <w:p w14:paraId="2F01F964">
            <w:pPr>
              <w:widowControl/>
              <w:jc w:val="center"/>
              <w:rPr>
                <w:kern w:val="0"/>
                <w:sz w:val="24"/>
              </w:rPr>
            </w:pPr>
            <w:r>
              <w:rPr>
                <w:kern w:val="0"/>
                <w:sz w:val="24"/>
              </w:rPr>
              <w:t>52000</w:t>
            </w:r>
          </w:p>
        </w:tc>
        <w:tc>
          <w:tcPr>
            <w:tcW w:w="1559" w:type="dxa"/>
            <w:tcBorders>
              <w:top w:val="nil"/>
              <w:left w:val="nil"/>
              <w:bottom w:val="single" w:color="auto" w:sz="4" w:space="0"/>
              <w:right w:val="single" w:color="auto" w:sz="4" w:space="0"/>
            </w:tcBorders>
            <w:vAlign w:val="center"/>
          </w:tcPr>
          <w:p w14:paraId="79C938A8">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378F823D">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178425B8">
            <w:pPr>
              <w:widowControl/>
              <w:jc w:val="center"/>
              <w:rPr>
                <w:b/>
                <w:bCs/>
                <w:kern w:val="0"/>
                <w:sz w:val="24"/>
              </w:rPr>
            </w:pPr>
            <w:r>
              <w:rPr>
                <w:b/>
                <w:bCs/>
                <w:kern w:val="0"/>
                <w:sz w:val="24"/>
              </w:rPr>
              <w:t>　</w:t>
            </w:r>
          </w:p>
        </w:tc>
      </w:tr>
      <w:tr w14:paraId="5F1069F0">
        <w:tblPrEx>
          <w:tblCellMar>
            <w:top w:w="0" w:type="dxa"/>
            <w:left w:w="108" w:type="dxa"/>
            <w:bottom w:w="0" w:type="dxa"/>
            <w:right w:w="108" w:type="dxa"/>
          </w:tblCellMar>
        </w:tblPrEx>
        <w:trPr>
          <w:cantSplit/>
          <w:trHeight w:val="676" w:hRule="atLeast"/>
        </w:trPr>
        <w:tc>
          <w:tcPr>
            <w:tcW w:w="1140" w:type="dxa"/>
            <w:tcBorders>
              <w:top w:val="nil"/>
              <w:left w:val="single" w:color="auto" w:sz="4" w:space="0"/>
              <w:bottom w:val="single" w:color="auto" w:sz="4" w:space="0"/>
              <w:right w:val="single" w:color="auto" w:sz="4" w:space="0"/>
            </w:tcBorders>
            <w:vAlign w:val="center"/>
          </w:tcPr>
          <w:p w14:paraId="16DF978E">
            <w:pPr>
              <w:widowControl/>
              <w:jc w:val="center"/>
              <w:rPr>
                <w:b/>
                <w:bCs/>
                <w:kern w:val="0"/>
                <w:sz w:val="24"/>
              </w:rPr>
            </w:pPr>
            <w:r>
              <w:rPr>
                <w:b/>
                <w:bCs/>
                <w:kern w:val="0"/>
                <w:sz w:val="24"/>
              </w:rPr>
              <w:t>1.3</w:t>
            </w:r>
          </w:p>
        </w:tc>
        <w:tc>
          <w:tcPr>
            <w:tcW w:w="3128" w:type="dxa"/>
            <w:tcBorders>
              <w:top w:val="nil"/>
              <w:left w:val="nil"/>
              <w:bottom w:val="single" w:color="auto" w:sz="4" w:space="0"/>
              <w:right w:val="single" w:color="auto" w:sz="4" w:space="0"/>
            </w:tcBorders>
            <w:vAlign w:val="center"/>
          </w:tcPr>
          <w:p w14:paraId="1AC5E221">
            <w:pPr>
              <w:widowControl/>
              <w:jc w:val="left"/>
              <w:rPr>
                <w:rFonts w:ascii="宋体" w:hAnsi="宋体" w:cs="宋体"/>
                <w:b/>
                <w:bCs/>
                <w:kern w:val="0"/>
                <w:sz w:val="24"/>
              </w:rPr>
            </w:pPr>
            <w:r>
              <w:rPr>
                <w:rFonts w:hint="eastAsia" w:ascii="宋体" w:hAnsi="宋体" w:cs="宋体"/>
                <w:b/>
                <w:bCs/>
                <w:kern w:val="0"/>
                <w:sz w:val="24"/>
              </w:rPr>
              <w:t>新建动植物公园工程</w:t>
            </w:r>
          </w:p>
        </w:tc>
        <w:tc>
          <w:tcPr>
            <w:tcW w:w="1984" w:type="dxa"/>
            <w:tcBorders>
              <w:top w:val="nil"/>
              <w:left w:val="nil"/>
              <w:bottom w:val="single" w:color="auto" w:sz="4" w:space="0"/>
              <w:right w:val="single" w:color="auto" w:sz="4" w:space="0"/>
            </w:tcBorders>
            <w:vAlign w:val="center"/>
          </w:tcPr>
          <w:p w14:paraId="3480C0AA">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4A6C07D5">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2D755A8F">
            <w:pPr>
              <w:widowControl/>
              <w:jc w:val="center"/>
              <w:rPr>
                <w:b/>
                <w:bCs/>
                <w:kern w:val="0"/>
                <w:sz w:val="24"/>
              </w:rPr>
            </w:pPr>
            <w:r>
              <w:rPr>
                <w:b/>
                <w:bCs/>
                <w:kern w:val="0"/>
                <w:sz w:val="24"/>
              </w:rPr>
              <w:t>611000</w:t>
            </w:r>
          </w:p>
        </w:tc>
        <w:tc>
          <w:tcPr>
            <w:tcW w:w="1559" w:type="dxa"/>
            <w:tcBorders>
              <w:top w:val="nil"/>
              <w:left w:val="nil"/>
              <w:bottom w:val="single" w:color="auto" w:sz="4" w:space="0"/>
              <w:right w:val="single" w:color="auto" w:sz="4" w:space="0"/>
            </w:tcBorders>
            <w:vAlign w:val="center"/>
          </w:tcPr>
          <w:p w14:paraId="0A1FF42C">
            <w:pPr>
              <w:widowControl/>
              <w:jc w:val="center"/>
              <w:rPr>
                <w:b/>
                <w:bCs/>
                <w:kern w:val="0"/>
                <w:sz w:val="24"/>
              </w:rPr>
            </w:pPr>
            <w:r>
              <w:rPr>
                <w:b/>
                <w:bCs/>
                <w:kern w:val="0"/>
                <w:sz w:val="24"/>
              </w:rPr>
              <w:t>100000</w:t>
            </w:r>
          </w:p>
        </w:tc>
        <w:tc>
          <w:tcPr>
            <w:tcW w:w="1559" w:type="dxa"/>
            <w:tcBorders>
              <w:top w:val="nil"/>
              <w:left w:val="nil"/>
              <w:bottom w:val="single" w:color="auto" w:sz="4" w:space="0"/>
              <w:right w:val="single" w:color="auto" w:sz="4" w:space="0"/>
            </w:tcBorders>
            <w:vAlign w:val="center"/>
          </w:tcPr>
          <w:p w14:paraId="06E6F5C2">
            <w:pPr>
              <w:widowControl/>
              <w:jc w:val="center"/>
              <w:rPr>
                <w:b/>
                <w:bCs/>
                <w:kern w:val="0"/>
                <w:sz w:val="24"/>
              </w:rPr>
            </w:pPr>
            <w:r>
              <w:rPr>
                <w:b/>
                <w:bCs/>
                <w:kern w:val="0"/>
                <w:sz w:val="24"/>
              </w:rPr>
              <w:t>511000</w:t>
            </w:r>
          </w:p>
        </w:tc>
        <w:tc>
          <w:tcPr>
            <w:tcW w:w="1276" w:type="dxa"/>
            <w:tcBorders>
              <w:top w:val="nil"/>
              <w:left w:val="nil"/>
              <w:bottom w:val="single" w:color="auto" w:sz="4" w:space="0"/>
              <w:right w:val="single" w:color="auto" w:sz="4" w:space="0"/>
            </w:tcBorders>
            <w:vAlign w:val="center"/>
          </w:tcPr>
          <w:p w14:paraId="656EC8AC">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66156D56">
            <w:pPr>
              <w:widowControl/>
              <w:jc w:val="center"/>
              <w:rPr>
                <w:b/>
                <w:bCs/>
                <w:kern w:val="0"/>
                <w:sz w:val="24"/>
              </w:rPr>
            </w:pPr>
            <w:r>
              <w:rPr>
                <w:b/>
                <w:bCs/>
                <w:kern w:val="0"/>
                <w:sz w:val="24"/>
              </w:rPr>
              <w:t>　</w:t>
            </w:r>
          </w:p>
        </w:tc>
      </w:tr>
      <w:tr w14:paraId="164C8273">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13BCF308">
            <w:pPr>
              <w:widowControl/>
              <w:jc w:val="center"/>
              <w:rPr>
                <w:kern w:val="0"/>
                <w:sz w:val="24"/>
              </w:rPr>
            </w:pPr>
            <w:r>
              <w:rPr>
                <w:kern w:val="0"/>
                <w:sz w:val="24"/>
              </w:rPr>
              <w:t>1.3.1</w:t>
            </w:r>
          </w:p>
        </w:tc>
        <w:tc>
          <w:tcPr>
            <w:tcW w:w="3128" w:type="dxa"/>
            <w:tcBorders>
              <w:top w:val="nil"/>
              <w:left w:val="nil"/>
              <w:bottom w:val="single" w:color="auto" w:sz="4" w:space="0"/>
              <w:right w:val="single" w:color="auto" w:sz="4" w:space="0"/>
            </w:tcBorders>
            <w:vAlign w:val="center"/>
          </w:tcPr>
          <w:p w14:paraId="52C44163">
            <w:pPr>
              <w:widowControl/>
              <w:jc w:val="left"/>
              <w:rPr>
                <w:kern w:val="0"/>
                <w:sz w:val="24"/>
              </w:rPr>
            </w:pPr>
            <w:r>
              <w:rPr>
                <w:rFonts w:hint="eastAsia" w:ascii="宋体" w:hAnsi="宋体"/>
                <w:kern w:val="0"/>
                <w:sz w:val="24"/>
              </w:rPr>
              <w:t>三亚市野生动物园</w:t>
            </w:r>
          </w:p>
        </w:tc>
        <w:tc>
          <w:tcPr>
            <w:tcW w:w="1984" w:type="dxa"/>
            <w:tcBorders>
              <w:top w:val="nil"/>
              <w:left w:val="nil"/>
              <w:bottom w:val="single" w:color="auto" w:sz="4" w:space="0"/>
              <w:right w:val="single" w:color="auto" w:sz="4" w:space="0"/>
            </w:tcBorders>
            <w:vAlign w:val="center"/>
          </w:tcPr>
          <w:p w14:paraId="4E0D57BE">
            <w:pPr>
              <w:widowControl/>
              <w:jc w:val="center"/>
              <w:rPr>
                <w:kern w:val="0"/>
                <w:sz w:val="24"/>
              </w:rPr>
            </w:pPr>
            <w:r>
              <w:rPr>
                <w:rFonts w:hint="eastAsia" w:ascii="宋体" w:hAnsi="宋体"/>
                <w:kern w:val="0"/>
                <w:sz w:val="24"/>
              </w:rPr>
              <w:t>育才生态区</w:t>
            </w:r>
          </w:p>
        </w:tc>
        <w:tc>
          <w:tcPr>
            <w:tcW w:w="1236" w:type="dxa"/>
            <w:tcBorders>
              <w:top w:val="nil"/>
              <w:left w:val="nil"/>
              <w:bottom w:val="single" w:color="auto" w:sz="4" w:space="0"/>
              <w:right w:val="single" w:color="auto" w:sz="4" w:space="0"/>
            </w:tcBorders>
            <w:vAlign w:val="center"/>
          </w:tcPr>
          <w:p w14:paraId="70EBF9A0">
            <w:pPr>
              <w:widowControl/>
              <w:jc w:val="center"/>
              <w:rPr>
                <w:kern w:val="0"/>
                <w:sz w:val="24"/>
              </w:rPr>
            </w:pPr>
            <w:r>
              <w:rPr>
                <w:kern w:val="0"/>
                <w:sz w:val="24"/>
              </w:rPr>
              <w:t>333.4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7D454A8">
            <w:pPr>
              <w:widowControl/>
              <w:jc w:val="center"/>
              <w:rPr>
                <w:kern w:val="0"/>
                <w:sz w:val="24"/>
              </w:rPr>
            </w:pPr>
            <w:r>
              <w:rPr>
                <w:kern w:val="0"/>
                <w:sz w:val="24"/>
              </w:rPr>
              <w:t>50000</w:t>
            </w:r>
          </w:p>
        </w:tc>
        <w:tc>
          <w:tcPr>
            <w:tcW w:w="1559" w:type="dxa"/>
            <w:tcBorders>
              <w:top w:val="nil"/>
              <w:left w:val="nil"/>
              <w:bottom w:val="single" w:color="auto" w:sz="4" w:space="0"/>
              <w:right w:val="single" w:color="auto" w:sz="4" w:space="0"/>
            </w:tcBorders>
            <w:vAlign w:val="center"/>
          </w:tcPr>
          <w:p w14:paraId="17C0694E">
            <w:pPr>
              <w:widowControl/>
              <w:jc w:val="center"/>
              <w:rPr>
                <w:kern w:val="0"/>
                <w:sz w:val="24"/>
              </w:rPr>
            </w:pPr>
            <w:r>
              <w:rPr>
                <w:kern w:val="0"/>
                <w:sz w:val="24"/>
              </w:rPr>
              <w:t>50000</w:t>
            </w:r>
          </w:p>
        </w:tc>
        <w:tc>
          <w:tcPr>
            <w:tcW w:w="1559" w:type="dxa"/>
            <w:tcBorders>
              <w:top w:val="nil"/>
              <w:left w:val="nil"/>
              <w:bottom w:val="single" w:color="auto" w:sz="4" w:space="0"/>
              <w:right w:val="single" w:color="auto" w:sz="4" w:space="0"/>
            </w:tcBorders>
            <w:vAlign w:val="center"/>
          </w:tcPr>
          <w:p w14:paraId="4B94989F">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1EAFE9F3">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5DAECF1D">
            <w:pPr>
              <w:widowControl/>
              <w:jc w:val="center"/>
              <w:rPr>
                <w:b/>
                <w:bCs/>
                <w:kern w:val="0"/>
                <w:sz w:val="24"/>
              </w:rPr>
            </w:pPr>
            <w:r>
              <w:rPr>
                <w:b/>
                <w:bCs/>
                <w:kern w:val="0"/>
                <w:sz w:val="24"/>
              </w:rPr>
              <w:t>　</w:t>
            </w:r>
          </w:p>
        </w:tc>
      </w:tr>
      <w:tr w14:paraId="3A89033F">
        <w:tblPrEx>
          <w:tblCellMar>
            <w:top w:w="0" w:type="dxa"/>
            <w:left w:w="108" w:type="dxa"/>
            <w:bottom w:w="0" w:type="dxa"/>
            <w:right w:w="108" w:type="dxa"/>
          </w:tblCellMar>
        </w:tblPrEx>
        <w:trPr>
          <w:cantSplit/>
          <w:trHeight w:val="570" w:hRule="atLeast"/>
        </w:trPr>
        <w:tc>
          <w:tcPr>
            <w:tcW w:w="1140" w:type="dxa"/>
            <w:tcBorders>
              <w:top w:val="single" w:color="auto" w:sz="4" w:space="0"/>
              <w:left w:val="single" w:color="auto" w:sz="4" w:space="0"/>
              <w:bottom w:val="single" w:color="auto" w:sz="4" w:space="0"/>
              <w:right w:val="single" w:color="auto" w:sz="4" w:space="0"/>
            </w:tcBorders>
            <w:vAlign w:val="center"/>
          </w:tcPr>
          <w:p w14:paraId="1035335F">
            <w:pPr>
              <w:widowControl/>
              <w:jc w:val="center"/>
              <w:rPr>
                <w:kern w:val="0"/>
                <w:sz w:val="24"/>
              </w:rPr>
            </w:pPr>
            <w:r>
              <w:rPr>
                <w:kern w:val="0"/>
                <w:sz w:val="24"/>
              </w:rPr>
              <w:t>1.3.2</w:t>
            </w:r>
          </w:p>
        </w:tc>
        <w:tc>
          <w:tcPr>
            <w:tcW w:w="3128" w:type="dxa"/>
            <w:tcBorders>
              <w:top w:val="single" w:color="auto" w:sz="4" w:space="0"/>
              <w:left w:val="nil"/>
              <w:bottom w:val="single" w:color="auto" w:sz="4" w:space="0"/>
              <w:right w:val="single" w:color="auto" w:sz="4" w:space="0"/>
            </w:tcBorders>
            <w:vAlign w:val="center"/>
          </w:tcPr>
          <w:p w14:paraId="640082D3">
            <w:pPr>
              <w:widowControl/>
              <w:jc w:val="left"/>
              <w:rPr>
                <w:kern w:val="0"/>
                <w:sz w:val="24"/>
              </w:rPr>
            </w:pPr>
            <w:r>
              <w:rPr>
                <w:rFonts w:hint="eastAsia" w:ascii="宋体" w:hAnsi="宋体"/>
                <w:kern w:val="0"/>
                <w:sz w:val="24"/>
              </w:rPr>
              <w:t>三亚市热带植物园</w:t>
            </w:r>
          </w:p>
        </w:tc>
        <w:tc>
          <w:tcPr>
            <w:tcW w:w="1984" w:type="dxa"/>
            <w:tcBorders>
              <w:top w:val="single" w:color="auto" w:sz="4" w:space="0"/>
              <w:left w:val="nil"/>
              <w:bottom w:val="single" w:color="auto" w:sz="4" w:space="0"/>
              <w:right w:val="single" w:color="auto" w:sz="4" w:space="0"/>
            </w:tcBorders>
            <w:vAlign w:val="center"/>
          </w:tcPr>
          <w:p w14:paraId="02A7C527">
            <w:pPr>
              <w:widowControl/>
              <w:jc w:val="center"/>
              <w:rPr>
                <w:kern w:val="0"/>
                <w:sz w:val="24"/>
              </w:rPr>
            </w:pPr>
            <w:r>
              <w:rPr>
                <w:rFonts w:hint="eastAsia" w:ascii="宋体" w:hAnsi="宋体"/>
                <w:kern w:val="0"/>
                <w:sz w:val="24"/>
              </w:rPr>
              <w:t>天涯海角附近</w:t>
            </w:r>
          </w:p>
        </w:tc>
        <w:tc>
          <w:tcPr>
            <w:tcW w:w="1236" w:type="dxa"/>
            <w:tcBorders>
              <w:top w:val="single" w:color="auto" w:sz="4" w:space="0"/>
              <w:left w:val="nil"/>
              <w:bottom w:val="single" w:color="auto" w:sz="4" w:space="0"/>
              <w:right w:val="single" w:color="auto" w:sz="4" w:space="0"/>
            </w:tcBorders>
            <w:vAlign w:val="center"/>
          </w:tcPr>
          <w:p w14:paraId="79431D3D">
            <w:pPr>
              <w:widowControl/>
              <w:jc w:val="center"/>
              <w:rPr>
                <w:kern w:val="0"/>
                <w:sz w:val="24"/>
              </w:rPr>
            </w:pPr>
            <w:r>
              <w:rPr>
                <w:kern w:val="0"/>
                <w:sz w:val="24"/>
              </w:rPr>
              <w:t>433.4 hm</w:t>
            </w:r>
            <w:r>
              <w:rPr>
                <w:kern w:val="0"/>
                <w:sz w:val="24"/>
                <w:vertAlign w:val="superscript"/>
              </w:rPr>
              <w:t>2</w:t>
            </w:r>
          </w:p>
        </w:tc>
        <w:tc>
          <w:tcPr>
            <w:tcW w:w="1701" w:type="dxa"/>
            <w:tcBorders>
              <w:top w:val="single" w:color="auto" w:sz="4" w:space="0"/>
              <w:left w:val="nil"/>
              <w:bottom w:val="single" w:color="auto" w:sz="4" w:space="0"/>
              <w:right w:val="single" w:color="auto" w:sz="4" w:space="0"/>
            </w:tcBorders>
            <w:vAlign w:val="center"/>
          </w:tcPr>
          <w:p w14:paraId="1EC5B695">
            <w:pPr>
              <w:widowControl/>
              <w:jc w:val="center"/>
              <w:rPr>
                <w:kern w:val="0"/>
                <w:sz w:val="24"/>
              </w:rPr>
            </w:pPr>
            <w:r>
              <w:rPr>
                <w:kern w:val="0"/>
                <w:sz w:val="24"/>
              </w:rPr>
              <w:t>130000</w:t>
            </w:r>
          </w:p>
        </w:tc>
        <w:tc>
          <w:tcPr>
            <w:tcW w:w="1559" w:type="dxa"/>
            <w:tcBorders>
              <w:top w:val="single" w:color="auto" w:sz="4" w:space="0"/>
              <w:left w:val="nil"/>
              <w:bottom w:val="single" w:color="auto" w:sz="4" w:space="0"/>
              <w:right w:val="single" w:color="auto" w:sz="4" w:space="0"/>
            </w:tcBorders>
            <w:vAlign w:val="center"/>
          </w:tcPr>
          <w:p w14:paraId="21FA41A1">
            <w:pPr>
              <w:widowControl/>
              <w:jc w:val="center"/>
              <w:rPr>
                <w:kern w:val="0"/>
                <w:sz w:val="24"/>
              </w:rPr>
            </w:pPr>
            <w:r>
              <w:rPr>
                <w:kern w:val="0"/>
                <w:sz w:val="24"/>
              </w:rPr>
              <w:t>50000</w:t>
            </w:r>
          </w:p>
        </w:tc>
        <w:tc>
          <w:tcPr>
            <w:tcW w:w="1559" w:type="dxa"/>
            <w:tcBorders>
              <w:top w:val="single" w:color="auto" w:sz="4" w:space="0"/>
              <w:left w:val="nil"/>
              <w:bottom w:val="single" w:color="auto" w:sz="4" w:space="0"/>
              <w:right w:val="single" w:color="auto" w:sz="4" w:space="0"/>
            </w:tcBorders>
            <w:vAlign w:val="center"/>
          </w:tcPr>
          <w:p w14:paraId="18B48C9E">
            <w:pPr>
              <w:widowControl/>
              <w:jc w:val="center"/>
              <w:rPr>
                <w:kern w:val="0"/>
                <w:sz w:val="24"/>
              </w:rPr>
            </w:pPr>
            <w:r>
              <w:rPr>
                <w:kern w:val="0"/>
                <w:sz w:val="24"/>
              </w:rPr>
              <w:t>80000</w:t>
            </w:r>
          </w:p>
        </w:tc>
        <w:tc>
          <w:tcPr>
            <w:tcW w:w="1276" w:type="dxa"/>
            <w:tcBorders>
              <w:top w:val="single" w:color="auto" w:sz="4" w:space="0"/>
              <w:left w:val="nil"/>
              <w:bottom w:val="single" w:color="auto" w:sz="4" w:space="0"/>
              <w:right w:val="single" w:color="auto" w:sz="4" w:space="0"/>
            </w:tcBorders>
            <w:vAlign w:val="center"/>
          </w:tcPr>
          <w:p w14:paraId="618335AE">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single" w:color="auto" w:sz="4" w:space="0"/>
              <w:left w:val="nil"/>
              <w:bottom w:val="single" w:color="auto" w:sz="4" w:space="0"/>
              <w:right w:val="single" w:color="auto" w:sz="4" w:space="0"/>
            </w:tcBorders>
            <w:vAlign w:val="center"/>
          </w:tcPr>
          <w:p w14:paraId="01AF3B77">
            <w:pPr>
              <w:widowControl/>
              <w:jc w:val="center"/>
              <w:rPr>
                <w:b/>
                <w:bCs/>
                <w:kern w:val="0"/>
                <w:sz w:val="24"/>
              </w:rPr>
            </w:pPr>
            <w:r>
              <w:rPr>
                <w:b/>
                <w:bCs/>
                <w:kern w:val="0"/>
                <w:sz w:val="24"/>
              </w:rPr>
              <w:t>　</w:t>
            </w:r>
          </w:p>
        </w:tc>
      </w:tr>
      <w:tr w14:paraId="2B4D725C">
        <w:tblPrEx>
          <w:tblCellMar>
            <w:top w:w="0" w:type="dxa"/>
            <w:left w:w="108" w:type="dxa"/>
            <w:bottom w:w="0" w:type="dxa"/>
            <w:right w:w="108" w:type="dxa"/>
          </w:tblCellMar>
        </w:tblPrEx>
        <w:trPr>
          <w:cantSplit/>
          <w:trHeight w:val="855" w:hRule="atLeast"/>
        </w:trPr>
        <w:tc>
          <w:tcPr>
            <w:tcW w:w="1140" w:type="dxa"/>
            <w:tcBorders>
              <w:top w:val="nil"/>
              <w:left w:val="single" w:color="auto" w:sz="4" w:space="0"/>
              <w:bottom w:val="single" w:color="auto" w:sz="4" w:space="0"/>
              <w:right w:val="single" w:color="auto" w:sz="4" w:space="0"/>
            </w:tcBorders>
            <w:vAlign w:val="center"/>
          </w:tcPr>
          <w:p w14:paraId="354E5883">
            <w:pPr>
              <w:widowControl/>
              <w:jc w:val="center"/>
              <w:rPr>
                <w:kern w:val="0"/>
                <w:sz w:val="24"/>
              </w:rPr>
            </w:pPr>
            <w:r>
              <w:rPr>
                <w:kern w:val="0"/>
                <w:sz w:val="24"/>
              </w:rPr>
              <w:t>1.3.3</w:t>
            </w:r>
          </w:p>
        </w:tc>
        <w:tc>
          <w:tcPr>
            <w:tcW w:w="3128" w:type="dxa"/>
            <w:tcBorders>
              <w:top w:val="nil"/>
              <w:left w:val="nil"/>
              <w:bottom w:val="single" w:color="auto" w:sz="4" w:space="0"/>
              <w:right w:val="single" w:color="auto" w:sz="4" w:space="0"/>
            </w:tcBorders>
            <w:vAlign w:val="center"/>
          </w:tcPr>
          <w:p w14:paraId="19A67528">
            <w:pPr>
              <w:widowControl/>
              <w:jc w:val="left"/>
              <w:rPr>
                <w:kern w:val="0"/>
                <w:sz w:val="24"/>
              </w:rPr>
            </w:pPr>
            <w:r>
              <w:rPr>
                <w:rFonts w:hint="eastAsia" w:ascii="宋体" w:hAnsi="宋体"/>
                <w:kern w:val="0"/>
                <w:sz w:val="24"/>
              </w:rPr>
              <w:t>福岭森林公园</w:t>
            </w:r>
          </w:p>
        </w:tc>
        <w:tc>
          <w:tcPr>
            <w:tcW w:w="1984" w:type="dxa"/>
            <w:tcBorders>
              <w:top w:val="nil"/>
              <w:left w:val="nil"/>
              <w:bottom w:val="single" w:color="auto" w:sz="4" w:space="0"/>
              <w:right w:val="single" w:color="auto" w:sz="4" w:space="0"/>
            </w:tcBorders>
            <w:vAlign w:val="center"/>
          </w:tcPr>
          <w:p w14:paraId="21E931A9">
            <w:pPr>
              <w:widowControl/>
              <w:jc w:val="center"/>
              <w:rPr>
                <w:kern w:val="0"/>
                <w:sz w:val="24"/>
              </w:rPr>
            </w:pPr>
            <w:r>
              <w:rPr>
                <w:rFonts w:hint="eastAsia" w:ascii="宋体" w:hAnsi="宋体"/>
                <w:kern w:val="0"/>
                <w:sz w:val="24"/>
              </w:rPr>
              <w:t>天涯区三亚绕城高速公路北侧</w:t>
            </w:r>
          </w:p>
        </w:tc>
        <w:tc>
          <w:tcPr>
            <w:tcW w:w="1236" w:type="dxa"/>
            <w:tcBorders>
              <w:top w:val="nil"/>
              <w:left w:val="nil"/>
              <w:bottom w:val="single" w:color="auto" w:sz="4" w:space="0"/>
              <w:right w:val="single" w:color="auto" w:sz="4" w:space="0"/>
            </w:tcBorders>
            <w:vAlign w:val="center"/>
          </w:tcPr>
          <w:p w14:paraId="0A22E7BB">
            <w:pPr>
              <w:widowControl/>
              <w:jc w:val="center"/>
              <w:rPr>
                <w:kern w:val="0"/>
                <w:sz w:val="24"/>
              </w:rPr>
            </w:pPr>
            <w:r>
              <w:rPr>
                <w:kern w:val="0"/>
                <w:sz w:val="24"/>
              </w:rPr>
              <w:t>1845.85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7820A169">
            <w:pPr>
              <w:widowControl/>
              <w:jc w:val="center"/>
              <w:rPr>
                <w:kern w:val="0"/>
                <w:sz w:val="24"/>
              </w:rPr>
            </w:pPr>
            <w:r>
              <w:rPr>
                <w:kern w:val="0"/>
                <w:sz w:val="24"/>
              </w:rPr>
              <w:t>174000</w:t>
            </w:r>
          </w:p>
        </w:tc>
        <w:tc>
          <w:tcPr>
            <w:tcW w:w="1559" w:type="dxa"/>
            <w:tcBorders>
              <w:top w:val="nil"/>
              <w:left w:val="nil"/>
              <w:bottom w:val="single" w:color="auto" w:sz="4" w:space="0"/>
              <w:right w:val="single" w:color="auto" w:sz="4" w:space="0"/>
            </w:tcBorders>
            <w:vAlign w:val="center"/>
          </w:tcPr>
          <w:p w14:paraId="16DD26FE">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3D2D9CD7">
            <w:pPr>
              <w:widowControl/>
              <w:jc w:val="center"/>
              <w:rPr>
                <w:kern w:val="0"/>
                <w:sz w:val="24"/>
              </w:rPr>
            </w:pPr>
            <w:r>
              <w:rPr>
                <w:kern w:val="0"/>
                <w:sz w:val="24"/>
              </w:rPr>
              <w:t>174000</w:t>
            </w:r>
          </w:p>
        </w:tc>
        <w:tc>
          <w:tcPr>
            <w:tcW w:w="1276" w:type="dxa"/>
            <w:tcBorders>
              <w:top w:val="nil"/>
              <w:left w:val="nil"/>
              <w:bottom w:val="single" w:color="auto" w:sz="4" w:space="0"/>
              <w:right w:val="single" w:color="auto" w:sz="4" w:space="0"/>
            </w:tcBorders>
            <w:vAlign w:val="center"/>
          </w:tcPr>
          <w:p w14:paraId="19E6B149">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422BF471">
            <w:pPr>
              <w:widowControl/>
              <w:jc w:val="center"/>
              <w:rPr>
                <w:b/>
                <w:bCs/>
                <w:kern w:val="0"/>
                <w:sz w:val="24"/>
              </w:rPr>
            </w:pPr>
            <w:r>
              <w:rPr>
                <w:b/>
                <w:bCs/>
                <w:kern w:val="0"/>
                <w:sz w:val="24"/>
              </w:rPr>
              <w:t>　</w:t>
            </w:r>
          </w:p>
        </w:tc>
      </w:tr>
      <w:tr w14:paraId="7566992B">
        <w:tblPrEx>
          <w:tblCellMar>
            <w:top w:w="0" w:type="dxa"/>
            <w:left w:w="108" w:type="dxa"/>
            <w:bottom w:w="0" w:type="dxa"/>
            <w:right w:w="108" w:type="dxa"/>
          </w:tblCellMar>
        </w:tblPrEx>
        <w:trPr>
          <w:cantSplit/>
          <w:trHeight w:val="570" w:hRule="atLeast"/>
        </w:trPr>
        <w:tc>
          <w:tcPr>
            <w:tcW w:w="1140" w:type="dxa"/>
            <w:tcBorders>
              <w:top w:val="single" w:color="auto" w:sz="4" w:space="0"/>
              <w:left w:val="single" w:color="auto" w:sz="4" w:space="0"/>
              <w:bottom w:val="single" w:color="auto" w:sz="4" w:space="0"/>
              <w:right w:val="single" w:color="auto" w:sz="4" w:space="0"/>
            </w:tcBorders>
            <w:vAlign w:val="center"/>
          </w:tcPr>
          <w:p w14:paraId="55290F0F">
            <w:pPr>
              <w:widowControl/>
              <w:jc w:val="center"/>
              <w:rPr>
                <w:kern w:val="0"/>
                <w:sz w:val="24"/>
              </w:rPr>
            </w:pPr>
            <w:r>
              <w:rPr>
                <w:kern w:val="0"/>
                <w:sz w:val="24"/>
              </w:rPr>
              <w:t>1.3.4</w:t>
            </w:r>
          </w:p>
        </w:tc>
        <w:tc>
          <w:tcPr>
            <w:tcW w:w="3128" w:type="dxa"/>
            <w:tcBorders>
              <w:top w:val="single" w:color="auto" w:sz="4" w:space="0"/>
              <w:left w:val="single" w:color="auto" w:sz="4" w:space="0"/>
              <w:bottom w:val="single" w:color="auto" w:sz="4" w:space="0"/>
              <w:right w:val="single" w:color="auto" w:sz="4" w:space="0"/>
            </w:tcBorders>
            <w:vAlign w:val="center"/>
          </w:tcPr>
          <w:p w14:paraId="233391E9">
            <w:pPr>
              <w:widowControl/>
              <w:jc w:val="left"/>
              <w:rPr>
                <w:kern w:val="0"/>
                <w:sz w:val="24"/>
              </w:rPr>
            </w:pPr>
            <w:r>
              <w:rPr>
                <w:rFonts w:hint="eastAsia" w:ascii="宋体" w:hAnsi="宋体"/>
                <w:kern w:val="0"/>
                <w:sz w:val="24"/>
              </w:rPr>
              <w:t>北山森林公园</w:t>
            </w:r>
          </w:p>
        </w:tc>
        <w:tc>
          <w:tcPr>
            <w:tcW w:w="1984" w:type="dxa"/>
            <w:tcBorders>
              <w:top w:val="single" w:color="auto" w:sz="4" w:space="0"/>
              <w:left w:val="single" w:color="auto" w:sz="4" w:space="0"/>
              <w:bottom w:val="single" w:color="auto" w:sz="4" w:space="0"/>
              <w:right w:val="single" w:color="auto" w:sz="4" w:space="0"/>
            </w:tcBorders>
            <w:vAlign w:val="center"/>
          </w:tcPr>
          <w:p w14:paraId="0C715ADC">
            <w:pPr>
              <w:widowControl/>
              <w:jc w:val="center"/>
              <w:rPr>
                <w:kern w:val="0"/>
                <w:sz w:val="24"/>
              </w:rPr>
            </w:pPr>
            <w:r>
              <w:rPr>
                <w:rFonts w:hint="eastAsia" w:ascii="宋体" w:hAnsi="宋体"/>
                <w:kern w:val="0"/>
                <w:sz w:val="24"/>
              </w:rPr>
              <w:t>海棠区北山村</w:t>
            </w:r>
          </w:p>
        </w:tc>
        <w:tc>
          <w:tcPr>
            <w:tcW w:w="1236" w:type="dxa"/>
            <w:tcBorders>
              <w:top w:val="single" w:color="auto" w:sz="4" w:space="0"/>
              <w:left w:val="single" w:color="auto" w:sz="4" w:space="0"/>
              <w:bottom w:val="single" w:color="auto" w:sz="4" w:space="0"/>
              <w:right w:val="single" w:color="auto" w:sz="4" w:space="0"/>
            </w:tcBorders>
            <w:vAlign w:val="center"/>
          </w:tcPr>
          <w:p w14:paraId="73B75AC6">
            <w:pPr>
              <w:widowControl/>
              <w:jc w:val="center"/>
              <w:rPr>
                <w:kern w:val="0"/>
                <w:sz w:val="24"/>
              </w:rPr>
            </w:pPr>
            <w:r>
              <w:rPr>
                <w:kern w:val="0"/>
                <w:sz w:val="24"/>
              </w:rPr>
              <w:t>512.05</w:t>
            </w:r>
            <w:r>
              <w:rPr>
                <w:kern w:val="0"/>
                <w:sz w:val="24"/>
                <w:vertAlign w:val="superscript"/>
              </w:rPr>
              <w:t xml:space="preserve"> </w:t>
            </w:r>
            <w:r>
              <w:rPr>
                <w:kern w:val="0"/>
                <w:sz w:val="24"/>
              </w:rPr>
              <w:t>hm</w:t>
            </w:r>
            <w:r>
              <w:rPr>
                <w:kern w:val="0"/>
                <w:sz w:val="24"/>
                <w:vertAlign w:val="superscript"/>
              </w:rPr>
              <w:t>2</w:t>
            </w:r>
          </w:p>
        </w:tc>
        <w:tc>
          <w:tcPr>
            <w:tcW w:w="1701" w:type="dxa"/>
            <w:tcBorders>
              <w:top w:val="single" w:color="auto" w:sz="4" w:space="0"/>
              <w:left w:val="single" w:color="auto" w:sz="4" w:space="0"/>
              <w:bottom w:val="single" w:color="auto" w:sz="4" w:space="0"/>
              <w:right w:val="single" w:color="auto" w:sz="4" w:space="0"/>
            </w:tcBorders>
            <w:vAlign w:val="center"/>
          </w:tcPr>
          <w:p w14:paraId="5C224840">
            <w:pPr>
              <w:widowControl/>
              <w:jc w:val="center"/>
              <w:rPr>
                <w:kern w:val="0"/>
                <w:sz w:val="24"/>
              </w:rPr>
            </w:pPr>
            <w:r>
              <w:rPr>
                <w:kern w:val="0"/>
                <w:sz w:val="24"/>
              </w:rPr>
              <w:t>27000</w:t>
            </w:r>
          </w:p>
        </w:tc>
        <w:tc>
          <w:tcPr>
            <w:tcW w:w="1559" w:type="dxa"/>
            <w:tcBorders>
              <w:top w:val="single" w:color="auto" w:sz="4" w:space="0"/>
              <w:left w:val="single" w:color="auto" w:sz="4" w:space="0"/>
              <w:bottom w:val="single" w:color="auto" w:sz="4" w:space="0"/>
              <w:right w:val="single" w:color="auto" w:sz="4" w:space="0"/>
            </w:tcBorders>
            <w:vAlign w:val="center"/>
          </w:tcPr>
          <w:p w14:paraId="2A3AB5DD">
            <w:pPr>
              <w:widowControl/>
              <w:jc w:val="center"/>
              <w:rPr>
                <w:kern w:val="0"/>
                <w:sz w:val="24"/>
              </w:rPr>
            </w:pPr>
            <w:r>
              <w:rPr>
                <w:kern w:val="0"/>
                <w:sz w:val="24"/>
              </w:rPr>
              <w:t>—</w:t>
            </w:r>
          </w:p>
        </w:tc>
        <w:tc>
          <w:tcPr>
            <w:tcW w:w="1559" w:type="dxa"/>
            <w:tcBorders>
              <w:top w:val="single" w:color="auto" w:sz="4" w:space="0"/>
              <w:left w:val="single" w:color="auto" w:sz="4" w:space="0"/>
              <w:bottom w:val="single" w:color="auto" w:sz="4" w:space="0"/>
              <w:right w:val="single" w:color="auto" w:sz="4" w:space="0"/>
            </w:tcBorders>
            <w:vAlign w:val="center"/>
          </w:tcPr>
          <w:p w14:paraId="295FA75E">
            <w:pPr>
              <w:widowControl/>
              <w:jc w:val="center"/>
              <w:rPr>
                <w:kern w:val="0"/>
                <w:sz w:val="24"/>
              </w:rPr>
            </w:pPr>
            <w:r>
              <w:rPr>
                <w:kern w:val="0"/>
                <w:sz w:val="24"/>
              </w:rPr>
              <w:t>27000</w:t>
            </w:r>
          </w:p>
        </w:tc>
        <w:tc>
          <w:tcPr>
            <w:tcW w:w="1276" w:type="dxa"/>
            <w:tcBorders>
              <w:top w:val="single" w:color="auto" w:sz="4" w:space="0"/>
              <w:left w:val="single" w:color="auto" w:sz="4" w:space="0"/>
              <w:bottom w:val="single" w:color="auto" w:sz="4" w:space="0"/>
              <w:right w:val="single" w:color="auto" w:sz="4" w:space="0"/>
            </w:tcBorders>
            <w:vAlign w:val="center"/>
          </w:tcPr>
          <w:p w14:paraId="55A490F2">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single" w:color="auto" w:sz="4" w:space="0"/>
              <w:left w:val="single" w:color="auto" w:sz="4" w:space="0"/>
              <w:bottom w:val="single" w:color="auto" w:sz="4" w:space="0"/>
              <w:right w:val="single" w:color="auto" w:sz="4" w:space="0"/>
            </w:tcBorders>
            <w:vAlign w:val="center"/>
          </w:tcPr>
          <w:p w14:paraId="25597EEA">
            <w:pPr>
              <w:widowControl/>
              <w:jc w:val="center"/>
              <w:rPr>
                <w:b/>
                <w:bCs/>
                <w:kern w:val="0"/>
                <w:sz w:val="24"/>
              </w:rPr>
            </w:pPr>
            <w:r>
              <w:rPr>
                <w:b/>
                <w:bCs/>
                <w:kern w:val="0"/>
                <w:sz w:val="24"/>
              </w:rPr>
              <w:t>　</w:t>
            </w:r>
          </w:p>
        </w:tc>
      </w:tr>
      <w:tr w14:paraId="3951E1B7">
        <w:tblPrEx>
          <w:tblCellMar>
            <w:top w:w="0" w:type="dxa"/>
            <w:left w:w="108" w:type="dxa"/>
            <w:bottom w:w="0" w:type="dxa"/>
            <w:right w:w="108" w:type="dxa"/>
          </w:tblCellMar>
        </w:tblPrEx>
        <w:trPr>
          <w:cantSplit/>
          <w:trHeight w:val="570" w:hRule="atLeast"/>
        </w:trPr>
        <w:tc>
          <w:tcPr>
            <w:tcW w:w="1140" w:type="dxa"/>
            <w:tcBorders>
              <w:top w:val="single" w:color="auto" w:sz="4" w:space="0"/>
              <w:left w:val="single" w:color="auto" w:sz="4" w:space="0"/>
              <w:bottom w:val="single" w:color="auto" w:sz="4" w:space="0"/>
              <w:right w:val="single" w:color="auto" w:sz="4" w:space="0"/>
            </w:tcBorders>
            <w:vAlign w:val="center"/>
          </w:tcPr>
          <w:p w14:paraId="7C0EEF5E">
            <w:pPr>
              <w:widowControl/>
              <w:jc w:val="center"/>
              <w:rPr>
                <w:kern w:val="0"/>
                <w:sz w:val="24"/>
              </w:rPr>
            </w:pPr>
            <w:r>
              <w:rPr>
                <w:kern w:val="0"/>
                <w:sz w:val="24"/>
              </w:rPr>
              <w:t>1.3.5</w:t>
            </w:r>
          </w:p>
        </w:tc>
        <w:tc>
          <w:tcPr>
            <w:tcW w:w="3128" w:type="dxa"/>
            <w:tcBorders>
              <w:top w:val="single" w:color="auto" w:sz="4" w:space="0"/>
              <w:left w:val="nil"/>
              <w:bottom w:val="single" w:color="auto" w:sz="4" w:space="0"/>
              <w:right w:val="single" w:color="auto" w:sz="4" w:space="0"/>
            </w:tcBorders>
            <w:vAlign w:val="center"/>
          </w:tcPr>
          <w:p w14:paraId="6401E6F3">
            <w:pPr>
              <w:widowControl/>
              <w:jc w:val="left"/>
              <w:rPr>
                <w:rFonts w:ascii="宋体" w:hAnsi="宋体" w:cs="宋体"/>
                <w:kern w:val="0"/>
                <w:sz w:val="24"/>
              </w:rPr>
            </w:pPr>
            <w:r>
              <w:rPr>
                <w:rFonts w:hint="eastAsia" w:ascii="宋体" w:hAnsi="宋体" w:cs="宋体"/>
                <w:kern w:val="0"/>
                <w:sz w:val="24"/>
              </w:rPr>
              <w:t>凤岭诺丽热带森林公园</w:t>
            </w:r>
          </w:p>
        </w:tc>
        <w:tc>
          <w:tcPr>
            <w:tcW w:w="1984" w:type="dxa"/>
            <w:tcBorders>
              <w:top w:val="single" w:color="auto" w:sz="4" w:space="0"/>
              <w:left w:val="nil"/>
              <w:bottom w:val="single" w:color="auto" w:sz="4" w:space="0"/>
              <w:right w:val="single" w:color="auto" w:sz="4" w:space="0"/>
            </w:tcBorders>
            <w:vAlign w:val="center"/>
          </w:tcPr>
          <w:p w14:paraId="3805F795">
            <w:pPr>
              <w:widowControl/>
              <w:jc w:val="center"/>
              <w:rPr>
                <w:kern w:val="0"/>
                <w:sz w:val="24"/>
              </w:rPr>
            </w:pPr>
            <w:r>
              <w:rPr>
                <w:rFonts w:hint="eastAsia" w:ascii="宋体" w:hAnsi="宋体"/>
                <w:kern w:val="0"/>
                <w:sz w:val="24"/>
              </w:rPr>
              <w:t>崖州区</w:t>
            </w:r>
          </w:p>
        </w:tc>
        <w:tc>
          <w:tcPr>
            <w:tcW w:w="1236" w:type="dxa"/>
            <w:tcBorders>
              <w:top w:val="single" w:color="auto" w:sz="4" w:space="0"/>
              <w:left w:val="nil"/>
              <w:bottom w:val="single" w:color="auto" w:sz="4" w:space="0"/>
              <w:right w:val="single" w:color="auto" w:sz="4" w:space="0"/>
            </w:tcBorders>
            <w:vAlign w:val="center"/>
          </w:tcPr>
          <w:p w14:paraId="57F7D9E8">
            <w:pPr>
              <w:widowControl/>
              <w:jc w:val="center"/>
              <w:rPr>
                <w:kern w:val="0"/>
                <w:sz w:val="24"/>
              </w:rPr>
            </w:pPr>
            <w:r>
              <w:rPr>
                <w:kern w:val="0"/>
                <w:sz w:val="24"/>
              </w:rPr>
              <w:t>1180.81 hm</w:t>
            </w:r>
            <w:r>
              <w:rPr>
                <w:kern w:val="0"/>
                <w:sz w:val="24"/>
                <w:vertAlign w:val="superscript"/>
              </w:rPr>
              <w:t>2</w:t>
            </w:r>
          </w:p>
        </w:tc>
        <w:tc>
          <w:tcPr>
            <w:tcW w:w="1701" w:type="dxa"/>
            <w:tcBorders>
              <w:top w:val="single" w:color="auto" w:sz="4" w:space="0"/>
              <w:left w:val="nil"/>
              <w:bottom w:val="single" w:color="auto" w:sz="4" w:space="0"/>
              <w:right w:val="single" w:color="auto" w:sz="4" w:space="0"/>
            </w:tcBorders>
            <w:vAlign w:val="center"/>
          </w:tcPr>
          <w:p w14:paraId="5A6F7DC2">
            <w:pPr>
              <w:widowControl/>
              <w:jc w:val="center"/>
              <w:rPr>
                <w:kern w:val="0"/>
                <w:sz w:val="24"/>
              </w:rPr>
            </w:pPr>
            <w:r>
              <w:rPr>
                <w:kern w:val="0"/>
                <w:sz w:val="24"/>
              </w:rPr>
              <w:t>80000</w:t>
            </w:r>
          </w:p>
        </w:tc>
        <w:tc>
          <w:tcPr>
            <w:tcW w:w="1559" w:type="dxa"/>
            <w:tcBorders>
              <w:top w:val="single" w:color="auto" w:sz="4" w:space="0"/>
              <w:left w:val="nil"/>
              <w:bottom w:val="single" w:color="auto" w:sz="4" w:space="0"/>
              <w:right w:val="single" w:color="auto" w:sz="4" w:space="0"/>
            </w:tcBorders>
            <w:vAlign w:val="center"/>
          </w:tcPr>
          <w:p w14:paraId="02386B93">
            <w:pPr>
              <w:widowControl/>
              <w:jc w:val="center"/>
              <w:rPr>
                <w:kern w:val="0"/>
                <w:sz w:val="24"/>
              </w:rPr>
            </w:pPr>
            <w:r>
              <w:rPr>
                <w:kern w:val="0"/>
                <w:sz w:val="24"/>
              </w:rPr>
              <w:t>—</w:t>
            </w:r>
          </w:p>
        </w:tc>
        <w:tc>
          <w:tcPr>
            <w:tcW w:w="1559" w:type="dxa"/>
            <w:tcBorders>
              <w:top w:val="single" w:color="auto" w:sz="4" w:space="0"/>
              <w:left w:val="nil"/>
              <w:bottom w:val="single" w:color="auto" w:sz="4" w:space="0"/>
              <w:right w:val="single" w:color="auto" w:sz="4" w:space="0"/>
            </w:tcBorders>
            <w:vAlign w:val="center"/>
          </w:tcPr>
          <w:p w14:paraId="49838FB0">
            <w:pPr>
              <w:widowControl/>
              <w:jc w:val="center"/>
              <w:rPr>
                <w:kern w:val="0"/>
                <w:sz w:val="24"/>
              </w:rPr>
            </w:pPr>
            <w:r>
              <w:rPr>
                <w:kern w:val="0"/>
                <w:sz w:val="24"/>
              </w:rPr>
              <w:t>80000</w:t>
            </w:r>
          </w:p>
        </w:tc>
        <w:tc>
          <w:tcPr>
            <w:tcW w:w="1276" w:type="dxa"/>
            <w:tcBorders>
              <w:top w:val="single" w:color="auto" w:sz="4" w:space="0"/>
              <w:left w:val="nil"/>
              <w:bottom w:val="single" w:color="auto" w:sz="4" w:space="0"/>
              <w:right w:val="single" w:color="auto" w:sz="4" w:space="0"/>
            </w:tcBorders>
            <w:vAlign w:val="center"/>
          </w:tcPr>
          <w:p w14:paraId="572C3000">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single" w:color="auto" w:sz="4" w:space="0"/>
              <w:left w:val="nil"/>
              <w:bottom w:val="single" w:color="auto" w:sz="4" w:space="0"/>
              <w:right w:val="single" w:color="auto" w:sz="4" w:space="0"/>
            </w:tcBorders>
            <w:vAlign w:val="center"/>
          </w:tcPr>
          <w:p w14:paraId="553A5168">
            <w:pPr>
              <w:widowControl/>
              <w:jc w:val="center"/>
              <w:rPr>
                <w:b/>
                <w:bCs/>
                <w:kern w:val="0"/>
                <w:sz w:val="24"/>
              </w:rPr>
            </w:pPr>
            <w:r>
              <w:rPr>
                <w:b/>
                <w:bCs/>
                <w:kern w:val="0"/>
                <w:sz w:val="24"/>
              </w:rPr>
              <w:t>　</w:t>
            </w:r>
          </w:p>
        </w:tc>
      </w:tr>
      <w:tr w14:paraId="24AD599F">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154D08A4">
            <w:pPr>
              <w:widowControl/>
              <w:jc w:val="center"/>
              <w:rPr>
                <w:kern w:val="0"/>
                <w:sz w:val="24"/>
              </w:rPr>
            </w:pPr>
            <w:r>
              <w:rPr>
                <w:kern w:val="0"/>
                <w:sz w:val="24"/>
              </w:rPr>
              <w:t>1.3.6</w:t>
            </w:r>
          </w:p>
        </w:tc>
        <w:tc>
          <w:tcPr>
            <w:tcW w:w="3128" w:type="dxa"/>
            <w:tcBorders>
              <w:top w:val="nil"/>
              <w:left w:val="nil"/>
              <w:bottom w:val="single" w:color="auto" w:sz="4" w:space="0"/>
              <w:right w:val="single" w:color="auto" w:sz="4" w:space="0"/>
            </w:tcBorders>
            <w:vAlign w:val="center"/>
          </w:tcPr>
          <w:p w14:paraId="47514947">
            <w:pPr>
              <w:widowControl/>
              <w:jc w:val="left"/>
              <w:rPr>
                <w:kern w:val="0"/>
                <w:sz w:val="24"/>
              </w:rPr>
            </w:pPr>
            <w:r>
              <w:rPr>
                <w:rFonts w:hint="eastAsia" w:ascii="宋体" w:hAnsi="宋体"/>
                <w:kern w:val="0"/>
                <w:sz w:val="24"/>
              </w:rPr>
              <w:t>三亚阜尖岭森林公园</w:t>
            </w:r>
          </w:p>
        </w:tc>
        <w:tc>
          <w:tcPr>
            <w:tcW w:w="1984" w:type="dxa"/>
            <w:tcBorders>
              <w:top w:val="nil"/>
              <w:left w:val="nil"/>
              <w:bottom w:val="single" w:color="auto" w:sz="4" w:space="0"/>
              <w:right w:val="single" w:color="auto" w:sz="4" w:space="0"/>
            </w:tcBorders>
            <w:vAlign w:val="center"/>
          </w:tcPr>
          <w:p w14:paraId="1475107F">
            <w:pPr>
              <w:widowControl/>
              <w:jc w:val="center"/>
              <w:rPr>
                <w:rFonts w:ascii="宋体" w:hAnsi="宋体" w:cs="宋体"/>
                <w:kern w:val="0"/>
                <w:sz w:val="24"/>
              </w:rPr>
            </w:pPr>
            <w:r>
              <w:rPr>
                <w:rFonts w:hint="eastAsia" w:ascii="宋体" w:hAnsi="宋体" w:cs="宋体"/>
                <w:kern w:val="0"/>
                <w:sz w:val="24"/>
              </w:rPr>
              <w:t>育才生态区</w:t>
            </w:r>
          </w:p>
        </w:tc>
        <w:tc>
          <w:tcPr>
            <w:tcW w:w="1236" w:type="dxa"/>
            <w:tcBorders>
              <w:top w:val="nil"/>
              <w:left w:val="nil"/>
              <w:bottom w:val="single" w:color="auto" w:sz="4" w:space="0"/>
              <w:right w:val="single" w:color="auto" w:sz="4" w:space="0"/>
            </w:tcBorders>
            <w:vAlign w:val="center"/>
          </w:tcPr>
          <w:p w14:paraId="6A069A99">
            <w:pPr>
              <w:widowControl/>
              <w:jc w:val="center"/>
              <w:rPr>
                <w:kern w:val="0"/>
                <w:sz w:val="24"/>
              </w:rPr>
            </w:pPr>
            <w:r>
              <w:rPr>
                <w:kern w:val="0"/>
                <w:sz w:val="24"/>
              </w:rPr>
              <w:t>660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1A65BDD8">
            <w:pPr>
              <w:widowControl/>
              <w:jc w:val="center"/>
              <w:rPr>
                <w:kern w:val="0"/>
                <w:sz w:val="24"/>
              </w:rPr>
            </w:pPr>
            <w:r>
              <w:rPr>
                <w:kern w:val="0"/>
                <w:sz w:val="24"/>
              </w:rPr>
              <w:t>150000</w:t>
            </w:r>
          </w:p>
        </w:tc>
        <w:tc>
          <w:tcPr>
            <w:tcW w:w="1559" w:type="dxa"/>
            <w:tcBorders>
              <w:top w:val="nil"/>
              <w:left w:val="nil"/>
              <w:bottom w:val="single" w:color="auto" w:sz="4" w:space="0"/>
              <w:right w:val="single" w:color="auto" w:sz="4" w:space="0"/>
            </w:tcBorders>
            <w:vAlign w:val="center"/>
          </w:tcPr>
          <w:p w14:paraId="4C30CE47">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07664639">
            <w:pPr>
              <w:widowControl/>
              <w:jc w:val="center"/>
              <w:rPr>
                <w:kern w:val="0"/>
                <w:sz w:val="24"/>
              </w:rPr>
            </w:pPr>
            <w:r>
              <w:rPr>
                <w:kern w:val="0"/>
                <w:sz w:val="24"/>
              </w:rPr>
              <w:t>150000</w:t>
            </w:r>
          </w:p>
        </w:tc>
        <w:tc>
          <w:tcPr>
            <w:tcW w:w="1276" w:type="dxa"/>
            <w:tcBorders>
              <w:top w:val="nil"/>
              <w:left w:val="nil"/>
              <w:bottom w:val="single" w:color="auto" w:sz="4" w:space="0"/>
              <w:right w:val="single" w:color="auto" w:sz="4" w:space="0"/>
            </w:tcBorders>
            <w:vAlign w:val="center"/>
          </w:tcPr>
          <w:p w14:paraId="79A0B6AB">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258CC6A4">
            <w:pPr>
              <w:widowControl/>
              <w:jc w:val="center"/>
              <w:rPr>
                <w:b/>
                <w:bCs/>
                <w:kern w:val="0"/>
                <w:sz w:val="24"/>
              </w:rPr>
            </w:pPr>
            <w:r>
              <w:rPr>
                <w:b/>
                <w:bCs/>
                <w:kern w:val="0"/>
                <w:sz w:val="24"/>
              </w:rPr>
              <w:t>　</w:t>
            </w:r>
          </w:p>
        </w:tc>
      </w:tr>
      <w:tr w14:paraId="0D3C029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953ECA6">
            <w:pPr>
              <w:widowControl/>
              <w:jc w:val="center"/>
              <w:rPr>
                <w:b/>
                <w:bCs/>
                <w:kern w:val="0"/>
                <w:sz w:val="24"/>
              </w:rPr>
            </w:pPr>
            <w:r>
              <w:rPr>
                <w:b/>
                <w:bCs/>
                <w:kern w:val="0"/>
                <w:sz w:val="24"/>
              </w:rPr>
              <w:t>1.4</w:t>
            </w:r>
          </w:p>
        </w:tc>
        <w:tc>
          <w:tcPr>
            <w:tcW w:w="3128" w:type="dxa"/>
            <w:tcBorders>
              <w:top w:val="nil"/>
              <w:left w:val="nil"/>
              <w:bottom w:val="single" w:color="auto" w:sz="4" w:space="0"/>
              <w:right w:val="single" w:color="auto" w:sz="4" w:space="0"/>
            </w:tcBorders>
            <w:vAlign w:val="center"/>
          </w:tcPr>
          <w:p w14:paraId="13AA6583">
            <w:pPr>
              <w:widowControl/>
              <w:jc w:val="left"/>
              <w:rPr>
                <w:rFonts w:ascii="宋体" w:hAnsi="宋体" w:cs="宋体"/>
                <w:b/>
                <w:bCs/>
                <w:kern w:val="0"/>
                <w:sz w:val="24"/>
              </w:rPr>
            </w:pPr>
            <w:r>
              <w:rPr>
                <w:rFonts w:hint="eastAsia" w:ascii="宋体" w:hAnsi="宋体" w:cs="宋体"/>
                <w:b/>
                <w:bCs/>
                <w:kern w:val="0"/>
                <w:sz w:val="24"/>
              </w:rPr>
              <w:t>建设生态保护网络工程</w:t>
            </w:r>
          </w:p>
        </w:tc>
        <w:tc>
          <w:tcPr>
            <w:tcW w:w="1984" w:type="dxa"/>
            <w:tcBorders>
              <w:top w:val="nil"/>
              <w:left w:val="nil"/>
              <w:bottom w:val="single" w:color="auto" w:sz="4" w:space="0"/>
              <w:right w:val="single" w:color="auto" w:sz="4" w:space="0"/>
            </w:tcBorders>
            <w:vAlign w:val="center"/>
          </w:tcPr>
          <w:p w14:paraId="0B0517D4">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5D6FCD32">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251FE550">
            <w:pPr>
              <w:widowControl/>
              <w:jc w:val="center"/>
              <w:rPr>
                <w:b/>
                <w:bCs/>
                <w:kern w:val="0"/>
                <w:sz w:val="24"/>
              </w:rPr>
            </w:pPr>
            <w:r>
              <w:rPr>
                <w:b/>
                <w:bCs/>
                <w:kern w:val="0"/>
                <w:sz w:val="24"/>
              </w:rPr>
              <w:t>1000</w:t>
            </w:r>
          </w:p>
        </w:tc>
        <w:tc>
          <w:tcPr>
            <w:tcW w:w="1559" w:type="dxa"/>
            <w:tcBorders>
              <w:top w:val="nil"/>
              <w:left w:val="nil"/>
              <w:bottom w:val="single" w:color="auto" w:sz="4" w:space="0"/>
              <w:right w:val="single" w:color="auto" w:sz="4" w:space="0"/>
            </w:tcBorders>
            <w:vAlign w:val="center"/>
          </w:tcPr>
          <w:p w14:paraId="53ACE1FD">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2A667C08">
            <w:pPr>
              <w:widowControl/>
              <w:jc w:val="center"/>
              <w:rPr>
                <w:b/>
                <w:bCs/>
                <w:kern w:val="0"/>
                <w:sz w:val="24"/>
              </w:rPr>
            </w:pPr>
            <w:r>
              <w:rPr>
                <w:b/>
                <w:bCs/>
                <w:kern w:val="0"/>
                <w:sz w:val="24"/>
              </w:rPr>
              <w:t>1000</w:t>
            </w:r>
          </w:p>
        </w:tc>
        <w:tc>
          <w:tcPr>
            <w:tcW w:w="1276" w:type="dxa"/>
            <w:tcBorders>
              <w:top w:val="nil"/>
              <w:left w:val="nil"/>
              <w:bottom w:val="single" w:color="auto" w:sz="4" w:space="0"/>
              <w:right w:val="single" w:color="auto" w:sz="4" w:space="0"/>
            </w:tcBorders>
            <w:vAlign w:val="center"/>
          </w:tcPr>
          <w:p w14:paraId="38B0FF92">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79495482">
            <w:pPr>
              <w:widowControl/>
              <w:jc w:val="center"/>
              <w:rPr>
                <w:b/>
                <w:bCs/>
                <w:kern w:val="0"/>
                <w:sz w:val="24"/>
              </w:rPr>
            </w:pPr>
            <w:r>
              <w:rPr>
                <w:b/>
                <w:bCs/>
                <w:kern w:val="0"/>
                <w:sz w:val="24"/>
              </w:rPr>
              <w:t>　</w:t>
            </w:r>
          </w:p>
        </w:tc>
      </w:tr>
      <w:tr w14:paraId="1B4CDFB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523BAB46">
            <w:pPr>
              <w:widowControl/>
              <w:jc w:val="center"/>
              <w:rPr>
                <w:kern w:val="0"/>
                <w:sz w:val="24"/>
              </w:rPr>
            </w:pPr>
            <w:r>
              <w:rPr>
                <w:kern w:val="0"/>
                <w:sz w:val="24"/>
              </w:rPr>
              <w:t>1.4.1</w:t>
            </w:r>
          </w:p>
        </w:tc>
        <w:tc>
          <w:tcPr>
            <w:tcW w:w="3128" w:type="dxa"/>
            <w:tcBorders>
              <w:top w:val="nil"/>
              <w:left w:val="nil"/>
              <w:bottom w:val="single" w:color="auto" w:sz="4" w:space="0"/>
              <w:right w:val="single" w:color="auto" w:sz="4" w:space="0"/>
            </w:tcBorders>
            <w:vAlign w:val="center"/>
          </w:tcPr>
          <w:p w14:paraId="56268F85">
            <w:pPr>
              <w:widowControl/>
              <w:jc w:val="left"/>
              <w:rPr>
                <w:kern w:val="0"/>
                <w:sz w:val="24"/>
              </w:rPr>
            </w:pPr>
            <w:r>
              <w:rPr>
                <w:rFonts w:hint="eastAsia" w:ascii="宋体" w:hAnsi="宋体"/>
                <w:kern w:val="0"/>
                <w:sz w:val="24"/>
              </w:rPr>
              <w:t>生态保护网络</w:t>
            </w:r>
          </w:p>
        </w:tc>
        <w:tc>
          <w:tcPr>
            <w:tcW w:w="1984" w:type="dxa"/>
            <w:tcBorders>
              <w:top w:val="nil"/>
              <w:left w:val="nil"/>
              <w:bottom w:val="single" w:color="auto" w:sz="4" w:space="0"/>
              <w:right w:val="single" w:color="auto" w:sz="4" w:space="0"/>
            </w:tcBorders>
            <w:vAlign w:val="center"/>
          </w:tcPr>
          <w:p w14:paraId="205CBB28">
            <w:pPr>
              <w:widowControl/>
              <w:jc w:val="center"/>
              <w:rPr>
                <w:kern w:val="0"/>
                <w:sz w:val="24"/>
              </w:rPr>
            </w:pPr>
            <w:r>
              <w:rPr>
                <w:rFonts w:hint="eastAsia" w:ascii="宋体" w:hAnsi="宋体"/>
                <w:kern w:val="0"/>
                <w:sz w:val="24"/>
              </w:rPr>
              <w:t>全市风景区</w:t>
            </w:r>
          </w:p>
        </w:tc>
        <w:tc>
          <w:tcPr>
            <w:tcW w:w="1236" w:type="dxa"/>
            <w:tcBorders>
              <w:top w:val="nil"/>
              <w:left w:val="nil"/>
              <w:bottom w:val="single" w:color="auto" w:sz="4" w:space="0"/>
              <w:right w:val="single" w:color="auto" w:sz="4" w:space="0"/>
            </w:tcBorders>
            <w:vAlign w:val="center"/>
          </w:tcPr>
          <w:p w14:paraId="2084BF35">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1FA80748">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0C2C2363">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1456325B">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49D69909">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48B9CF27">
            <w:pPr>
              <w:widowControl/>
              <w:jc w:val="center"/>
              <w:rPr>
                <w:b/>
                <w:bCs/>
                <w:kern w:val="0"/>
                <w:sz w:val="24"/>
              </w:rPr>
            </w:pPr>
            <w:r>
              <w:rPr>
                <w:b/>
                <w:bCs/>
                <w:kern w:val="0"/>
                <w:sz w:val="24"/>
              </w:rPr>
              <w:t>　</w:t>
            </w:r>
          </w:p>
        </w:tc>
      </w:tr>
      <w:tr w14:paraId="2A9FC912">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F2E3894">
            <w:pPr>
              <w:widowControl/>
              <w:jc w:val="center"/>
              <w:rPr>
                <w:b/>
                <w:bCs/>
                <w:kern w:val="0"/>
                <w:sz w:val="24"/>
              </w:rPr>
            </w:pPr>
            <w:r>
              <w:rPr>
                <w:b/>
                <w:bCs/>
                <w:kern w:val="0"/>
                <w:sz w:val="24"/>
              </w:rPr>
              <w:t>1.5</w:t>
            </w:r>
          </w:p>
        </w:tc>
        <w:tc>
          <w:tcPr>
            <w:tcW w:w="3128" w:type="dxa"/>
            <w:tcBorders>
              <w:top w:val="nil"/>
              <w:left w:val="nil"/>
              <w:bottom w:val="single" w:color="auto" w:sz="4" w:space="0"/>
              <w:right w:val="single" w:color="auto" w:sz="4" w:space="0"/>
            </w:tcBorders>
            <w:vAlign w:val="center"/>
          </w:tcPr>
          <w:p w14:paraId="5B3D7735">
            <w:pPr>
              <w:widowControl/>
              <w:jc w:val="left"/>
              <w:rPr>
                <w:rFonts w:ascii="宋体" w:hAnsi="宋体" w:cs="宋体"/>
                <w:b/>
                <w:bCs/>
                <w:kern w:val="0"/>
                <w:sz w:val="24"/>
              </w:rPr>
            </w:pPr>
            <w:r>
              <w:rPr>
                <w:rFonts w:hint="eastAsia" w:ascii="宋体" w:hAnsi="宋体" w:cs="宋体"/>
                <w:b/>
                <w:bCs/>
                <w:kern w:val="0"/>
                <w:sz w:val="24"/>
              </w:rPr>
              <w:t>建设森林康养示范基地工程</w:t>
            </w:r>
          </w:p>
        </w:tc>
        <w:tc>
          <w:tcPr>
            <w:tcW w:w="1984" w:type="dxa"/>
            <w:tcBorders>
              <w:top w:val="nil"/>
              <w:left w:val="nil"/>
              <w:bottom w:val="single" w:color="auto" w:sz="4" w:space="0"/>
              <w:right w:val="single" w:color="auto" w:sz="4" w:space="0"/>
            </w:tcBorders>
            <w:vAlign w:val="center"/>
          </w:tcPr>
          <w:p w14:paraId="60130664">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54E917DF">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0D45B549">
            <w:pPr>
              <w:widowControl/>
              <w:jc w:val="center"/>
              <w:rPr>
                <w:b/>
                <w:bCs/>
                <w:kern w:val="0"/>
                <w:sz w:val="24"/>
              </w:rPr>
            </w:pPr>
            <w:r>
              <w:rPr>
                <w:rFonts w:hint="eastAsia"/>
                <w:b/>
                <w:bCs/>
                <w:kern w:val="0"/>
                <w:sz w:val="24"/>
              </w:rPr>
              <w:t>171000</w:t>
            </w:r>
          </w:p>
        </w:tc>
        <w:tc>
          <w:tcPr>
            <w:tcW w:w="1559" w:type="dxa"/>
            <w:tcBorders>
              <w:top w:val="nil"/>
              <w:left w:val="nil"/>
              <w:bottom w:val="single" w:color="auto" w:sz="4" w:space="0"/>
              <w:right w:val="single" w:color="auto" w:sz="4" w:space="0"/>
            </w:tcBorders>
            <w:vAlign w:val="center"/>
          </w:tcPr>
          <w:p w14:paraId="46485AE1">
            <w:pPr>
              <w:widowControl/>
              <w:jc w:val="center"/>
              <w:rPr>
                <w:b/>
                <w:bCs/>
                <w:kern w:val="0"/>
                <w:sz w:val="24"/>
              </w:rPr>
            </w:pPr>
            <w:r>
              <w:rPr>
                <w:rFonts w:hint="eastAsia"/>
                <w:b/>
                <w:bCs/>
                <w:kern w:val="0"/>
                <w:sz w:val="24"/>
              </w:rPr>
              <w:t>120</w:t>
            </w:r>
            <w:r>
              <w:rPr>
                <w:b/>
                <w:bCs/>
                <w:kern w:val="0"/>
                <w:sz w:val="24"/>
              </w:rPr>
              <w:t>000</w:t>
            </w:r>
          </w:p>
        </w:tc>
        <w:tc>
          <w:tcPr>
            <w:tcW w:w="1559" w:type="dxa"/>
            <w:tcBorders>
              <w:top w:val="nil"/>
              <w:left w:val="nil"/>
              <w:bottom w:val="single" w:color="auto" w:sz="4" w:space="0"/>
              <w:right w:val="single" w:color="auto" w:sz="4" w:space="0"/>
            </w:tcBorders>
            <w:vAlign w:val="center"/>
          </w:tcPr>
          <w:p w14:paraId="60D34DC4">
            <w:pPr>
              <w:widowControl/>
              <w:jc w:val="center"/>
              <w:rPr>
                <w:b/>
                <w:bCs/>
                <w:kern w:val="0"/>
                <w:sz w:val="24"/>
              </w:rPr>
            </w:pPr>
            <w:r>
              <w:rPr>
                <w:rFonts w:hint="eastAsia"/>
                <w:b/>
                <w:bCs/>
                <w:kern w:val="0"/>
                <w:sz w:val="24"/>
              </w:rPr>
              <w:t>5</w:t>
            </w:r>
            <w:r>
              <w:rPr>
                <w:b/>
                <w:bCs/>
                <w:kern w:val="0"/>
                <w:sz w:val="24"/>
              </w:rPr>
              <w:t>1000</w:t>
            </w:r>
          </w:p>
        </w:tc>
        <w:tc>
          <w:tcPr>
            <w:tcW w:w="1276" w:type="dxa"/>
            <w:tcBorders>
              <w:top w:val="nil"/>
              <w:left w:val="nil"/>
              <w:bottom w:val="single" w:color="auto" w:sz="4" w:space="0"/>
              <w:right w:val="single" w:color="auto" w:sz="4" w:space="0"/>
            </w:tcBorders>
            <w:vAlign w:val="center"/>
          </w:tcPr>
          <w:p w14:paraId="255B44DA">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396D2135">
            <w:pPr>
              <w:widowControl/>
              <w:jc w:val="center"/>
              <w:rPr>
                <w:b/>
                <w:bCs/>
                <w:kern w:val="0"/>
                <w:sz w:val="24"/>
              </w:rPr>
            </w:pPr>
            <w:r>
              <w:rPr>
                <w:b/>
                <w:bCs/>
                <w:kern w:val="0"/>
                <w:sz w:val="24"/>
              </w:rPr>
              <w:t>　</w:t>
            </w:r>
          </w:p>
        </w:tc>
      </w:tr>
      <w:tr w14:paraId="6BD5B40E">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4EF170B5">
            <w:pPr>
              <w:widowControl/>
              <w:jc w:val="center"/>
              <w:rPr>
                <w:kern w:val="0"/>
                <w:sz w:val="24"/>
              </w:rPr>
            </w:pPr>
            <w:r>
              <w:rPr>
                <w:kern w:val="0"/>
                <w:sz w:val="24"/>
              </w:rPr>
              <w:t>1.5.1</w:t>
            </w:r>
          </w:p>
        </w:tc>
        <w:tc>
          <w:tcPr>
            <w:tcW w:w="3128" w:type="dxa"/>
            <w:tcBorders>
              <w:top w:val="nil"/>
              <w:left w:val="nil"/>
              <w:bottom w:val="single" w:color="auto" w:sz="4" w:space="0"/>
              <w:right w:val="single" w:color="auto" w:sz="4" w:space="0"/>
            </w:tcBorders>
            <w:vAlign w:val="center"/>
          </w:tcPr>
          <w:p w14:paraId="1F7DC04C">
            <w:pPr>
              <w:widowControl/>
              <w:jc w:val="left"/>
              <w:rPr>
                <w:rFonts w:ascii="宋体" w:hAnsi="宋体" w:cs="宋体"/>
                <w:kern w:val="0"/>
                <w:sz w:val="24"/>
              </w:rPr>
            </w:pPr>
            <w:r>
              <w:rPr>
                <w:rFonts w:hint="eastAsia" w:ascii="宋体" w:hAnsi="宋体" w:cs="宋体"/>
                <w:kern w:val="0"/>
                <w:sz w:val="24"/>
              </w:rPr>
              <w:t>森林康养示范基地</w:t>
            </w:r>
          </w:p>
        </w:tc>
        <w:tc>
          <w:tcPr>
            <w:tcW w:w="1984" w:type="dxa"/>
            <w:tcBorders>
              <w:top w:val="nil"/>
              <w:left w:val="nil"/>
              <w:bottom w:val="single" w:color="auto" w:sz="4" w:space="0"/>
              <w:right w:val="single" w:color="auto" w:sz="4" w:space="0"/>
            </w:tcBorders>
            <w:noWrap/>
            <w:vAlign w:val="center"/>
          </w:tcPr>
          <w:p w14:paraId="3646F6B5">
            <w:pPr>
              <w:widowControl/>
              <w:jc w:val="center"/>
              <w:rPr>
                <w:kern w:val="0"/>
                <w:sz w:val="24"/>
              </w:rPr>
            </w:pPr>
            <w:r>
              <w:rPr>
                <w:kern w:val="0"/>
                <w:sz w:val="24"/>
              </w:rPr>
              <w:t>　</w:t>
            </w:r>
          </w:p>
        </w:tc>
        <w:tc>
          <w:tcPr>
            <w:tcW w:w="1236" w:type="dxa"/>
            <w:tcBorders>
              <w:top w:val="nil"/>
              <w:left w:val="nil"/>
              <w:bottom w:val="single" w:color="auto" w:sz="4" w:space="0"/>
              <w:right w:val="single" w:color="auto" w:sz="4" w:space="0"/>
            </w:tcBorders>
            <w:noWrap/>
            <w:vAlign w:val="center"/>
          </w:tcPr>
          <w:p w14:paraId="5B734216">
            <w:pPr>
              <w:widowControl/>
              <w:jc w:val="center"/>
              <w:rPr>
                <w:kern w:val="0"/>
                <w:sz w:val="24"/>
              </w:rPr>
            </w:pPr>
            <w:r>
              <w:rPr>
                <w:kern w:val="0"/>
                <w:sz w:val="24"/>
              </w:rPr>
              <w:t>　</w:t>
            </w:r>
          </w:p>
        </w:tc>
        <w:tc>
          <w:tcPr>
            <w:tcW w:w="1701" w:type="dxa"/>
            <w:tcBorders>
              <w:top w:val="nil"/>
              <w:left w:val="nil"/>
              <w:bottom w:val="single" w:color="auto" w:sz="4" w:space="0"/>
              <w:right w:val="single" w:color="auto" w:sz="4" w:space="0"/>
            </w:tcBorders>
            <w:noWrap/>
            <w:vAlign w:val="center"/>
          </w:tcPr>
          <w:p w14:paraId="6FBB3901">
            <w:pPr>
              <w:widowControl/>
              <w:jc w:val="center"/>
              <w:rPr>
                <w:kern w:val="0"/>
                <w:sz w:val="24"/>
              </w:rPr>
            </w:pPr>
            <w:r>
              <w:rPr>
                <w:rFonts w:hint="eastAsia"/>
                <w:kern w:val="0"/>
                <w:sz w:val="24"/>
              </w:rPr>
              <w:t>160</w:t>
            </w:r>
            <w:r>
              <w:rPr>
                <w:kern w:val="0"/>
                <w:sz w:val="24"/>
              </w:rPr>
              <w:t>000</w:t>
            </w:r>
          </w:p>
        </w:tc>
        <w:tc>
          <w:tcPr>
            <w:tcW w:w="1559" w:type="dxa"/>
            <w:tcBorders>
              <w:top w:val="nil"/>
              <w:left w:val="nil"/>
              <w:bottom w:val="single" w:color="auto" w:sz="4" w:space="0"/>
              <w:right w:val="single" w:color="auto" w:sz="4" w:space="0"/>
            </w:tcBorders>
            <w:noWrap/>
            <w:vAlign w:val="center"/>
          </w:tcPr>
          <w:p w14:paraId="7C86D498">
            <w:pPr>
              <w:widowControl/>
              <w:jc w:val="center"/>
              <w:rPr>
                <w:kern w:val="0"/>
                <w:sz w:val="24"/>
              </w:rPr>
            </w:pPr>
            <w:r>
              <w:rPr>
                <w:rFonts w:hint="eastAsia"/>
                <w:kern w:val="0"/>
                <w:sz w:val="24"/>
              </w:rPr>
              <w:t>120000</w:t>
            </w:r>
          </w:p>
        </w:tc>
        <w:tc>
          <w:tcPr>
            <w:tcW w:w="1559" w:type="dxa"/>
            <w:tcBorders>
              <w:top w:val="nil"/>
              <w:left w:val="nil"/>
              <w:bottom w:val="single" w:color="auto" w:sz="4" w:space="0"/>
              <w:right w:val="single" w:color="auto" w:sz="4" w:space="0"/>
            </w:tcBorders>
            <w:vAlign w:val="center"/>
          </w:tcPr>
          <w:p w14:paraId="5B96C786">
            <w:pPr>
              <w:widowControl/>
              <w:jc w:val="center"/>
              <w:rPr>
                <w:kern w:val="0"/>
                <w:sz w:val="24"/>
              </w:rPr>
            </w:pPr>
            <w:r>
              <w:rPr>
                <w:rFonts w:hint="eastAsia"/>
                <w:kern w:val="0"/>
                <w:sz w:val="24"/>
              </w:rPr>
              <w:t>4000</w:t>
            </w:r>
          </w:p>
        </w:tc>
        <w:tc>
          <w:tcPr>
            <w:tcW w:w="1276" w:type="dxa"/>
            <w:tcBorders>
              <w:top w:val="nil"/>
              <w:left w:val="nil"/>
              <w:bottom w:val="single" w:color="auto" w:sz="4" w:space="0"/>
              <w:right w:val="single" w:color="auto" w:sz="4" w:space="0"/>
            </w:tcBorders>
            <w:noWrap/>
            <w:vAlign w:val="center"/>
          </w:tcPr>
          <w:p w14:paraId="427146B5">
            <w:pPr>
              <w:widowControl/>
              <w:jc w:val="center"/>
              <w:rPr>
                <w:kern w:val="0"/>
                <w:sz w:val="24"/>
              </w:rPr>
            </w:pPr>
            <w:r>
              <w:rPr>
                <w:kern w:val="0"/>
                <w:sz w:val="24"/>
              </w:rPr>
              <w:t>　</w:t>
            </w:r>
          </w:p>
        </w:tc>
        <w:tc>
          <w:tcPr>
            <w:tcW w:w="851" w:type="dxa"/>
            <w:tcBorders>
              <w:top w:val="nil"/>
              <w:left w:val="nil"/>
              <w:bottom w:val="single" w:color="auto" w:sz="4" w:space="0"/>
              <w:right w:val="single" w:color="auto" w:sz="4" w:space="0"/>
            </w:tcBorders>
            <w:vAlign w:val="center"/>
          </w:tcPr>
          <w:p w14:paraId="0EB25E3B">
            <w:pPr>
              <w:widowControl/>
              <w:jc w:val="center"/>
              <w:rPr>
                <w:b/>
                <w:bCs/>
                <w:kern w:val="0"/>
                <w:sz w:val="24"/>
              </w:rPr>
            </w:pPr>
            <w:r>
              <w:rPr>
                <w:b/>
                <w:bCs/>
                <w:kern w:val="0"/>
                <w:sz w:val="24"/>
              </w:rPr>
              <w:t>　</w:t>
            </w:r>
          </w:p>
        </w:tc>
      </w:tr>
      <w:tr w14:paraId="458ABD5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006966E4">
            <w:pPr>
              <w:widowControl/>
              <w:jc w:val="center"/>
              <w:rPr>
                <w:kern w:val="0"/>
                <w:sz w:val="24"/>
              </w:rPr>
            </w:pPr>
            <w:r>
              <w:rPr>
                <w:kern w:val="0"/>
                <w:sz w:val="24"/>
              </w:rPr>
              <w:t>1.5.1.1</w:t>
            </w:r>
          </w:p>
        </w:tc>
        <w:tc>
          <w:tcPr>
            <w:tcW w:w="3128" w:type="dxa"/>
            <w:tcBorders>
              <w:top w:val="nil"/>
              <w:left w:val="nil"/>
              <w:bottom w:val="single" w:color="auto" w:sz="4" w:space="0"/>
              <w:right w:val="single" w:color="auto" w:sz="4" w:space="0"/>
            </w:tcBorders>
            <w:vAlign w:val="center"/>
          </w:tcPr>
          <w:p w14:paraId="669CD839">
            <w:pPr>
              <w:widowControl/>
              <w:jc w:val="left"/>
              <w:rPr>
                <w:kern w:val="0"/>
                <w:sz w:val="24"/>
              </w:rPr>
            </w:pPr>
            <w:r>
              <w:rPr>
                <w:rFonts w:hint="eastAsia" w:ascii="宋体" w:hAnsi="宋体"/>
                <w:kern w:val="0"/>
                <w:sz w:val="24"/>
              </w:rPr>
              <w:t>南岛国家森林康养基地</w:t>
            </w:r>
          </w:p>
        </w:tc>
        <w:tc>
          <w:tcPr>
            <w:tcW w:w="1984" w:type="dxa"/>
            <w:tcBorders>
              <w:top w:val="nil"/>
              <w:left w:val="nil"/>
              <w:bottom w:val="single" w:color="auto" w:sz="4" w:space="0"/>
              <w:right w:val="single" w:color="auto" w:sz="4" w:space="0"/>
            </w:tcBorders>
            <w:vAlign w:val="center"/>
          </w:tcPr>
          <w:p w14:paraId="2A1FE0AC">
            <w:pPr>
              <w:widowControl/>
              <w:jc w:val="center"/>
              <w:rPr>
                <w:kern w:val="0"/>
                <w:sz w:val="24"/>
              </w:rPr>
            </w:pPr>
            <w:r>
              <w:rPr>
                <w:rFonts w:hint="eastAsia" w:ascii="宋体" w:hAnsi="宋体"/>
                <w:kern w:val="0"/>
                <w:sz w:val="24"/>
              </w:rPr>
              <w:t>天涯区台楼村</w:t>
            </w:r>
          </w:p>
        </w:tc>
        <w:tc>
          <w:tcPr>
            <w:tcW w:w="1236" w:type="dxa"/>
            <w:tcBorders>
              <w:top w:val="nil"/>
              <w:left w:val="nil"/>
              <w:bottom w:val="single" w:color="auto" w:sz="4" w:space="0"/>
              <w:right w:val="single" w:color="auto" w:sz="4" w:space="0"/>
            </w:tcBorders>
            <w:vAlign w:val="center"/>
          </w:tcPr>
          <w:p w14:paraId="23FADFCE">
            <w:pPr>
              <w:widowControl/>
              <w:jc w:val="center"/>
              <w:rPr>
                <w:kern w:val="0"/>
                <w:sz w:val="24"/>
              </w:rPr>
            </w:pPr>
            <w:r>
              <w:rPr>
                <w:kern w:val="0"/>
                <w:sz w:val="24"/>
              </w:rPr>
              <w:t>1385.35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6A68B9F3">
            <w:pPr>
              <w:widowControl/>
              <w:jc w:val="center"/>
              <w:rPr>
                <w:kern w:val="0"/>
                <w:sz w:val="24"/>
              </w:rPr>
            </w:pPr>
            <w:r>
              <w:rPr>
                <w:kern w:val="0"/>
                <w:sz w:val="24"/>
              </w:rPr>
              <w:t>1</w:t>
            </w:r>
            <w:r>
              <w:rPr>
                <w:rFonts w:hint="eastAsia"/>
                <w:kern w:val="0"/>
                <w:sz w:val="24"/>
              </w:rPr>
              <w:t>00</w:t>
            </w:r>
            <w:r>
              <w:rPr>
                <w:kern w:val="0"/>
                <w:sz w:val="24"/>
              </w:rPr>
              <w:t>000</w:t>
            </w:r>
          </w:p>
        </w:tc>
        <w:tc>
          <w:tcPr>
            <w:tcW w:w="1559" w:type="dxa"/>
            <w:tcBorders>
              <w:top w:val="nil"/>
              <w:left w:val="nil"/>
              <w:bottom w:val="single" w:color="auto" w:sz="4" w:space="0"/>
              <w:right w:val="single" w:color="auto" w:sz="4" w:space="0"/>
            </w:tcBorders>
            <w:vAlign w:val="center"/>
          </w:tcPr>
          <w:p w14:paraId="4EB2907E">
            <w:pPr>
              <w:widowControl/>
              <w:jc w:val="center"/>
              <w:rPr>
                <w:kern w:val="0"/>
                <w:sz w:val="24"/>
              </w:rPr>
            </w:pPr>
            <w:r>
              <w:rPr>
                <w:rFonts w:hint="eastAsia"/>
                <w:kern w:val="0"/>
                <w:sz w:val="24"/>
              </w:rPr>
              <w:t>80</w:t>
            </w:r>
            <w:r>
              <w:rPr>
                <w:kern w:val="0"/>
                <w:sz w:val="24"/>
              </w:rPr>
              <w:t>000</w:t>
            </w:r>
          </w:p>
        </w:tc>
        <w:tc>
          <w:tcPr>
            <w:tcW w:w="1559" w:type="dxa"/>
            <w:tcBorders>
              <w:top w:val="nil"/>
              <w:left w:val="nil"/>
              <w:bottom w:val="single" w:color="auto" w:sz="4" w:space="0"/>
              <w:right w:val="single" w:color="auto" w:sz="4" w:space="0"/>
            </w:tcBorders>
            <w:vAlign w:val="center"/>
          </w:tcPr>
          <w:p w14:paraId="335E1D39">
            <w:pPr>
              <w:widowControl/>
              <w:jc w:val="center"/>
              <w:rPr>
                <w:kern w:val="0"/>
                <w:sz w:val="24"/>
              </w:rPr>
            </w:pPr>
            <w:r>
              <w:rPr>
                <w:rFonts w:hint="eastAsia"/>
                <w:kern w:val="0"/>
                <w:sz w:val="24"/>
              </w:rPr>
              <w:t>20000</w:t>
            </w:r>
          </w:p>
        </w:tc>
        <w:tc>
          <w:tcPr>
            <w:tcW w:w="1276" w:type="dxa"/>
            <w:tcBorders>
              <w:top w:val="nil"/>
              <w:left w:val="nil"/>
              <w:bottom w:val="single" w:color="auto" w:sz="4" w:space="0"/>
              <w:right w:val="single" w:color="auto" w:sz="4" w:space="0"/>
            </w:tcBorders>
            <w:vAlign w:val="center"/>
          </w:tcPr>
          <w:p w14:paraId="3C93D951">
            <w:pPr>
              <w:widowControl/>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0F04C874">
            <w:pPr>
              <w:widowControl/>
              <w:jc w:val="center"/>
              <w:rPr>
                <w:b/>
                <w:bCs/>
                <w:kern w:val="0"/>
                <w:sz w:val="24"/>
              </w:rPr>
            </w:pPr>
            <w:r>
              <w:rPr>
                <w:b/>
                <w:bCs/>
                <w:kern w:val="0"/>
                <w:sz w:val="24"/>
              </w:rPr>
              <w:t>　</w:t>
            </w:r>
          </w:p>
        </w:tc>
      </w:tr>
      <w:tr w14:paraId="54877B1C">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768DA896">
            <w:pPr>
              <w:widowControl/>
              <w:jc w:val="center"/>
              <w:rPr>
                <w:kern w:val="0"/>
                <w:sz w:val="24"/>
              </w:rPr>
            </w:pPr>
            <w:r>
              <w:rPr>
                <w:kern w:val="0"/>
                <w:sz w:val="24"/>
              </w:rPr>
              <w:t>1.5.1.2</w:t>
            </w:r>
          </w:p>
        </w:tc>
        <w:tc>
          <w:tcPr>
            <w:tcW w:w="3128" w:type="dxa"/>
            <w:tcBorders>
              <w:top w:val="nil"/>
              <w:left w:val="nil"/>
              <w:bottom w:val="single" w:color="auto" w:sz="4" w:space="0"/>
              <w:right w:val="single" w:color="auto" w:sz="4" w:space="0"/>
            </w:tcBorders>
            <w:vAlign w:val="center"/>
          </w:tcPr>
          <w:p w14:paraId="33896C5E">
            <w:pPr>
              <w:widowControl/>
              <w:jc w:val="left"/>
              <w:rPr>
                <w:kern w:val="0"/>
                <w:sz w:val="24"/>
              </w:rPr>
            </w:pPr>
            <w:r>
              <w:rPr>
                <w:kern w:val="0"/>
                <w:sz w:val="24"/>
              </w:rPr>
              <w:t>“</w:t>
            </w:r>
            <w:r>
              <w:rPr>
                <w:rFonts w:hint="eastAsia" w:ascii="宋体" w:hAnsi="宋体"/>
                <w:kern w:val="0"/>
                <w:sz w:val="24"/>
              </w:rPr>
              <w:t>天使</w:t>
            </w:r>
            <w:r>
              <w:rPr>
                <w:kern w:val="0"/>
                <w:sz w:val="24"/>
              </w:rPr>
              <w:t>•</w:t>
            </w:r>
            <w:r>
              <w:rPr>
                <w:rFonts w:hint="eastAsia" w:ascii="宋体" w:hAnsi="宋体"/>
                <w:kern w:val="0"/>
                <w:sz w:val="24"/>
              </w:rPr>
              <w:t>净心谷</w:t>
            </w:r>
            <w:r>
              <w:rPr>
                <w:kern w:val="0"/>
                <w:sz w:val="24"/>
              </w:rPr>
              <w:t xml:space="preserve">” </w:t>
            </w:r>
            <w:r>
              <w:rPr>
                <w:rFonts w:hint="eastAsia" w:ascii="宋体" w:hAnsi="宋体"/>
                <w:kern w:val="0"/>
                <w:sz w:val="24"/>
              </w:rPr>
              <w:t>森林康养基地</w:t>
            </w:r>
          </w:p>
        </w:tc>
        <w:tc>
          <w:tcPr>
            <w:tcW w:w="1984" w:type="dxa"/>
            <w:tcBorders>
              <w:top w:val="nil"/>
              <w:left w:val="nil"/>
              <w:bottom w:val="single" w:color="auto" w:sz="4" w:space="0"/>
              <w:right w:val="single" w:color="auto" w:sz="4" w:space="0"/>
            </w:tcBorders>
            <w:vAlign w:val="center"/>
          </w:tcPr>
          <w:p w14:paraId="3A0F1EF3">
            <w:pPr>
              <w:widowControl/>
              <w:jc w:val="center"/>
              <w:rPr>
                <w:kern w:val="0"/>
                <w:sz w:val="24"/>
              </w:rPr>
            </w:pPr>
            <w:r>
              <w:rPr>
                <w:rFonts w:hint="eastAsia" w:ascii="宋体" w:hAnsi="宋体"/>
                <w:kern w:val="0"/>
                <w:sz w:val="24"/>
              </w:rPr>
              <w:t>吉阳区南新农场</w:t>
            </w:r>
          </w:p>
        </w:tc>
        <w:tc>
          <w:tcPr>
            <w:tcW w:w="1236" w:type="dxa"/>
            <w:tcBorders>
              <w:top w:val="nil"/>
              <w:left w:val="nil"/>
              <w:bottom w:val="single" w:color="auto" w:sz="4" w:space="0"/>
              <w:right w:val="single" w:color="auto" w:sz="4" w:space="0"/>
            </w:tcBorders>
            <w:vAlign w:val="center"/>
          </w:tcPr>
          <w:p w14:paraId="71233115">
            <w:pPr>
              <w:widowControl/>
              <w:jc w:val="center"/>
              <w:rPr>
                <w:kern w:val="0"/>
                <w:sz w:val="24"/>
              </w:rPr>
            </w:pPr>
            <w:r>
              <w:rPr>
                <w:kern w:val="0"/>
                <w:sz w:val="24"/>
              </w:rPr>
              <w:t>66.23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6E1EE68A">
            <w:pPr>
              <w:widowControl/>
              <w:jc w:val="center"/>
              <w:rPr>
                <w:kern w:val="0"/>
                <w:sz w:val="24"/>
              </w:rPr>
            </w:pPr>
            <w:r>
              <w:rPr>
                <w:rFonts w:hint="eastAsia"/>
                <w:kern w:val="0"/>
                <w:sz w:val="24"/>
              </w:rPr>
              <w:t>60000</w:t>
            </w:r>
          </w:p>
        </w:tc>
        <w:tc>
          <w:tcPr>
            <w:tcW w:w="1559" w:type="dxa"/>
            <w:tcBorders>
              <w:top w:val="nil"/>
              <w:left w:val="nil"/>
              <w:bottom w:val="single" w:color="auto" w:sz="4" w:space="0"/>
              <w:right w:val="single" w:color="auto" w:sz="4" w:space="0"/>
            </w:tcBorders>
            <w:vAlign w:val="center"/>
          </w:tcPr>
          <w:p w14:paraId="327F3C56">
            <w:pPr>
              <w:widowControl/>
              <w:jc w:val="center"/>
              <w:rPr>
                <w:kern w:val="0"/>
                <w:sz w:val="24"/>
              </w:rPr>
            </w:pPr>
            <w:r>
              <w:rPr>
                <w:rFonts w:hint="eastAsia"/>
                <w:kern w:val="0"/>
                <w:sz w:val="24"/>
              </w:rPr>
              <w:t>4</w:t>
            </w:r>
            <w:r>
              <w:rPr>
                <w:kern w:val="0"/>
                <w:sz w:val="24"/>
              </w:rPr>
              <w:t>0000</w:t>
            </w:r>
          </w:p>
        </w:tc>
        <w:tc>
          <w:tcPr>
            <w:tcW w:w="1559" w:type="dxa"/>
            <w:tcBorders>
              <w:top w:val="nil"/>
              <w:left w:val="nil"/>
              <w:bottom w:val="single" w:color="auto" w:sz="4" w:space="0"/>
              <w:right w:val="single" w:color="auto" w:sz="4" w:space="0"/>
            </w:tcBorders>
            <w:vAlign w:val="center"/>
          </w:tcPr>
          <w:p w14:paraId="563A80FD">
            <w:pPr>
              <w:widowControl/>
              <w:jc w:val="center"/>
              <w:rPr>
                <w:kern w:val="0"/>
                <w:sz w:val="24"/>
              </w:rPr>
            </w:pPr>
            <w:r>
              <w:rPr>
                <w:rFonts w:hint="eastAsia"/>
                <w:kern w:val="0"/>
                <w:sz w:val="24"/>
              </w:rPr>
              <w:t>20000</w:t>
            </w:r>
          </w:p>
        </w:tc>
        <w:tc>
          <w:tcPr>
            <w:tcW w:w="1276" w:type="dxa"/>
            <w:tcBorders>
              <w:top w:val="nil"/>
              <w:left w:val="nil"/>
              <w:bottom w:val="single" w:color="auto" w:sz="4" w:space="0"/>
              <w:right w:val="single" w:color="auto" w:sz="4" w:space="0"/>
            </w:tcBorders>
            <w:vAlign w:val="center"/>
          </w:tcPr>
          <w:p w14:paraId="1D734A45">
            <w:pPr>
              <w:widowControl/>
              <w:jc w:val="center"/>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6AF5032B">
            <w:pPr>
              <w:widowControl/>
              <w:jc w:val="center"/>
              <w:rPr>
                <w:b/>
                <w:bCs/>
                <w:kern w:val="0"/>
                <w:sz w:val="24"/>
              </w:rPr>
            </w:pPr>
            <w:r>
              <w:rPr>
                <w:b/>
                <w:bCs/>
                <w:kern w:val="0"/>
                <w:sz w:val="24"/>
              </w:rPr>
              <w:t>　</w:t>
            </w:r>
          </w:p>
        </w:tc>
      </w:tr>
      <w:tr w14:paraId="51CD6C1A">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6C8ACFFD">
            <w:pPr>
              <w:widowControl/>
              <w:jc w:val="center"/>
              <w:rPr>
                <w:kern w:val="0"/>
                <w:sz w:val="24"/>
              </w:rPr>
            </w:pPr>
            <w:r>
              <w:rPr>
                <w:kern w:val="0"/>
                <w:sz w:val="24"/>
              </w:rPr>
              <w:t>1.5.2</w:t>
            </w:r>
          </w:p>
        </w:tc>
        <w:tc>
          <w:tcPr>
            <w:tcW w:w="3128" w:type="dxa"/>
            <w:tcBorders>
              <w:top w:val="nil"/>
              <w:left w:val="nil"/>
              <w:bottom w:val="single" w:color="auto" w:sz="4" w:space="0"/>
              <w:right w:val="single" w:color="auto" w:sz="4" w:space="0"/>
            </w:tcBorders>
            <w:vAlign w:val="center"/>
          </w:tcPr>
          <w:p w14:paraId="245A0F8D">
            <w:pPr>
              <w:widowControl/>
              <w:jc w:val="left"/>
              <w:rPr>
                <w:rFonts w:ascii="宋体" w:hAnsi="宋体" w:cs="宋体"/>
                <w:kern w:val="0"/>
                <w:sz w:val="24"/>
              </w:rPr>
            </w:pPr>
            <w:r>
              <w:rPr>
                <w:rFonts w:hint="eastAsia" w:ascii="宋体" w:hAnsi="宋体" w:cs="宋体"/>
                <w:kern w:val="0"/>
                <w:sz w:val="24"/>
              </w:rPr>
              <w:t>国家中医药健康旅游示范基地</w:t>
            </w:r>
          </w:p>
        </w:tc>
        <w:tc>
          <w:tcPr>
            <w:tcW w:w="1984" w:type="dxa"/>
            <w:tcBorders>
              <w:top w:val="nil"/>
              <w:left w:val="nil"/>
              <w:bottom w:val="single" w:color="auto" w:sz="4" w:space="0"/>
              <w:right w:val="single" w:color="auto" w:sz="4" w:space="0"/>
            </w:tcBorders>
            <w:vAlign w:val="center"/>
          </w:tcPr>
          <w:p w14:paraId="2E136AC4">
            <w:pPr>
              <w:widowControl/>
              <w:jc w:val="center"/>
              <w:rPr>
                <w:kern w:val="0"/>
                <w:sz w:val="24"/>
              </w:rPr>
            </w:pPr>
            <w:r>
              <w:rPr>
                <w:rFonts w:hint="eastAsia" w:ascii="宋体" w:hAnsi="宋体"/>
                <w:kern w:val="0"/>
                <w:sz w:val="24"/>
              </w:rPr>
              <w:t>美丽乡村等地</w:t>
            </w:r>
          </w:p>
        </w:tc>
        <w:tc>
          <w:tcPr>
            <w:tcW w:w="1236" w:type="dxa"/>
            <w:tcBorders>
              <w:top w:val="nil"/>
              <w:left w:val="nil"/>
              <w:bottom w:val="single" w:color="auto" w:sz="4" w:space="0"/>
              <w:right w:val="single" w:color="auto" w:sz="4" w:space="0"/>
            </w:tcBorders>
            <w:vAlign w:val="center"/>
          </w:tcPr>
          <w:p w14:paraId="39F3B32D">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552D943F">
            <w:pPr>
              <w:widowControl/>
              <w:jc w:val="center"/>
              <w:rPr>
                <w:kern w:val="0"/>
                <w:sz w:val="24"/>
              </w:rPr>
            </w:pPr>
            <w:r>
              <w:rPr>
                <w:kern w:val="0"/>
                <w:sz w:val="24"/>
              </w:rPr>
              <w:t>10000</w:t>
            </w:r>
          </w:p>
        </w:tc>
        <w:tc>
          <w:tcPr>
            <w:tcW w:w="1559" w:type="dxa"/>
            <w:tcBorders>
              <w:top w:val="nil"/>
              <w:left w:val="nil"/>
              <w:bottom w:val="single" w:color="auto" w:sz="4" w:space="0"/>
              <w:right w:val="single" w:color="auto" w:sz="4" w:space="0"/>
            </w:tcBorders>
            <w:vAlign w:val="center"/>
          </w:tcPr>
          <w:p w14:paraId="509D18FD">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35D49587">
            <w:pPr>
              <w:widowControl/>
              <w:jc w:val="center"/>
              <w:rPr>
                <w:kern w:val="0"/>
                <w:sz w:val="24"/>
              </w:rPr>
            </w:pPr>
            <w:r>
              <w:rPr>
                <w:kern w:val="0"/>
                <w:sz w:val="24"/>
              </w:rPr>
              <w:t>10000</w:t>
            </w:r>
          </w:p>
        </w:tc>
        <w:tc>
          <w:tcPr>
            <w:tcW w:w="1276" w:type="dxa"/>
            <w:tcBorders>
              <w:top w:val="nil"/>
              <w:left w:val="nil"/>
              <w:bottom w:val="single" w:color="auto" w:sz="4" w:space="0"/>
              <w:right w:val="single" w:color="auto" w:sz="4" w:space="0"/>
            </w:tcBorders>
            <w:vAlign w:val="center"/>
          </w:tcPr>
          <w:p w14:paraId="377919EF">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3BE4C103">
            <w:pPr>
              <w:widowControl/>
              <w:jc w:val="center"/>
              <w:rPr>
                <w:b/>
                <w:bCs/>
                <w:kern w:val="0"/>
                <w:sz w:val="24"/>
              </w:rPr>
            </w:pPr>
            <w:r>
              <w:rPr>
                <w:b/>
                <w:bCs/>
                <w:kern w:val="0"/>
                <w:sz w:val="24"/>
              </w:rPr>
              <w:t>　</w:t>
            </w:r>
          </w:p>
        </w:tc>
      </w:tr>
      <w:tr w14:paraId="5D91BCA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50B8FD62">
            <w:pPr>
              <w:widowControl/>
              <w:jc w:val="center"/>
              <w:rPr>
                <w:kern w:val="0"/>
                <w:sz w:val="24"/>
              </w:rPr>
            </w:pPr>
            <w:r>
              <w:rPr>
                <w:kern w:val="0"/>
                <w:sz w:val="24"/>
              </w:rPr>
              <w:t>1.5.3</w:t>
            </w:r>
          </w:p>
        </w:tc>
        <w:tc>
          <w:tcPr>
            <w:tcW w:w="3128" w:type="dxa"/>
            <w:tcBorders>
              <w:top w:val="nil"/>
              <w:left w:val="nil"/>
              <w:bottom w:val="single" w:color="auto" w:sz="4" w:space="0"/>
              <w:right w:val="single" w:color="auto" w:sz="4" w:space="0"/>
            </w:tcBorders>
            <w:vAlign w:val="center"/>
          </w:tcPr>
          <w:p w14:paraId="63DD6D92">
            <w:pPr>
              <w:widowControl/>
              <w:jc w:val="left"/>
              <w:rPr>
                <w:rFonts w:ascii="宋体" w:hAnsi="宋体" w:cs="宋体"/>
                <w:kern w:val="0"/>
                <w:sz w:val="24"/>
              </w:rPr>
            </w:pPr>
            <w:r>
              <w:rPr>
                <w:rFonts w:hint="eastAsia" w:ascii="宋体" w:hAnsi="宋体" w:cs="宋体"/>
                <w:kern w:val="0"/>
                <w:sz w:val="24"/>
              </w:rPr>
              <w:t>综合性热带森林康养基地</w:t>
            </w:r>
          </w:p>
        </w:tc>
        <w:tc>
          <w:tcPr>
            <w:tcW w:w="1984" w:type="dxa"/>
            <w:tcBorders>
              <w:top w:val="nil"/>
              <w:left w:val="nil"/>
              <w:bottom w:val="single" w:color="auto" w:sz="4" w:space="0"/>
              <w:right w:val="single" w:color="auto" w:sz="4" w:space="0"/>
            </w:tcBorders>
            <w:vAlign w:val="center"/>
          </w:tcPr>
          <w:p w14:paraId="40C15321">
            <w:pPr>
              <w:widowControl/>
              <w:jc w:val="center"/>
              <w:rPr>
                <w:kern w:val="0"/>
                <w:sz w:val="24"/>
              </w:rPr>
            </w:pPr>
            <w:r>
              <w:rPr>
                <w:rFonts w:hint="eastAsia" w:ascii="宋体" w:hAnsi="宋体"/>
                <w:kern w:val="0"/>
                <w:sz w:val="24"/>
              </w:rPr>
              <w:t>全市范围</w:t>
            </w:r>
          </w:p>
        </w:tc>
        <w:tc>
          <w:tcPr>
            <w:tcW w:w="1236" w:type="dxa"/>
            <w:tcBorders>
              <w:top w:val="nil"/>
              <w:left w:val="nil"/>
              <w:bottom w:val="single" w:color="auto" w:sz="4" w:space="0"/>
              <w:right w:val="single" w:color="auto" w:sz="4" w:space="0"/>
            </w:tcBorders>
            <w:vAlign w:val="center"/>
          </w:tcPr>
          <w:p w14:paraId="539EF1B4">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13AB62A1">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30F384F8">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0940E6B4">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19DF3B3E">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23F087AD">
            <w:pPr>
              <w:widowControl/>
              <w:jc w:val="center"/>
              <w:rPr>
                <w:b/>
                <w:bCs/>
                <w:kern w:val="0"/>
                <w:sz w:val="24"/>
              </w:rPr>
            </w:pPr>
            <w:r>
              <w:rPr>
                <w:b/>
                <w:bCs/>
                <w:kern w:val="0"/>
                <w:sz w:val="24"/>
              </w:rPr>
              <w:t>　</w:t>
            </w:r>
          </w:p>
        </w:tc>
      </w:tr>
      <w:tr w14:paraId="774080AA">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3AFE62F3">
            <w:pPr>
              <w:widowControl/>
              <w:jc w:val="center"/>
              <w:rPr>
                <w:b/>
                <w:bCs/>
                <w:kern w:val="0"/>
                <w:sz w:val="24"/>
              </w:rPr>
            </w:pPr>
            <w:r>
              <w:rPr>
                <w:b/>
                <w:bCs/>
                <w:kern w:val="0"/>
                <w:sz w:val="24"/>
              </w:rPr>
              <w:t>1.6</w:t>
            </w:r>
          </w:p>
        </w:tc>
        <w:tc>
          <w:tcPr>
            <w:tcW w:w="3128" w:type="dxa"/>
            <w:tcBorders>
              <w:top w:val="nil"/>
              <w:left w:val="nil"/>
              <w:bottom w:val="single" w:color="auto" w:sz="4" w:space="0"/>
              <w:right w:val="single" w:color="auto" w:sz="4" w:space="0"/>
            </w:tcBorders>
            <w:vAlign w:val="center"/>
          </w:tcPr>
          <w:p w14:paraId="4C26E4C9">
            <w:pPr>
              <w:widowControl/>
              <w:jc w:val="left"/>
              <w:rPr>
                <w:rFonts w:ascii="宋体" w:hAnsi="宋体" w:cs="宋体"/>
                <w:b/>
                <w:bCs/>
                <w:kern w:val="0"/>
                <w:sz w:val="24"/>
              </w:rPr>
            </w:pPr>
            <w:r>
              <w:rPr>
                <w:rFonts w:hint="eastAsia" w:ascii="宋体" w:hAnsi="宋体" w:cs="宋体"/>
                <w:b/>
                <w:bCs/>
                <w:kern w:val="0"/>
                <w:sz w:val="24"/>
              </w:rPr>
              <w:t>提高森林康养服务配套及设施工程</w:t>
            </w:r>
          </w:p>
        </w:tc>
        <w:tc>
          <w:tcPr>
            <w:tcW w:w="1984" w:type="dxa"/>
            <w:tcBorders>
              <w:top w:val="nil"/>
              <w:left w:val="nil"/>
              <w:bottom w:val="single" w:color="auto" w:sz="4" w:space="0"/>
              <w:right w:val="single" w:color="auto" w:sz="4" w:space="0"/>
            </w:tcBorders>
            <w:vAlign w:val="center"/>
          </w:tcPr>
          <w:p w14:paraId="0B23CB10">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7731E8B2">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50B8E43B">
            <w:pPr>
              <w:widowControl/>
              <w:jc w:val="center"/>
              <w:rPr>
                <w:b/>
                <w:bCs/>
                <w:kern w:val="0"/>
                <w:sz w:val="24"/>
              </w:rPr>
            </w:pPr>
            <w:r>
              <w:rPr>
                <w:b/>
                <w:bCs/>
                <w:kern w:val="0"/>
                <w:sz w:val="24"/>
              </w:rPr>
              <w:t>2000</w:t>
            </w:r>
          </w:p>
        </w:tc>
        <w:tc>
          <w:tcPr>
            <w:tcW w:w="1559" w:type="dxa"/>
            <w:tcBorders>
              <w:top w:val="nil"/>
              <w:left w:val="nil"/>
              <w:bottom w:val="single" w:color="auto" w:sz="4" w:space="0"/>
              <w:right w:val="single" w:color="auto" w:sz="4" w:space="0"/>
            </w:tcBorders>
            <w:vAlign w:val="center"/>
          </w:tcPr>
          <w:p w14:paraId="6018971B">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2A69C153">
            <w:pPr>
              <w:widowControl/>
              <w:jc w:val="center"/>
              <w:rPr>
                <w:b/>
                <w:bCs/>
                <w:kern w:val="0"/>
                <w:sz w:val="24"/>
              </w:rPr>
            </w:pPr>
            <w:r>
              <w:rPr>
                <w:b/>
                <w:bCs/>
                <w:kern w:val="0"/>
                <w:sz w:val="24"/>
              </w:rPr>
              <w:t>2000</w:t>
            </w:r>
          </w:p>
        </w:tc>
        <w:tc>
          <w:tcPr>
            <w:tcW w:w="1276" w:type="dxa"/>
            <w:tcBorders>
              <w:top w:val="nil"/>
              <w:left w:val="nil"/>
              <w:bottom w:val="single" w:color="auto" w:sz="4" w:space="0"/>
              <w:right w:val="single" w:color="auto" w:sz="4" w:space="0"/>
            </w:tcBorders>
            <w:vAlign w:val="center"/>
          </w:tcPr>
          <w:p w14:paraId="362A50D0">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106B163B">
            <w:pPr>
              <w:widowControl/>
              <w:jc w:val="center"/>
              <w:rPr>
                <w:b/>
                <w:bCs/>
                <w:kern w:val="0"/>
                <w:sz w:val="24"/>
              </w:rPr>
            </w:pPr>
            <w:r>
              <w:rPr>
                <w:b/>
                <w:bCs/>
                <w:kern w:val="0"/>
                <w:sz w:val="24"/>
              </w:rPr>
              <w:t>　</w:t>
            </w:r>
          </w:p>
        </w:tc>
      </w:tr>
      <w:tr w14:paraId="5DF4E58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0094F28C">
            <w:pPr>
              <w:widowControl/>
              <w:jc w:val="center"/>
              <w:rPr>
                <w:kern w:val="0"/>
                <w:sz w:val="24"/>
              </w:rPr>
            </w:pPr>
            <w:r>
              <w:rPr>
                <w:kern w:val="0"/>
                <w:sz w:val="24"/>
              </w:rPr>
              <w:t>1.6.1</w:t>
            </w:r>
          </w:p>
        </w:tc>
        <w:tc>
          <w:tcPr>
            <w:tcW w:w="3128" w:type="dxa"/>
            <w:tcBorders>
              <w:top w:val="nil"/>
              <w:left w:val="nil"/>
              <w:bottom w:val="single" w:color="auto" w:sz="4" w:space="0"/>
              <w:right w:val="single" w:color="auto" w:sz="4" w:space="0"/>
            </w:tcBorders>
            <w:vAlign w:val="center"/>
          </w:tcPr>
          <w:p w14:paraId="6D2990D7">
            <w:pPr>
              <w:widowControl/>
              <w:jc w:val="left"/>
              <w:rPr>
                <w:kern w:val="0"/>
                <w:sz w:val="24"/>
              </w:rPr>
            </w:pPr>
            <w:r>
              <w:rPr>
                <w:rFonts w:hint="eastAsia" w:ascii="宋体" w:hAnsi="宋体"/>
                <w:kern w:val="0"/>
                <w:sz w:val="24"/>
              </w:rPr>
              <w:t>完善森林康养基础设施</w:t>
            </w:r>
          </w:p>
        </w:tc>
        <w:tc>
          <w:tcPr>
            <w:tcW w:w="1984" w:type="dxa"/>
            <w:tcBorders>
              <w:top w:val="nil"/>
              <w:left w:val="nil"/>
              <w:bottom w:val="single" w:color="auto" w:sz="4" w:space="0"/>
              <w:right w:val="single" w:color="auto" w:sz="4" w:space="0"/>
            </w:tcBorders>
            <w:vAlign w:val="center"/>
          </w:tcPr>
          <w:p w14:paraId="6EA679D8">
            <w:pPr>
              <w:widowControl/>
              <w:jc w:val="center"/>
              <w:rPr>
                <w:kern w:val="0"/>
                <w:sz w:val="24"/>
              </w:rPr>
            </w:pPr>
            <w:r>
              <w:rPr>
                <w:kern w:val="0"/>
                <w:sz w:val="24"/>
              </w:rPr>
              <w:t>—</w:t>
            </w:r>
          </w:p>
        </w:tc>
        <w:tc>
          <w:tcPr>
            <w:tcW w:w="1236" w:type="dxa"/>
            <w:tcBorders>
              <w:top w:val="nil"/>
              <w:left w:val="nil"/>
              <w:bottom w:val="single" w:color="auto" w:sz="4" w:space="0"/>
              <w:right w:val="single" w:color="auto" w:sz="4" w:space="0"/>
            </w:tcBorders>
            <w:vAlign w:val="center"/>
          </w:tcPr>
          <w:p w14:paraId="039D54E0">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45CDBD29">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00DEB90C">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7B6DAB17">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3949983A">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noWrap/>
            <w:vAlign w:val="center"/>
          </w:tcPr>
          <w:p w14:paraId="5761CCA6">
            <w:pPr>
              <w:widowControl/>
              <w:jc w:val="center"/>
              <w:rPr>
                <w:kern w:val="0"/>
                <w:sz w:val="24"/>
              </w:rPr>
            </w:pPr>
            <w:r>
              <w:rPr>
                <w:kern w:val="0"/>
                <w:sz w:val="24"/>
              </w:rPr>
              <w:t>　</w:t>
            </w:r>
          </w:p>
        </w:tc>
      </w:tr>
      <w:tr w14:paraId="510B5CA4">
        <w:tblPrEx>
          <w:tblCellMar>
            <w:top w:w="0" w:type="dxa"/>
            <w:left w:w="108" w:type="dxa"/>
            <w:bottom w:w="0" w:type="dxa"/>
            <w:right w:w="108" w:type="dxa"/>
          </w:tblCellMar>
        </w:tblPrEx>
        <w:trPr>
          <w:cantSplit/>
          <w:trHeight w:val="570" w:hRule="atLeast"/>
        </w:trPr>
        <w:tc>
          <w:tcPr>
            <w:tcW w:w="1140" w:type="dxa"/>
            <w:tcBorders>
              <w:top w:val="single" w:color="auto" w:sz="4" w:space="0"/>
              <w:left w:val="single" w:color="auto" w:sz="4" w:space="0"/>
              <w:bottom w:val="single" w:color="auto" w:sz="4" w:space="0"/>
              <w:right w:val="single" w:color="auto" w:sz="4" w:space="0"/>
            </w:tcBorders>
            <w:vAlign w:val="center"/>
          </w:tcPr>
          <w:p w14:paraId="1715609B">
            <w:pPr>
              <w:widowControl/>
              <w:jc w:val="center"/>
              <w:rPr>
                <w:kern w:val="0"/>
                <w:sz w:val="24"/>
              </w:rPr>
            </w:pPr>
            <w:r>
              <w:rPr>
                <w:kern w:val="0"/>
                <w:sz w:val="24"/>
              </w:rPr>
              <w:t>1.6.2</w:t>
            </w:r>
          </w:p>
        </w:tc>
        <w:tc>
          <w:tcPr>
            <w:tcW w:w="3128" w:type="dxa"/>
            <w:tcBorders>
              <w:top w:val="single" w:color="auto" w:sz="4" w:space="0"/>
              <w:left w:val="single" w:color="auto" w:sz="4" w:space="0"/>
              <w:bottom w:val="single" w:color="auto" w:sz="4" w:space="0"/>
              <w:right w:val="single" w:color="auto" w:sz="4" w:space="0"/>
            </w:tcBorders>
            <w:vAlign w:val="center"/>
          </w:tcPr>
          <w:p w14:paraId="2A27CC83">
            <w:pPr>
              <w:widowControl/>
              <w:jc w:val="left"/>
              <w:rPr>
                <w:kern w:val="0"/>
                <w:sz w:val="24"/>
              </w:rPr>
            </w:pPr>
            <w:r>
              <w:rPr>
                <w:rFonts w:hint="eastAsia" w:ascii="宋体" w:hAnsi="宋体"/>
                <w:kern w:val="0"/>
                <w:sz w:val="24"/>
              </w:rPr>
              <w:t>森林康养人才</w:t>
            </w:r>
          </w:p>
        </w:tc>
        <w:tc>
          <w:tcPr>
            <w:tcW w:w="1984" w:type="dxa"/>
            <w:tcBorders>
              <w:top w:val="single" w:color="auto" w:sz="4" w:space="0"/>
              <w:left w:val="single" w:color="auto" w:sz="4" w:space="0"/>
              <w:bottom w:val="single" w:color="auto" w:sz="4" w:space="0"/>
              <w:right w:val="single" w:color="auto" w:sz="4" w:space="0"/>
            </w:tcBorders>
            <w:vAlign w:val="center"/>
          </w:tcPr>
          <w:p w14:paraId="53DD8BE4">
            <w:pPr>
              <w:widowControl/>
              <w:jc w:val="center"/>
              <w:rPr>
                <w:kern w:val="0"/>
                <w:sz w:val="24"/>
              </w:rPr>
            </w:pPr>
            <w:r>
              <w:rPr>
                <w:kern w:val="0"/>
                <w:sz w:val="24"/>
              </w:rPr>
              <w:t>—</w:t>
            </w:r>
          </w:p>
        </w:tc>
        <w:tc>
          <w:tcPr>
            <w:tcW w:w="1236" w:type="dxa"/>
            <w:tcBorders>
              <w:top w:val="single" w:color="auto" w:sz="4" w:space="0"/>
              <w:left w:val="single" w:color="auto" w:sz="4" w:space="0"/>
              <w:bottom w:val="single" w:color="auto" w:sz="4" w:space="0"/>
              <w:right w:val="single" w:color="auto" w:sz="4" w:space="0"/>
            </w:tcBorders>
            <w:vAlign w:val="center"/>
          </w:tcPr>
          <w:p w14:paraId="754C7C8C">
            <w:pPr>
              <w:widowControl/>
              <w:jc w:val="center"/>
              <w:rPr>
                <w:kern w:val="0"/>
                <w:sz w:val="24"/>
              </w:rPr>
            </w:pPr>
            <w:r>
              <w:rPr>
                <w:kern w:val="0"/>
                <w:sz w:val="24"/>
              </w:rPr>
              <w:t>—</w:t>
            </w:r>
          </w:p>
        </w:tc>
        <w:tc>
          <w:tcPr>
            <w:tcW w:w="1701" w:type="dxa"/>
            <w:tcBorders>
              <w:top w:val="single" w:color="auto" w:sz="4" w:space="0"/>
              <w:left w:val="single" w:color="auto" w:sz="4" w:space="0"/>
              <w:bottom w:val="single" w:color="auto" w:sz="4" w:space="0"/>
              <w:right w:val="single" w:color="auto" w:sz="4" w:space="0"/>
            </w:tcBorders>
            <w:vAlign w:val="center"/>
          </w:tcPr>
          <w:p w14:paraId="1252F515">
            <w:pPr>
              <w:widowControl/>
              <w:jc w:val="center"/>
              <w:rPr>
                <w:kern w:val="0"/>
                <w:sz w:val="24"/>
              </w:rPr>
            </w:pPr>
            <w:r>
              <w:rPr>
                <w:kern w:val="0"/>
                <w:sz w:val="24"/>
              </w:rPr>
              <w:t>1000</w:t>
            </w:r>
          </w:p>
        </w:tc>
        <w:tc>
          <w:tcPr>
            <w:tcW w:w="1559" w:type="dxa"/>
            <w:tcBorders>
              <w:top w:val="single" w:color="auto" w:sz="4" w:space="0"/>
              <w:left w:val="single" w:color="auto" w:sz="4" w:space="0"/>
              <w:bottom w:val="single" w:color="auto" w:sz="4" w:space="0"/>
              <w:right w:val="single" w:color="auto" w:sz="4" w:space="0"/>
            </w:tcBorders>
            <w:vAlign w:val="center"/>
          </w:tcPr>
          <w:p w14:paraId="1390E19A">
            <w:pPr>
              <w:widowControl/>
              <w:jc w:val="center"/>
              <w:rPr>
                <w:kern w:val="0"/>
                <w:sz w:val="24"/>
              </w:rPr>
            </w:pPr>
            <w:r>
              <w:rPr>
                <w:kern w:val="0"/>
                <w:sz w:val="24"/>
              </w:rPr>
              <w:t>—</w:t>
            </w:r>
          </w:p>
        </w:tc>
        <w:tc>
          <w:tcPr>
            <w:tcW w:w="1559" w:type="dxa"/>
            <w:tcBorders>
              <w:top w:val="single" w:color="auto" w:sz="4" w:space="0"/>
              <w:left w:val="single" w:color="auto" w:sz="4" w:space="0"/>
              <w:bottom w:val="single" w:color="auto" w:sz="4" w:space="0"/>
              <w:right w:val="single" w:color="auto" w:sz="4" w:space="0"/>
            </w:tcBorders>
            <w:vAlign w:val="center"/>
          </w:tcPr>
          <w:p w14:paraId="382B828C">
            <w:pPr>
              <w:widowControl/>
              <w:jc w:val="center"/>
              <w:rPr>
                <w:kern w:val="0"/>
                <w:sz w:val="24"/>
              </w:rPr>
            </w:pPr>
            <w:r>
              <w:rPr>
                <w:kern w:val="0"/>
                <w:sz w:val="24"/>
              </w:rPr>
              <w:t>1000</w:t>
            </w:r>
          </w:p>
        </w:tc>
        <w:tc>
          <w:tcPr>
            <w:tcW w:w="1276" w:type="dxa"/>
            <w:tcBorders>
              <w:top w:val="single" w:color="auto" w:sz="4" w:space="0"/>
              <w:left w:val="single" w:color="auto" w:sz="4" w:space="0"/>
              <w:bottom w:val="single" w:color="auto" w:sz="4" w:space="0"/>
              <w:right w:val="single" w:color="auto" w:sz="4" w:space="0"/>
            </w:tcBorders>
            <w:vAlign w:val="center"/>
          </w:tcPr>
          <w:p w14:paraId="783C1823">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single" w:color="auto" w:sz="4" w:space="0"/>
              <w:left w:val="single" w:color="auto" w:sz="4" w:space="0"/>
              <w:bottom w:val="single" w:color="auto" w:sz="4" w:space="0"/>
              <w:right w:val="single" w:color="auto" w:sz="4" w:space="0"/>
            </w:tcBorders>
            <w:noWrap/>
            <w:vAlign w:val="center"/>
          </w:tcPr>
          <w:p w14:paraId="3476EA68">
            <w:pPr>
              <w:widowControl/>
              <w:jc w:val="center"/>
              <w:rPr>
                <w:kern w:val="0"/>
                <w:sz w:val="24"/>
              </w:rPr>
            </w:pPr>
            <w:r>
              <w:rPr>
                <w:kern w:val="0"/>
                <w:sz w:val="24"/>
              </w:rPr>
              <w:t>　</w:t>
            </w:r>
          </w:p>
        </w:tc>
      </w:tr>
      <w:tr w14:paraId="366D7855">
        <w:tblPrEx>
          <w:tblCellMar>
            <w:top w:w="0" w:type="dxa"/>
            <w:left w:w="108" w:type="dxa"/>
            <w:bottom w:w="0" w:type="dxa"/>
            <w:right w:w="108" w:type="dxa"/>
          </w:tblCellMar>
        </w:tblPrEx>
        <w:trPr>
          <w:cantSplit/>
          <w:trHeight w:val="501" w:hRule="atLeast"/>
        </w:trPr>
        <w:tc>
          <w:tcPr>
            <w:tcW w:w="1140" w:type="dxa"/>
            <w:tcBorders>
              <w:top w:val="single" w:color="auto" w:sz="4" w:space="0"/>
              <w:left w:val="single" w:color="auto" w:sz="4" w:space="0"/>
              <w:bottom w:val="single" w:color="auto" w:sz="4" w:space="0"/>
              <w:right w:val="single" w:color="auto" w:sz="4" w:space="0"/>
            </w:tcBorders>
            <w:vAlign w:val="center"/>
          </w:tcPr>
          <w:p w14:paraId="3BEDD6A5">
            <w:pPr>
              <w:widowControl/>
              <w:jc w:val="center"/>
              <w:rPr>
                <w:rFonts w:ascii="宋体" w:hAnsi="宋体" w:cs="宋体"/>
                <w:b/>
                <w:bCs/>
                <w:kern w:val="0"/>
                <w:sz w:val="24"/>
              </w:rPr>
            </w:pPr>
            <w:r>
              <w:rPr>
                <w:rFonts w:hint="eastAsia" w:ascii="宋体" w:hAnsi="宋体" w:cs="宋体"/>
                <w:b/>
                <w:bCs/>
                <w:kern w:val="0"/>
                <w:sz w:val="24"/>
              </w:rPr>
              <w:t>二</w:t>
            </w:r>
          </w:p>
        </w:tc>
        <w:tc>
          <w:tcPr>
            <w:tcW w:w="3128" w:type="dxa"/>
            <w:tcBorders>
              <w:top w:val="single" w:color="auto" w:sz="4" w:space="0"/>
              <w:left w:val="nil"/>
              <w:bottom w:val="single" w:color="auto" w:sz="4" w:space="0"/>
              <w:right w:val="single" w:color="auto" w:sz="4" w:space="0"/>
            </w:tcBorders>
            <w:vAlign w:val="center"/>
          </w:tcPr>
          <w:p w14:paraId="2E505454">
            <w:pPr>
              <w:widowControl/>
              <w:jc w:val="left"/>
              <w:rPr>
                <w:rFonts w:ascii="宋体" w:hAnsi="宋体" w:cs="宋体"/>
                <w:b/>
                <w:bCs/>
                <w:kern w:val="0"/>
                <w:sz w:val="24"/>
              </w:rPr>
            </w:pPr>
            <w:r>
              <w:rPr>
                <w:rFonts w:hint="eastAsia" w:ascii="宋体" w:hAnsi="宋体" w:cs="宋体"/>
                <w:b/>
                <w:bCs/>
                <w:kern w:val="0"/>
                <w:sz w:val="24"/>
              </w:rPr>
              <w:t>林木种苗与花卉产业</w:t>
            </w:r>
          </w:p>
        </w:tc>
        <w:tc>
          <w:tcPr>
            <w:tcW w:w="1984" w:type="dxa"/>
            <w:tcBorders>
              <w:top w:val="single" w:color="auto" w:sz="4" w:space="0"/>
              <w:left w:val="nil"/>
              <w:bottom w:val="single" w:color="auto" w:sz="4" w:space="0"/>
              <w:right w:val="single" w:color="auto" w:sz="4" w:space="0"/>
            </w:tcBorders>
            <w:vAlign w:val="center"/>
          </w:tcPr>
          <w:p w14:paraId="5ABFF2EE">
            <w:pPr>
              <w:widowControl/>
              <w:jc w:val="center"/>
              <w:rPr>
                <w:b/>
                <w:bCs/>
                <w:kern w:val="0"/>
                <w:sz w:val="24"/>
              </w:rPr>
            </w:pPr>
            <w:r>
              <w:rPr>
                <w:b/>
                <w:bCs/>
                <w:kern w:val="0"/>
                <w:sz w:val="24"/>
              </w:rPr>
              <w:t>　</w:t>
            </w:r>
          </w:p>
        </w:tc>
        <w:tc>
          <w:tcPr>
            <w:tcW w:w="1236" w:type="dxa"/>
            <w:tcBorders>
              <w:top w:val="single" w:color="auto" w:sz="4" w:space="0"/>
              <w:left w:val="nil"/>
              <w:bottom w:val="single" w:color="auto" w:sz="4" w:space="0"/>
              <w:right w:val="single" w:color="auto" w:sz="4" w:space="0"/>
            </w:tcBorders>
            <w:vAlign w:val="center"/>
          </w:tcPr>
          <w:p w14:paraId="10D77B31">
            <w:pPr>
              <w:widowControl/>
              <w:jc w:val="center"/>
              <w:rPr>
                <w:b/>
                <w:bCs/>
                <w:kern w:val="0"/>
                <w:sz w:val="24"/>
              </w:rPr>
            </w:pPr>
            <w:r>
              <w:rPr>
                <w:b/>
                <w:bCs/>
                <w:kern w:val="0"/>
                <w:sz w:val="24"/>
              </w:rPr>
              <w:t>　</w:t>
            </w:r>
          </w:p>
        </w:tc>
        <w:tc>
          <w:tcPr>
            <w:tcW w:w="1701" w:type="dxa"/>
            <w:tcBorders>
              <w:top w:val="single" w:color="auto" w:sz="4" w:space="0"/>
              <w:left w:val="nil"/>
              <w:bottom w:val="single" w:color="auto" w:sz="4" w:space="0"/>
              <w:right w:val="single" w:color="auto" w:sz="4" w:space="0"/>
            </w:tcBorders>
            <w:vAlign w:val="center"/>
          </w:tcPr>
          <w:p w14:paraId="359DBB67">
            <w:pPr>
              <w:widowControl/>
              <w:jc w:val="center"/>
              <w:rPr>
                <w:b/>
                <w:bCs/>
                <w:kern w:val="0"/>
                <w:sz w:val="24"/>
              </w:rPr>
            </w:pPr>
            <w:r>
              <w:rPr>
                <w:rFonts w:hint="eastAsia"/>
                <w:b/>
                <w:bCs/>
                <w:kern w:val="0"/>
                <w:sz w:val="24"/>
              </w:rPr>
              <w:t>333</w:t>
            </w:r>
            <w:r>
              <w:rPr>
                <w:b/>
                <w:bCs/>
                <w:kern w:val="0"/>
                <w:sz w:val="24"/>
              </w:rPr>
              <w:t>000</w:t>
            </w:r>
          </w:p>
        </w:tc>
        <w:tc>
          <w:tcPr>
            <w:tcW w:w="1559" w:type="dxa"/>
            <w:tcBorders>
              <w:top w:val="single" w:color="auto" w:sz="4" w:space="0"/>
              <w:left w:val="nil"/>
              <w:bottom w:val="single" w:color="auto" w:sz="4" w:space="0"/>
              <w:right w:val="single" w:color="auto" w:sz="4" w:space="0"/>
            </w:tcBorders>
            <w:vAlign w:val="center"/>
          </w:tcPr>
          <w:p w14:paraId="7F2B2585">
            <w:pPr>
              <w:widowControl/>
              <w:jc w:val="center"/>
              <w:rPr>
                <w:b/>
                <w:bCs/>
                <w:kern w:val="0"/>
                <w:sz w:val="24"/>
              </w:rPr>
            </w:pPr>
            <w:r>
              <w:rPr>
                <w:rFonts w:hint="eastAsia"/>
                <w:b/>
                <w:bCs/>
                <w:kern w:val="0"/>
                <w:sz w:val="24"/>
              </w:rPr>
              <w:t>129</w:t>
            </w:r>
            <w:r>
              <w:rPr>
                <w:b/>
                <w:bCs/>
                <w:kern w:val="0"/>
                <w:sz w:val="24"/>
              </w:rPr>
              <w:t>000</w:t>
            </w:r>
          </w:p>
        </w:tc>
        <w:tc>
          <w:tcPr>
            <w:tcW w:w="1559" w:type="dxa"/>
            <w:tcBorders>
              <w:top w:val="single" w:color="auto" w:sz="4" w:space="0"/>
              <w:left w:val="nil"/>
              <w:bottom w:val="single" w:color="auto" w:sz="4" w:space="0"/>
              <w:right w:val="single" w:color="auto" w:sz="4" w:space="0"/>
            </w:tcBorders>
            <w:vAlign w:val="center"/>
          </w:tcPr>
          <w:p w14:paraId="354B6DFB">
            <w:pPr>
              <w:widowControl/>
              <w:jc w:val="center"/>
              <w:rPr>
                <w:b/>
                <w:bCs/>
                <w:kern w:val="0"/>
                <w:sz w:val="24"/>
              </w:rPr>
            </w:pPr>
            <w:r>
              <w:rPr>
                <w:rFonts w:hint="eastAsia"/>
                <w:b/>
                <w:bCs/>
                <w:kern w:val="0"/>
                <w:sz w:val="24"/>
              </w:rPr>
              <w:t>20</w:t>
            </w:r>
            <w:r>
              <w:rPr>
                <w:b/>
                <w:bCs/>
                <w:kern w:val="0"/>
                <w:sz w:val="24"/>
              </w:rPr>
              <w:t>4000</w:t>
            </w:r>
          </w:p>
        </w:tc>
        <w:tc>
          <w:tcPr>
            <w:tcW w:w="1276" w:type="dxa"/>
            <w:tcBorders>
              <w:top w:val="single" w:color="auto" w:sz="4" w:space="0"/>
              <w:left w:val="nil"/>
              <w:bottom w:val="single" w:color="auto" w:sz="4" w:space="0"/>
              <w:right w:val="single" w:color="auto" w:sz="4" w:space="0"/>
            </w:tcBorders>
            <w:vAlign w:val="center"/>
          </w:tcPr>
          <w:p w14:paraId="29C70A08">
            <w:pPr>
              <w:widowControl/>
              <w:jc w:val="center"/>
              <w:rPr>
                <w:b/>
                <w:bCs/>
                <w:kern w:val="0"/>
                <w:sz w:val="24"/>
              </w:rPr>
            </w:pPr>
            <w:r>
              <w:rPr>
                <w:b/>
                <w:bCs/>
                <w:kern w:val="0"/>
                <w:sz w:val="24"/>
              </w:rPr>
              <w:t>　</w:t>
            </w:r>
          </w:p>
        </w:tc>
        <w:tc>
          <w:tcPr>
            <w:tcW w:w="851" w:type="dxa"/>
            <w:tcBorders>
              <w:top w:val="single" w:color="auto" w:sz="4" w:space="0"/>
              <w:left w:val="nil"/>
              <w:bottom w:val="single" w:color="auto" w:sz="4" w:space="0"/>
              <w:right w:val="single" w:color="auto" w:sz="4" w:space="0"/>
            </w:tcBorders>
            <w:vAlign w:val="center"/>
          </w:tcPr>
          <w:p w14:paraId="53D89232">
            <w:pPr>
              <w:widowControl/>
              <w:jc w:val="center"/>
              <w:rPr>
                <w:b/>
                <w:bCs/>
                <w:kern w:val="0"/>
                <w:sz w:val="24"/>
              </w:rPr>
            </w:pPr>
            <w:r>
              <w:rPr>
                <w:b/>
                <w:bCs/>
                <w:kern w:val="0"/>
                <w:sz w:val="24"/>
              </w:rPr>
              <w:t>　</w:t>
            </w:r>
          </w:p>
        </w:tc>
      </w:tr>
      <w:tr w14:paraId="0CE50C15">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0AE2B80">
            <w:pPr>
              <w:widowControl/>
              <w:jc w:val="center"/>
              <w:rPr>
                <w:kern w:val="0"/>
                <w:sz w:val="24"/>
              </w:rPr>
            </w:pPr>
            <w:r>
              <w:rPr>
                <w:kern w:val="0"/>
                <w:sz w:val="24"/>
              </w:rPr>
              <w:t>2.1</w:t>
            </w:r>
          </w:p>
        </w:tc>
        <w:tc>
          <w:tcPr>
            <w:tcW w:w="3128" w:type="dxa"/>
            <w:tcBorders>
              <w:top w:val="nil"/>
              <w:left w:val="nil"/>
              <w:bottom w:val="single" w:color="auto" w:sz="4" w:space="0"/>
              <w:right w:val="single" w:color="auto" w:sz="4" w:space="0"/>
            </w:tcBorders>
            <w:vAlign w:val="center"/>
          </w:tcPr>
          <w:p w14:paraId="54C78013">
            <w:pPr>
              <w:widowControl/>
              <w:jc w:val="left"/>
              <w:rPr>
                <w:b/>
                <w:bCs/>
                <w:kern w:val="0"/>
                <w:sz w:val="24"/>
              </w:rPr>
            </w:pPr>
            <w:r>
              <w:rPr>
                <w:b/>
                <w:bCs/>
                <w:kern w:val="0"/>
                <w:sz w:val="24"/>
              </w:rPr>
              <w:t>林木和花卉种苗繁育建设工程</w:t>
            </w:r>
          </w:p>
        </w:tc>
        <w:tc>
          <w:tcPr>
            <w:tcW w:w="1984" w:type="dxa"/>
            <w:tcBorders>
              <w:top w:val="nil"/>
              <w:left w:val="nil"/>
              <w:bottom w:val="single" w:color="auto" w:sz="4" w:space="0"/>
              <w:right w:val="single" w:color="auto" w:sz="4" w:space="0"/>
            </w:tcBorders>
            <w:vAlign w:val="center"/>
          </w:tcPr>
          <w:p w14:paraId="04894A0C">
            <w:pPr>
              <w:widowControl/>
              <w:jc w:val="center"/>
              <w:rPr>
                <w:kern w:val="0"/>
                <w:sz w:val="24"/>
              </w:rPr>
            </w:pPr>
            <w:r>
              <w:rPr>
                <w:kern w:val="0"/>
                <w:sz w:val="24"/>
              </w:rPr>
              <w:t>　</w:t>
            </w:r>
          </w:p>
        </w:tc>
        <w:tc>
          <w:tcPr>
            <w:tcW w:w="1236" w:type="dxa"/>
            <w:tcBorders>
              <w:top w:val="nil"/>
              <w:left w:val="nil"/>
              <w:bottom w:val="single" w:color="auto" w:sz="4" w:space="0"/>
              <w:right w:val="single" w:color="auto" w:sz="4" w:space="0"/>
            </w:tcBorders>
            <w:vAlign w:val="center"/>
          </w:tcPr>
          <w:p w14:paraId="21EA6C7A">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39504E0D">
            <w:pPr>
              <w:widowControl/>
              <w:jc w:val="center"/>
              <w:rPr>
                <w:b/>
                <w:bCs/>
                <w:kern w:val="0"/>
                <w:sz w:val="24"/>
              </w:rPr>
            </w:pPr>
            <w:r>
              <w:rPr>
                <w:b/>
                <w:bCs/>
                <w:kern w:val="0"/>
                <w:sz w:val="24"/>
              </w:rPr>
              <w:t>104000</w:t>
            </w:r>
          </w:p>
        </w:tc>
        <w:tc>
          <w:tcPr>
            <w:tcW w:w="1559" w:type="dxa"/>
            <w:tcBorders>
              <w:top w:val="nil"/>
              <w:left w:val="nil"/>
              <w:bottom w:val="single" w:color="auto" w:sz="4" w:space="0"/>
              <w:right w:val="single" w:color="auto" w:sz="4" w:space="0"/>
            </w:tcBorders>
            <w:vAlign w:val="center"/>
          </w:tcPr>
          <w:p w14:paraId="58CF185F">
            <w:pPr>
              <w:widowControl/>
              <w:jc w:val="center"/>
              <w:rPr>
                <w:b/>
                <w:bCs/>
                <w:kern w:val="0"/>
                <w:sz w:val="24"/>
              </w:rPr>
            </w:pPr>
            <w:r>
              <w:rPr>
                <w:b/>
                <w:bCs/>
                <w:kern w:val="0"/>
                <w:sz w:val="24"/>
              </w:rPr>
              <w:t>50000</w:t>
            </w:r>
          </w:p>
        </w:tc>
        <w:tc>
          <w:tcPr>
            <w:tcW w:w="1559" w:type="dxa"/>
            <w:tcBorders>
              <w:top w:val="nil"/>
              <w:left w:val="nil"/>
              <w:bottom w:val="single" w:color="auto" w:sz="4" w:space="0"/>
              <w:right w:val="single" w:color="auto" w:sz="4" w:space="0"/>
            </w:tcBorders>
            <w:vAlign w:val="center"/>
          </w:tcPr>
          <w:p w14:paraId="1BE6D193">
            <w:pPr>
              <w:widowControl/>
              <w:jc w:val="center"/>
              <w:rPr>
                <w:b/>
                <w:bCs/>
                <w:kern w:val="0"/>
                <w:sz w:val="24"/>
              </w:rPr>
            </w:pPr>
            <w:r>
              <w:rPr>
                <w:b/>
                <w:bCs/>
                <w:kern w:val="0"/>
                <w:sz w:val="24"/>
              </w:rPr>
              <w:t>54000</w:t>
            </w:r>
          </w:p>
        </w:tc>
        <w:tc>
          <w:tcPr>
            <w:tcW w:w="1276" w:type="dxa"/>
            <w:tcBorders>
              <w:top w:val="nil"/>
              <w:left w:val="nil"/>
              <w:bottom w:val="single" w:color="auto" w:sz="4" w:space="0"/>
              <w:right w:val="single" w:color="auto" w:sz="4" w:space="0"/>
            </w:tcBorders>
            <w:vAlign w:val="center"/>
          </w:tcPr>
          <w:p w14:paraId="0102BECF">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615ECCD6">
            <w:pPr>
              <w:widowControl/>
              <w:jc w:val="center"/>
              <w:rPr>
                <w:b/>
                <w:bCs/>
                <w:kern w:val="0"/>
                <w:sz w:val="24"/>
              </w:rPr>
            </w:pPr>
            <w:r>
              <w:rPr>
                <w:b/>
                <w:bCs/>
                <w:kern w:val="0"/>
                <w:sz w:val="24"/>
              </w:rPr>
              <w:t>　</w:t>
            </w:r>
          </w:p>
        </w:tc>
      </w:tr>
      <w:tr w14:paraId="721EEA1D">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4A0D3481">
            <w:pPr>
              <w:widowControl/>
              <w:jc w:val="center"/>
              <w:rPr>
                <w:kern w:val="0"/>
                <w:sz w:val="24"/>
              </w:rPr>
            </w:pPr>
            <w:r>
              <w:rPr>
                <w:kern w:val="0"/>
                <w:sz w:val="24"/>
              </w:rPr>
              <w:t>2.1.1</w:t>
            </w:r>
          </w:p>
        </w:tc>
        <w:tc>
          <w:tcPr>
            <w:tcW w:w="3128" w:type="dxa"/>
            <w:tcBorders>
              <w:top w:val="nil"/>
              <w:left w:val="nil"/>
              <w:bottom w:val="single" w:color="auto" w:sz="4" w:space="0"/>
              <w:right w:val="single" w:color="auto" w:sz="4" w:space="0"/>
            </w:tcBorders>
            <w:vAlign w:val="center"/>
          </w:tcPr>
          <w:p w14:paraId="77A41F83">
            <w:pPr>
              <w:widowControl/>
              <w:jc w:val="left"/>
              <w:rPr>
                <w:kern w:val="0"/>
                <w:sz w:val="24"/>
              </w:rPr>
            </w:pPr>
            <w:r>
              <w:rPr>
                <w:rFonts w:hint="eastAsia" w:ascii="宋体" w:hAnsi="宋体"/>
                <w:kern w:val="0"/>
                <w:sz w:val="24"/>
              </w:rPr>
              <w:t>林木种苗繁育基地</w:t>
            </w:r>
          </w:p>
        </w:tc>
        <w:tc>
          <w:tcPr>
            <w:tcW w:w="1984" w:type="dxa"/>
            <w:vMerge w:val="restart"/>
            <w:tcBorders>
              <w:top w:val="nil"/>
              <w:left w:val="single" w:color="auto" w:sz="4" w:space="0"/>
              <w:bottom w:val="single" w:color="auto" w:sz="4" w:space="0"/>
              <w:right w:val="single" w:color="auto" w:sz="4" w:space="0"/>
            </w:tcBorders>
            <w:vAlign w:val="center"/>
          </w:tcPr>
          <w:p w14:paraId="6E59DEF2">
            <w:pPr>
              <w:widowControl/>
              <w:jc w:val="center"/>
              <w:rPr>
                <w:kern w:val="0"/>
                <w:sz w:val="24"/>
              </w:rPr>
            </w:pPr>
            <w:r>
              <w:rPr>
                <w:rFonts w:hint="eastAsia" w:ascii="宋体" w:hAnsi="宋体"/>
                <w:kern w:val="0"/>
                <w:sz w:val="24"/>
              </w:rPr>
              <w:t>育才生态区</w:t>
            </w:r>
          </w:p>
        </w:tc>
        <w:tc>
          <w:tcPr>
            <w:tcW w:w="1236" w:type="dxa"/>
            <w:tcBorders>
              <w:top w:val="nil"/>
              <w:left w:val="nil"/>
              <w:bottom w:val="single" w:color="auto" w:sz="4" w:space="0"/>
              <w:right w:val="single" w:color="auto" w:sz="4" w:space="0"/>
            </w:tcBorders>
            <w:vAlign w:val="center"/>
          </w:tcPr>
          <w:p w14:paraId="08CADB95">
            <w:pPr>
              <w:widowControl/>
              <w:jc w:val="center"/>
              <w:rPr>
                <w:kern w:val="0"/>
                <w:sz w:val="24"/>
              </w:rPr>
            </w:pPr>
            <w:r>
              <w:rPr>
                <w:kern w:val="0"/>
                <w:sz w:val="24"/>
              </w:rPr>
              <w:t>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6956ABBB">
            <w:pPr>
              <w:widowControl/>
              <w:jc w:val="center"/>
              <w:rPr>
                <w:kern w:val="0"/>
                <w:sz w:val="24"/>
              </w:rPr>
            </w:pPr>
            <w:r>
              <w:rPr>
                <w:kern w:val="0"/>
                <w:sz w:val="24"/>
              </w:rPr>
              <w:t>15000</w:t>
            </w:r>
          </w:p>
        </w:tc>
        <w:tc>
          <w:tcPr>
            <w:tcW w:w="1559" w:type="dxa"/>
            <w:tcBorders>
              <w:top w:val="nil"/>
              <w:left w:val="nil"/>
              <w:bottom w:val="single" w:color="auto" w:sz="4" w:space="0"/>
              <w:right w:val="single" w:color="auto" w:sz="4" w:space="0"/>
            </w:tcBorders>
            <w:vAlign w:val="center"/>
          </w:tcPr>
          <w:p w14:paraId="3D072583">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5636E0BD">
            <w:pPr>
              <w:widowControl/>
              <w:jc w:val="center"/>
              <w:rPr>
                <w:kern w:val="0"/>
                <w:sz w:val="24"/>
              </w:rPr>
            </w:pPr>
            <w:r>
              <w:rPr>
                <w:kern w:val="0"/>
                <w:sz w:val="24"/>
              </w:rPr>
              <w:t>12000</w:t>
            </w:r>
          </w:p>
        </w:tc>
        <w:tc>
          <w:tcPr>
            <w:tcW w:w="1276" w:type="dxa"/>
            <w:tcBorders>
              <w:top w:val="nil"/>
              <w:left w:val="nil"/>
              <w:bottom w:val="single" w:color="auto" w:sz="4" w:space="0"/>
              <w:right w:val="single" w:color="auto" w:sz="4" w:space="0"/>
            </w:tcBorders>
            <w:vAlign w:val="center"/>
          </w:tcPr>
          <w:p w14:paraId="12589DD0">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6CAADE4C">
            <w:pPr>
              <w:widowControl/>
              <w:jc w:val="center"/>
              <w:rPr>
                <w:b/>
                <w:bCs/>
                <w:kern w:val="0"/>
                <w:sz w:val="24"/>
              </w:rPr>
            </w:pPr>
            <w:r>
              <w:rPr>
                <w:b/>
                <w:bCs/>
                <w:kern w:val="0"/>
                <w:sz w:val="24"/>
              </w:rPr>
              <w:t>　</w:t>
            </w:r>
          </w:p>
        </w:tc>
      </w:tr>
      <w:tr w14:paraId="77B39559">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270858F1">
            <w:pPr>
              <w:widowControl/>
              <w:jc w:val="center"/>
              <w:rPr>
                <w:kern w:val="0"/>
                <w:sz w:val="24"/>
              </w:rPr>
            </w:pPr>
            <w:r>
              <w:rPr>
                <w:kern w:val="0"/>
                <w:sz w:val="24"/>
              </w:rPr>
              <w:t>2.1.2</w:t>
            </w:r>
          </w:p>
        </w:tc>
        <w:tc>
          <w:tcPr>
            <w:tcW w:w="3128" w:type="dxa"/>
            <w:tcBorders>
              <w:top w:val="nil"/>
              <w:left w:val="nil"/>
              <w:bottom w:val="single" w:color="auto" w:sz="4" w:space="0"/>
              <w:right w:val="single" w:color="auto" w:sz="4" w:space="0"/>
            </w:tcBorders>
            <w:vAlign w:val="center"/>
          </w:tcPr>
          <w:p w14:paraId="0648D984">
            <w:pPr>
              <w:widowControl/>
              <w:jc w:val="left"/>
              <w:rPr>
                <w:kern w:val="0"/>
                <w:sz w:val="24"/>
              </w:rPr>
            </w:pPr>
            <w:r>
              <w:rPr>
                <w:rFonts w:hint="eastAsia" w:ascii="宋体" w:hAnsi="宋体"/>
                <w:kern w:val="0"/>
                <w:sz w:val="24"/>
              </w:rPr>
              <w:t>林木种苗良种基地</w:t>
            </w:r>
          </w:p>
        </w:tc>
        <w:tc>
          <w:tcPr>
            <w:tcW w:w="1984" w:type="dxa"/>
            <w:vMerge w:val="continue"/>
            <w:tcBorders>
              <w:top w:val="nil"/>
              <w:left w:val="single" w:color="auto" w:sz="4" w:space="0"/>
              <w:bottom w:val="single" w:color="auto" w:sz="4" w:space="0"/>
              <w:right w:val="single" w:color="auto" w:sz="4" w:space="0"/>
            </w:tcBorders>
            <w:vAlign w:val="center"/>
          </w:tcPr>
          <w:p w14:paraId="33CD46C4">
            <w:pPr>
              <w:widowControl/>
              <w:jc w:val="left"/>
              <w:rPr>
                <w:kern w:val="0"/>
                <w:sz w:val="24"/>
              </w:rPr>
            </w:pPr>
          </w:p>
        </w:tc>
        <w:tc>
          <w:tcPr>
            <w:tcW w:w="1236" w:type="dxa"/>
            <w:tcBorders>
              <w:top w:val="nil"/>
              <w:left w:val="nil"/>
              <w:bottom w:val="single" w:color="auto" w:sz="4" w:space="0"/>
              <w:right w:val="single" w:color="auto" w:sz="4" w:space="0"/>
            </w:tcBorders>
            <w:vAlign w:val="center"/>
          </w:tcPr>
          <w:p w14:paraId="65208E50">
            <w:pPr>
              <w:widowControl/>
              <w:jc w:val="center"/>
              <w:rPr>
                <w:kern w:val="0"/>
                <w:sz w:val="24"/>
              </w:rPr>
            </w:pPr>
            <w:r>
              <w:rPr>
                <w:kern w:val="0"/>
                <w:sz w:val="24"/>
              </w:rPr>
              <w:t>20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D008D59">
            <w:pPr>
              <w:widowControl/>
              <w:jc w:val="center"/>
              <w:rPr>
                <w:kern w:val="0"/>
                <w:sz w:val="24"/>
              </w:rPr>
            </w:pPr>
            <w:r>
              <w:rPr>
                <w:kern w:val="0"/>
                <w:sz w:val="24"/>
              </w:rPr>
              <w:t>9000</w:t>
            </w:r>
          </w:p>
        </w:tc>
        <w:tc>
          <w:tcPr>
            <w:tcW w:w="1559" w:type="dxa"/>
            <w:tcBorders>
              <w:top w:val="nil"/>
              <w:left w:val="nil"/>
              <w:bottom w:val="single" w:color="auto" w:sz="4" w:space="0"/>
              <w:right w:val="single" w:color="auto" w:sz="4" w:space="0"/>
            </w:tcBorders>
            <w:vAlign w:val="center"/>
          </w:tcPr>
          <w:p w14:paraId="093B5398">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4402B3E7">
            <w:pPr>
              <w:widowControl/>
              <w:jc w:val="center"/>
              <w:rPr>
                <w:kern w:val="0"/>
                <w:sz w:val="24"/>
              </w:rPr>
            </w:pPr>
            <w:r>
              <w:rPr>
                <w:kern w:val="0"/>
                <w:sz w:val="24"/>
              </w:rPr>
              <w:t>6000</w:t>
            </w:r>
          </w:p>
        </w:tc>
        <w:tc>
          <w:tcPr>
            <w:tcW w:w="1276" w:type="dxa"/>
            <w:tcBorders>
              <w:top w:val="nil"/>
              <w:left w:val="nil"/>
              <w:bottom w:val="single" w:color="auto" w:sz="4" w:space="0"/>
              <w:right w:val="single" w:color="auto" w:sz="4" w:space="0"/>
            </w:tcBorders>
            <w:vAlign w:val="center"/>
          </w:tcPr>
          <w:p w14:paraId="36BC7BE9">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77EA6F0F">
            <w:pPr>
              <w:widowControl/>
              <w:jc w:val="center"/>
              <w:rPr>
                <w:b/>
                <w:bCs/>
                <w:kern w:val="0"/>
                <w:sz w:val="24"/>
              </w:rPr>
            </w:pPr>
            <w:r>
              <w:rPr>
                <w:b/>
                <w:bCs/>
                <w:kern w:val="0"/>
                <w:sz w:val="24"/>
              </w:rPr>
              <w:t>　</w:t>
            </w:r>
          </w:p>
        </w:tc>
      </w:tr>
      <w:tr w14:paraId="1D1B0CB3">
        <w:tblPrEx>
          <w:tblCellMar>
            <w:top w:w="0" w:type="dxa"/>
            <w:left w:w="108" w:type="dxa"/>
            <w:bottom w:w="0" w:type="dxa"/>
            <w:right w:w="108" w:type="dxa"/>
          </w:tblCellMar>
        </w:tblPrEx>
        <w:trPr>
          <w:cantSplit/>
          <w:trHeight w:val="450" w:hRule="atLeast"/>
        </w:trPr>
        <w:tc>
          <w:tcPr>
            <w:tcW w:w="1140" w:type="dxa"/>
            <w:tcBorders>
              <w:top w:val="nil"/>
              <w:left w:val="single" w:color="auto" w:sz="4" w:space="0"/>
              <w:bottom w:val="single" w:color="auto" w:sz="4" w:space="0"/>
              <w:right w:val="single" w:color="auto" w:sz="4" w:space="0"/>
            </w:tcBorders>
            <w:vAlign w:val="center"/>
          </w:tcPr>
          <w:p w14:paraId="3F755DC2">
            <w:pPr>
              <w:widowControl/>
              <w:jc w:val="center"/>
              <w:rPr>
                <w:kern w:val="0"/>
                <w:sz w:val="24"/>
              </w:rPr>
            </w:pPr>
            <w:r>
              <w:rPr>
                <w:kern w:val="0"/>
                <w:sz w:val="24"/>
              </w:rPr>
              <w:t>2.1.3</w:t>
            </w:r>
          </w:p>
        </w:tc>
        <w:tc>
          <w:tcPr>
            <w:tcW w:w="3128" w:type="dxa"/>
            <w:tcBorders>
              <w:top w:val="nil"/>
              <w:left w:val="nil"/>
              <w:bottom w:val="single" w:color="auto" w:sz="4" w:space="0"/>
              <w:right w:val="single" w:color="auto" w:sz="4" w:space="0"/>
            </w:tcBorders>
            <w:vAlign w:val="center"/>
          </w:tcPr>
          <w:p w14:paraId="149AC102">
            <w:pPr>
              <w:widowControl/>
              <w:jc w:val="left"/>
              <w:rPr>
                <w:rFonts w:ascii="宋体" w:hAnsi="宋体" w:cs="宋体"/>
                <w:kern w:val="0"/>
                <w:sz w:val="24"/>
              </w:rPr>
            </w:pPr>
            <w:r>
              <w:rPr>
                <w:rFonts w:hint="eastAsia" w:ascii="宋体" w:hAnsi="宋体" w:cs="宋体"/>
                <w:kern w:val="0"/>
                <w:sz w:val="24"/>
              </w:rPr>
              <w:t>花卉产业园</w:t>
            </w:r>
          </w:p>
        </w:tc>
        <w:tc>
          <w:tcPr>
            <w:tcW w:w="1984" w:type="dxa"/>
            <w:vMerge w:val="continue"/>
            <w:tcBorders>
              <w:top w:val="nil"/>
              <w:left w:val="single" w:color="auto" w:sz="4" w:space="0"/>
              <w:bottom w:val="single" w:color="auto" w:sz="4" w:space="0"/>
              <w:right w:val="single" w:color="auto" w:sz="4" w:space="0"/>
            </w:tcBorders>
            <w:vAlign w:val="center"/>
          </w:tcPr>
          <w:p w14:paraId="0FEB21ED">
            <w:pPr>
              <w:widowControl/>
              <w:jc w:val="left"/>
              <w:rPr>
                <w:kern w:val="0"/>
                <w:sz w:val="24"/>
              </w:rPr>
            </w:pPr>
          </w:p>
        </w:tc>
        <w:tc>
          <w:tcPr>
            <w:tcW w:w="1236" w:type="dxa"/>
            <w:tcBorders>
              <w:top w:val="nil"/>
              <w:left w:val="nil"/>
              <w:bottom w:val="single" w:color="auto" w:sz="4" w:space="0"/>
              <w:right w:val="single" w:color="auto" w:sz="4" w:space="0"/>
            </w:tcBorders>
            <w:vAlign w:val="center"/>
          </w:tcPr>
          <w:p w14:paraId="4A813D6A">
            <w:pPr>
              <w:widowControl/>
              <w:jc w:val="center"/>
              <w:rPr>
                <w:kern w:val="0"/>
                <w:sz w:val="24"/>
              </w:rPr>
            </w:pPr>
            <w:r>
              <w:rPr>
                <w:kern w:val="0"/>
                <w:sz w:val="24"/>
              </w:rPr>
              <w:t>　</w:t>
            </w:r>
          </w:p>
        </w:tc>
        <w:tc>
          <w:tcPr>
            <w:tcW w:w="1701" w:type="dxa"/>
            <w:tcBorders>
              <w:top w:val="nil"/>
              <w:left w:val="nil"/>
              <w:bottom w:val="single" w:color="auto" w:sz="4" w:space="0"/>
              <w:right w:val="single" w:color="auto" w:sz="4" w:space="0"/>
            </w:tcBorders>
            <w:vAlign w:val="center"/>
          </w:tcPr>
          <w:p w14:paraId="5B1DEDD0">
            <w:pPr>
              <w:widowControl/>
              <w:jc w:val="center"/>
              <w:rPr>
                <w:kern w:val="0"/>
                <w:sz w:val="24"/>
              </w:rPr>
            </w:pPr>
            <w:r>
              <w:rPr>
                <w:kern w:val="0"/>
                <w:sz w:val="24"/>
              </w:rPr>
              <w:t>80000</w:t>
            </w:r>
          </w:p>
        </w:tc>
        <w:tc>
          <w:tcPr>
            <w:tcW w:w="1559" w:type="dxa"/>
            <w:tcBorders>
              <w:top w:val="nil"/>
              <w:left w:val="nil"/>
              <w:bottom w:val="single" w:color="auto" w:sz="4" w:space="0"/>
              <w:right w:val="single" w:color="auto" w:sz="4" w:space="0"/>
            </w:tcBorders>
            <w:vAlign w:val="center"/>
          </w:tcPr>
          <w:p w14:paraId="26392A64">
            <w:pPr>
              <w:widowControl/>
              <w:jc w:val="center"/>
              <w:rPr>
                <w:kern w:val="0"/>
                <w:sz w:val="24"/>
              </w:rPr>
            </w:pPr>
            <w:r>
              <w:rPr>
                <w:kern w:val="0"/>
                <w:sz w:val="24"/>
              </w:rPr>
              <w:t>44000</w:t>
            </w:r>
          </w:p>
        </w:tc>
        <w:tc>
          <w:tcPr>
            <w:tcW w:w="1559" w:type="dxa"/>
            <w:tcBorders>
              <w:top w:val="nil"/>
              <w:left w:val="nil"/>
              <w:bottom w:val="single" w:color="auto" w:sz="4" w:space="0"/>
              <w:right w:val="single" w:color="auto" w:sz="4" w:space="0"/>
            </w:tcBorders>
            <w:vAlign w:val="center"/>
          </w:tcPr>
          <w:p w14:paraId="7A1C1265">
            <w:pPr>
              <w:widowControl/>
              <w:jc w:val="center"/>
              <w:rPr>
                <w:kern w:val="0"/>
                <w:sz w:val="24"/>
              </w:rPr>
            </w:pPr>
            <w:r>
              <w:rPr>
                <w:kern w:val="0"/>
                <w:sz w:val="24"/>
              </w:rPr>
              <w:t>36000</w:t>
            </w:r>
          </w:p>
        </w:tc>
        <w:tc>
          <w:tcPr>
            <w:tcW w:w="1276" w:type="dxa"/>
            <w:tcBorders>
              <w:top w:val="nil"/>
              <w:left w:val="nil"/>
              <w:bottom w:val="single" w:color="auto" w:sz="4" w:space="0"/>
              <w:right w:val="single" w:color="auto" w:sz="4" w:space="0"/>
            </w:tcBorders>
            <w:vAlign w:val="center"/>
          </w:tcPr>
          <w:p w14:paraId="21FAA541">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27A26C22">
            <w:pPr>
              <w:widowControl/>
              <w:jc w:val="center"/>
              <w:rPr>
                <w:b/>
                <w:bCs/>
                <w:kern w:val="0"/>
                <w:sz w:val="24"/>
              </w:rPr>
            </w:pPr>
            <w:r>
              <w:rPr>
                <w:b/>
                <w:bCs/>
                <w:kern w:val="0"/>
                <w:sz w:val="24"/>
              </w:rPr>
              <w:t>　</w:t>
            </w:r>
          </w:p>
        </w:tc>
      </w:tr>
      <w:tr w14:paraId="1B1161B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31C2F948">
            <w:pPr>
              <w:widowControl/>
              <w:jc w:val="center"/>
              <w:rPr>
                <w:kern w:val="0"/>
                <w:sz w:val="24"/>
              </w:rPr>
            </w:pPr>
            <w:r>
              <w:rPr>
                <w:kern w:val="0"/>
                <w:sz w:val="24"/>
              </w:rPr>
              <w:t>2.1.3.1</w:t>
            </w:r>
          </w:p>
        </w:tc>
        <w:tc>
          <w:tcPr>
            <w:tcW w:w="3128" w:type="dxa"/>
            <w:tcBorders>
              <w:top w:val="nil"/>
              <w:left w:val="nil"/>
              <w:bottom w:val="single" w:color="auto" w:sz="4" w:space="0"/>
              <w:right w:val="single" w:color="auto" w:sz="4" w:space="0"/>
            </w:tcBorders>
            <w:vAlign w:val="center"/>
          </w:tcPr>
          <w:p w14:paraId="1FE21939">
            <w:pPr>
              <w:widowControl/>
              <w:jc w:val="left"/>
              <w:rPr>
                <w:kern w:val="0"/>
                <w:sz w:val="24"/>
              </w:rPr>
            </w:pPr>
            <w:r>
              <w:rPr>
                <w:rFonts w:hint="eastAsia" w:ascii="宋体" w:hAnsi="宋体"/>
                <w:kern w:val="0"/>
                <w:sz w:val="24"/>
              </w:rPr>
              <w:t>园林绿化种苗繁育基地</w:t>
            </w:r>
          </w:p>
        </w:tc>
        <w:tc>
          <w:tcPr>
            <w:tcW w:w="1984" w:type="dxa"/>
            <w:vMerge w:val="continue"/>
            <w:tcBorders>
              <w:top w:val="nil"/>
              <w:left w:val="single" w:color="auto" w:sz="4" w:space="0"/>
              <w:bottom w:val="single" w:color="auto" w:sz="4" w:space="0"/>
              <w:right w:val="single" w:color="auto" w:sz="4" w:space="0"/>
            </w:tcBorders>
            <w:vAlign w:val="center"/>
          </w:tcPr>
          <w:p w14:paraId="3FEE5FEC">
            <w:pPr>
              <w:widowControl/>
              <w:jc w:val="left"/>
              <w:rPr>
                <w:kern w:val="0"/>
                <w:sz w:val="24"/>
              </w:rPr>
            </w:pPr>
          </w:p>
        </w:tc>
        <w:tc>
          <w:tcPr>
            <w:tcW w:w="1236" w:type="dxa"/>
            <w:tcBorders>
              <w:top w:val="nil"/>
              <w:left w:val="nil"/>
              <w:bottom w:val="single" w:color="auto" w:sz="4" w:space="0"/>
              <w:right w:val="single" w:color="auto" w:sz="4" w:space="0"/>
            </w:tcBorders>
            <w:vAlign w:val="center"/>
          </w:tcPr>
          <w:p w14:paraId="36E2ADC3">
            <w:pPr>
              <w:widowControl/>
              <w:jc w:val="center"/>
              <w:rPr>
                <w:kern w:val="0"/>
                <w:sz w:val="24"/>
              </w:rPr>
            </w:pPr>
            <w:r>
              <w:rPr>
                <w:kern w:val="0"/>
                <w:sz w:val="24"/>
              </w:rPr>
              <w:t>167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3130E131">
            <w:pPr>
              <w:widowControl/>
              <w:jc w:val="center"/>
              <w:rPr>
                <w:kern w:val="0"/>
                <w:sz w:val="24"/>
              </w:rPr>
            </w:pPr>
            <w:r>
              <w:rPr>
                <w:kern w:val="0"/>
                <w:sz w:val="24"/>
              </w:rPr>
              <w:t>50000</w:t>
            </w:r>
          </w:p>
        </w:tc>
        <w:tc>
          <w:tcPr>
            <w:tcW w:w="1559" w:type="dxa"/>
            <w:tcBorders>
              <w:top w:val="nil"/>
              <w:left w:val="nil"/>
              <w:bottom w:val="single" w:color="auto" w:sz="4" w:space="0"/>
              <w:right w:val="single" w:color="auto" w:sz="4" w:space="0"/>
            </w:tcBorders>
            <w:vAlign w:val="center"/>
          </w:tcPr>
          <w:p w14:paraId="3B3BD5FD">
            <w:pPr>
              <w:widowControl/>
              <w:jc w:val="center"/>
              <w:rPr>
                <w:kern w:val="0"/>
                <w:sz w:val="24"/>
              </w:rPr>
            </w:pPr>
            <w:r>
              <w:rPr>
                <w:kern w:val="0"/>
                <w:sz w:val="24"/>
              </w:rPr>
              <w:t>30000</w:t>
            </w:r>
          </w:p>
        </w:tc>
        <w:tc>
          <w:tcPr>
            <w:tcW w:w="1559" w:type="dxa"/>
            <w:tcBorders>
              <w:top w:val="nil"/>
              <w:left w:val="nil"/>
              <w:bottom w:val="single" w:color="auto" w:sz="4" w:space="0"/>
              <w:right w:val="single" w:color="auto" w:sz="4" w:space="0"/>
            </w:tcBorders>
            <w:vAlign w:val="center"/>
          </w:tcPr>
          <w:p w14:paraId="018D25CD">
            <w:pPr>
              <w:widowControl/>
              <w:jc w:val="center"/>
              <w:rPr>
                <w:kern w:val="0"/>
                <w:sz w:val="24"/>
              </w:rPr>
            </w:pPr>
            <w:r>
              <w:rPr>
                <w:kern w:val="0"/>
                <w:sz w:val="24"/>
              </w:rPr>
              <w:t>20000</w:t>
            </w:r>
          </w:p>
        </w:tc>
        <w:tc>
          <w:tcPr>
            <w:tcW w:w="1276" w:type="dxa"/>
            <w:tcBorders>
              <w:top w:val="nil"/>
              <w:left w:val="nil"/>
              <w:bottom w:val="single" w:color="auto" w:sz="4" w:space="0"/>
              <w:right w:val="single" w:color="auto" w:sz="4" w:space="0"/>
            </w:tcBorders>
            <w:vAlign w:val="center"/>
          </w:tcPr>
          <w:p w14:paraId="1EEFE99D">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74E1F217">
            <w:pPr>
              <w:widowControl/>
              <w:jc w:val="center"/>
              <w:rPr>
                <w:b/>
                <w:bCs/>
                <w:kern w:val="0"/>
                <w:sz w:val="24"/>
              </w:rPr>
            </w:pPr>
            <w:r>
              <w:rPr>
                <w:b/>
                <w:bCs/>
                <w:kern w:val="0"/>
                <w:sz w:val="24"/>
              </w:rPr>
              <w:t>　</w:t>
            </w:r>
          </w:p>
        </w:tc>
      </w:tr>
      <w:tr w14:paraId="75520D2A">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04DD92CE">
            <w:pPr>
              <w:widowControl/>
              <w:jc w:val="center"/>
              <w:rPr>
                <w:kern w:val="0"/>
                <w:sz w:val="24"/>
              </w:rPr>
            </w:pPr>
            <w:r>
              <w:rPr>
                <w:kern w:val="0"/>
                <w:sz w:val="24"/>
              </w:rPr>
              <w:t>2.1.3.2</w:t>
            </w:r>
          </w:p>
        </w:tc>
        <w:tc>
          <w:tcPr>
            <w:tcW w:w="3128" w:type="dxa"/>
            <w:tcBorders>
              <w:top w:val="nil"/>
              <w:left w:val="nil"/>
              <w:bottom w:val="single" w:color="auto" w:sz="4" w:space="0"/>
              <w:right w:val="single" w:color="auto" w:sz="4" w:space="0"/>
            </w:tcBorders>
            <w:vAlign w:val="center"/>
          </w:tcPr>
          <w:p w14:paraId="43559199">
            <w:pPr>
              <w:widowControl/>
              <w:jc w:val="left"/>
              <w:rPr>
                <w:kern w:val="0"/>
                <w:sz w:val="24"/>
              </w:rPr>
            </w:pPr>
            <w:r>
              <w:rPr>
                <w:rFonts w:hint="eastAsia" w:ascii="宋体" w:hAnsi="宋体"/>
                <w:kern w:val="0"/>
                <w:sz w:val="24"/>
              </w:rPr>
              <w:t>种苗盆栽繁育基地</w:t>
            </w:r>
          </w:p>
        </w:tc>
        <w:tc>
          <w:tcPr>
            <w:tcW w:w="1984" w:type="dxa"/>
            <w:vMerge w:val="continue"/>
            <w:tcBorders>
              <w:top w:val="nil"/>
              <w:left w:val="single" w:color="auto" w:sz="4" w:space="0"/>
              <w:bottom w:val="single" w:color="auto" w:sz="4" w:space="0"/>
              <w:right w:val="single" w:color="auto" w:sz="4" w:space="0"/>
            </w:tcBorders>
            <w:vAlign w:val="center"/>
          </w:tcPr>
          <w:p w14:paraId="44BF6D3A">
            <w:pPr>
              <w:widowControl/>
              <w:jc w:val="left"/>
              <w:rPr>
                <w:kern w:val="0"/>
                <w:sz w:val="24"/>
              </w:rPr>
            </w:pPr>
          </w:p>
        </w:tc>
        <w:tc>
          <w:tcPr>
            <w:tcW w:w="1236" w:type="dxa"/>
            <w:tcBorders>
              <w:top w:val="nil"/>
              <w:left w:val="nil"/>
              <w:bottom w:val="single" w:color="auto" w:sz="4" w:space="0"/>
              <w:right w:val="single" w:color="auto" w:sz="4" w:space="0"/>
            </w:tcBorders>
            <w:vAlign w:val="center"/>
          </w:tcPr>
          <w:p w14:paraId="7ECE3151">
            <w:pPr>
              <w:widowControl/>
              <w:jc w:val="center"/>
              <w:rPr>
                <w:kern w:val="0"/>
                <w:sz w:val="24"/>
              </w:rPr>
            </w:pPr>
            <w:r>
              <w:rPr>
                <w:kern w:val="0"/>
                <w:sz w:val="24"/>
              </w:rPr>
              <w:t>60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4746FC2B">
            <w:pPr>
              <w:widowControl/>
              <w:jc w:val="center"/>
              <w:rPr>
                <w:kern w:val="0"/>
                <w:sz w:val="24"/>
              </w:rPr>
            </w:pPr>
            <w:r>
              <w:rPr>
                <w:kern w:val="0"/>
                <w:sz w:val="24"/>
              </w:rPr>
              <w:t>9000</w:t>
            </w:r>
          </w:p>
        </w:tc>
        <w:tc>
          <w:tcPr>
            <w:tcW w:w="1559" w:type="dxa"/>
            <w:tcBorders>
              <w:top w:val="nil"/>
              <w:left w:val="nil"/>
              <w:bottom w:val="single" w:color="auto" w:sz="4" w:space="0"/>
              <w:right w:val="single" w:color="auto" w:sz="4" w:space="0"/>
            </w:tcBorders>
            <w:vAlign w:val="center"/>
          </w:tcPr>
          <w:p w14:paraId="0944CE53">
            <w:pPr>
              <w:widowControl/>
              <w:jc w:val="center"/>
              <w:rPr>
                <w:kern w:val="0"/>
                <w:sz w:val="24"/>
              </w:rPr>
            </w:pPr>
            <w:r>
              <w:rPr>
                <w:kern w:val="0"/>
                <w:sz w:val="24"/>
              </w:rPr>
              <w:t>6000</w:t>
            </w:r>
          </w:p>
        </w:tc>
        <w:tc>
          <w:tcPr>
            <w:tcW w:w="1559" w:type="dxa"/>
            <w:tcBorders>
              <w:top w:val="nil"/>
              <w:left w:val="nil"/>
              <w:bottom w:val="single" w:color="auto" w:sz="4" w:space="0"/>
              <w:right w:val="single" w:color="auto" w:sz="4" w:space="0"/>
            </w:tcBorders>
            <w:vAlign w:val="center"/>
          </w:tcPr>
          <w:p w14:paraId="2FABEB51">
            <w:pPr>
              <w:widowControl/>
              <w:jc w:val="center"/>
              <w:rPr>
                <w:kern w:val="0"/>
                <w:sz w:val="24"/>
              </w:rPr>
            </w:pPr>
            <w:r>
              <w:rPr>
                <w:kern w:val="0"/>
                <w:sz w:val="24"/>
              </w:rPr>
              <w:t>3000</w:t>
            </w:r>
          </w:p>
        </w:tc>
        <w:tc>
          <w:tcPr>
            <w:tcW w:w="1276" w:type="dxa"/>
            <w:tcBorders>
              <w:top w:val="nil"/>
              <w:left w:val="nil"/>
              <w:bottom w:val="single" w:color="auto" w:sz="4" w:space="0"/>
              <w:right w:val="single" w:color="auto" w:sz="4" w:space="0"/>
            </w:tcBorders>
            <w:vAlign w:val="center"/>
          </w:tcPr>
          <w:p w14:paraId="716F5FDC">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58BD682B">
            <w:pPr>
              <w:widowControl/>
              <w:jc w:val="center"/>
              <w:rPr>
                <w:b/>
                <w:bCs/>
                <w:kern w:val="0"/>
                <w:sz w:val="24"/>
              </w:rPr>
            </w:pPr>
            <w:r>
              <w:rPr>
                <w:b/>
                <w:bCs/>
                <w:kern w:val="0"/>
                <w:sz w:val="24"/>
              </w:rPr>
              <w:t>　</w:t>
            </w:r>
          </w:p>
        </w:tc>
      </w:tr>
      <w:tr w14:paraId="1FB6DF5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67CFF266">
            <w:pPr>
              <w:widowControl/>
              <w:jc w:val="center"/>
              <w:rPr>
                <w:kern w:val="0"/>
                <w:sz w:val="24"/>
              </w:rPr>
            </w:pPr>
            <w:r>
              <w:rPr>
                <w:kern w:val="0"/>
                <w:sz w:val="24"/>
              </w:rPr>
              <w:t>2.1.3.3</w:t>
            </w:r>
          </w:p>
        </w:tc>
        <w:tc>
          <w:tcPr>
            <w:tcW w:w="3128" w:type="dxa"/>
            <w:tcBorders>
              <w:top w:val="nil"/>
              <w:left w:val="nil"/>
              <w:bottom w:val="single" w:color="auto" w:sz="4" w:space="0"/>
              <w:right w:val="single" w:color="auto" w:sz="4" w:space="0"/>
            </w:tcBorders>
            <w:vAlign w:val="center"/>
          </w:tcPr>
          <w:p w14:paraId="2F9333DC">
            <w:pPr>
              <w:widowControl/>
              <w:jc w:val="left"/>
              <w:rPr>
                <w:kern w:val="0"/>
                <w:sz w:val="24"/>
              </w:rPr>
            </w:pPr>
            <w:r>
              <w:rPr>
                <w:rFonts w:hint="eastAsia" w:ascii="宋体" w:hAnsi="宋体"/>
                <w:kern w:val="0"/>
                <w:sz w:val="24"/>
              </w:rPr>
              <w:t>种苗盆景繁育基地</w:t>
            </w:r>
          </w:p>
        </w:tc>
        <w:tc>
          <w:tcPr>
            <w:tcW w:w="1984" w:type="dxa"/>
            <w:vMerge w:val="continue"/>
            <w:tcBorders>
              <w:top w:val="nil"/>
              <w:left w:val="single" w:color="auto" w:sz="4" w:space="0"/>
              <w:bottom w:val="single" w:color="auto" w:sz="4" w:space="0"/>
              <w:right w:val="single" w:color="auto" w:sz="4" w:space="0"/>
            </w:tcBorders>
            <w:vAlign w:val="center"/>
          </w:tcPr>
          <w:p w14:paraId="3D393B9D">
            <w:pPr>
              <w:widowControl/>
              <w:jc w:val="left"/>
              <w:rPr>
                <w:kern w:val="0"/>
                <w:sz w:val="24"/>
              </w:rPr>
            </w:pPr>
          </w:p>
        </w:tc>
        <w:tc>
          <w:tcPr>
            <w:tcW w:w="1236" w:type="dxa"/>
            <w:tcBorders>
              <w:top w:val="nil"/>
              <w:left w:val="nil"/>
              <w:bottom w:val="single" w:color="auto" w:sz="4" w:space="0"/>
              <w:right w:val="single" w:color="auto" w:sz="4" w:space="0"/>
            </w:tcBorders>
            <w:vAlign w:val="center"/>
          </w:tcPr>
          <w:p w14:paraId="57B0D4D1">
            <w:pPr>
              <w:widowControl/>
              <w:jc w:val="center"/>
              <w:rPr>
                <w:kern w:val="0"/>
                <w:sz w:val="24"/>
              </w:rPr>
            </w:pPr>
            <w:r>
              <w:rPr>
                <w:kern w:val="0"/>
                <w:sz w:val="24"/>
              </w:rPr>
              <w:t>20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35E14D83">
            <w:pPr>
              <w:widowControl/>
              <w:jc w:val="center"/>
              <w:rPr>
                <w:kern w:val="0"/>
                <w:sz w:val="24"/>
              </w:rPr>
            </w:pPr>
            <w:r>
              <w:rPr>
                <w:kern w:val="0"/>
                <w:sz w:val="24"/>
              </w:rPr>
              <w:t>15000</w:t>
            </w:r>
          </w:p>
        </w:tc>
        <w:tc>
          <w:tcPr>
            <w:tcW w:w="1559" w:type="dxa"/>
            <w:tcBorders>
              <w:top w:val="nil"/>
              <w:left w:val="nil"/>
              <w:bottom w:val="single" w:color="auto" w:sz="4" w:space="0"/>
              <w:right w:val="single" w:color="auto" w:sz="4" w:space="0"/>
            </w:tcBorders>
            <w:vAlign w:val="center"/>
          </w:tcPr>
          <w:p w14:paraId="1F677089">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5E54F85B">
            <w:pPr>
              <w:widowControl/>
              <w:jc w:val="center"/>
              <w:rPr>
                <w:kern w:val="0"/>
                <w:sz w:val="24"/>
              </w:rPr>
            </w:pPr>
            <w:r>
              <w:rPr>
                <w:kern w:val="0"/>
                <w:sz w:val="24"/>
              </w:rPr>
              <w:t>10000</w:t>
            </w:r>
          </w:p>
        </w:tc>
        <w:tc>
          <w:tcPr>
            <w:tcW w:w="1276" w:type="dxa"/>
            <w:tcBorders>
              <w:top w:val="nil"/>
              <w:left w:val="nil"/>
              <w:bottom w:val="single" w:color="auto" w:sz="4" w:space="0"/>
              <w:right w:val="single" w:color="auto" w:sz="4" w:space="0"/>
            </w:tcBorders>
            <w:vAlign w:val="center"/>
          </w:tcPr>
          <w:p w14:paraId="7CC8AAEC">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39522735">
            <w:pPr>
              <w:widowControl/>
              <w:jc w:val="center"/>
              <w:rPr>
                <w:b/>
                <w:bCs/>
                <w:kern w:val="0"/>
                <w:sz w:val="24"/>
              </w:rPr>
            </w:pPr>
            <w:r>
              <w:rPr>
                <w:b/>
                <w:bCs/>
                <w:kern w:val="0"/>
                <w:sz w:val="24"/>
              </w:rPr>
              <w:t>　</w:t>
            </w:r>
          </w:p>
        </w:tc>
      </w:tr>
      <w:tr w14:paraId="128C342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45A1EFB5">
            <w:pPr>
              <w:widowControl/>
              <w:jc w:val="center"/>
              <w:rPr>
                <w:kern w:val="0"/>
                <w:sz w:val="24"/>
              </w:rPr>
            </w:pPr>
            <w:r>
              <w:rPr>
                <w:kern w:val="0"/>
                <w:sz w:val="24"/>
              </w:rPr>
              <w:t>2.1.3.4</w:t>
            </w:r>
          </w:p>
        </w:tc>
        <w:tc>
          <w:tcPr>
            <w:tcW w:w="3128" w:type="dxa"/>
            <w:tcBorders>
              <w:top w:val="nil"/>
              <w:left w:val="nil"/>
              <w:bottom w:val="single" w:color="auto" w:sz="4" w:space="0"/>
              <w:right w:val="single" w:color="auto" w:sz="4" w:space="0"/>
            </w:tcBorders>
            <w:vAlign w:val="center"/>
          </w:tcPr>
          <w:p w14:paraId="7075BEF4">
            <w:pPr>
              <w:widowControl/>
              <w:jc w:val="left"/>
              <w:rPr>
                <w:kern w:val="0"/>
                <w:sz w:val="24"/>
              </w:rPr>
            </w:pPr>
            <w:r>
              <w:rPr>
                <w:rFonts w:hint="eastAsia" w:ascii="宋体" w:hAnsi="宋体"/>
                <w:kern w:val="0"/>
                <w:sz w:val="24"/>
              </w:rPr>
              <w:t>鲜切花（枝</w:t>
            </w:r>
            <w:r>
              <w:rPr>
                <w:kern w:val="0"/>
                <w:sz w:val="24"/>
              </w:rPr>
              <w:t>/</w:t>
            </w:r>
            <w:r>
              <w:rPr>
                <w:rFonts w:hint="eastAsia" w:ascii="宋体" w:hAnsi="宋体"/>
                <w:kern w:val="0"/>
                <w:sz w:val="24"/>
              </w:rPr>
              <w:t>叶）生产基地</w:t>
            </w:r>
          </w:p>
        </w:tc>
        <w:tc>
          <w:tcPr>
            <w:tcW w:w="1984" w:type="dxa"/>
            <w:vMerge w:val="continue"/>
            <w:tcBorders>
              <w:top w:val="nil"/>
              <w:left w:val="single" w:color="auto" w:sz="4" w:space="0"/>
              <w:bottom w:val="single" w:color="auto" w:sz="4" w:space="0"/>
              <w:right w:val="single" w:color="auto" w:sz="4" w:space="0"/>
            </w:tcBorders>
            <w:vAlign w:val="center"/>
          </w:tcPr>
          <w:p w14:paraId="702B8C6D">
            <w:pPr>
              <w:widowControl/>
              <w:jc w:val="left"/>
              <w:rPr>
                <w:kern w:val="0"/>
                <w:sz w:val="24"/>
              </w:rPr>
            </w:pPr>
          </w:p>
        </w:tc>
        <w:tc>
          <w:tcPr>
            <w:tcW w:w="1236" w:type="dxa"/>
            <w:tcBorders>
              <w:top w:val="nil"/>
              <w:left w:val="nil"/>
              <w:bottom w:val="single" w:color="auto" w:sz="4" w:space="0"/>
              <w:right w:val="single" w:color="auto" w:sz="4" w:space="0"/>
            </w:tcBorders>
            <w:vAlign w:val="center"/>
          </w:tcPr>
          <w:p w14:paraId="51B7201E">
            <w:pPr>
              <w:widowControl/>
              <w:jc w:val="center"/>
              <w:rPr>
                <w:kern w:val="0"/>
                <w:sz w:val="24"/>
              </w:rPr>
            </w:pPr>
            <w:r>
              <w:rPr>
                <w:kern w:val="0"/>
                <w:sz w:val="24"/>
              </w:rPr>
              <w:t>20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7957F5BD">
            <w:pPr>
              <w:widowControl/>
              <w:jc w:val="center"/>
              <w:rPr>
                <w:kern w:val="0"/>
                <w:sz w:val="24"/>
              </w:rPr>
            </w:pPr>
            <w:r>
              <w:rPr>
                <w:kern w:val="0"/>
                <w:sz w:val="24"/>
              </w:rPr>
              <w:t>6000</w:t>
            </w:r>
          </w:p>
        </w:tc>
        <w:tc>
          <w:tcPr>
            <w:tcW w:w="1559" w:type="dxa"/>
            <w:tcBorders>
              <w:top w:val="nil"/>
              <w:left w:val="nil"/>
              <w:bottom w:val="single" w:color="auto" w:sz="4" w:space="0"/>
              <w:right w:val="single" w:color="auto" w:sz="4" w:space="0"/>
            </w:tcBorders>
            <w:vAlign w:val="center"/>
          </w:tcPr>
          <w:p w14:paraId="3E7B4181">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198CD6CB">
            <w:pPr>
              <w:widowControl/>
              <w:jc w:val="center"/>
              <w:rPr>
                <w:kern w:val="0"/>
                <w:sz w:val="24"/>
              </w:rPr>
            </w:pPr>
            <w:r>
              <w:rPr>
                <w:kern w:val="0"/>
                <w:sz w:val="24"/>
              </w:rPr>
              <w:t>3000</w:t>
            </w:r>
          </w:p>
        </w:tc>
        <w:tc>
          <w:tcPr>
            <w:tcW w:w="1276" w:type="dxa"/>
            <w:tcBorders>
              <w:top w:val="nil"/>
              <w:left w:val="nil"/>
              <w:bottom w:val="single" w:color="auto" w:sz="4" w:space="0"/>
              <w:right w:val="single" w:color="auto" w:sz="4" w:space="0"/>
            </w:tcBorders>
            <w:vAlign w:val="center"/>
          </w:tcPr>
          <w:p w14:paraId="4B18F6EC">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17C59906">
            <w:pPr>
              <w:widowControl/>
              <w:jc w:val="center"/>
              <w:rPr>
                <w:b/>
                <w:bCs/>
                <w:kern w:val="0"/>
                <w:sz w:val="24"/>
              </w:rPr>
            </w:pPr>
            <w:r>
              <w:rPr>
                <w:b/>
                <w:bCs/>
                <w:kern w:val="0"/>
                <w:sz w:val="24"/>
              </w:rPr>
              <w:t>　</w:t>
            </w:r>
          </w:p>
        </w:tc>
      </w:tr>
      <w:tr w14:paraId="4F3871D3">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7B88B44">
            <w:pPr>
              <w:widowControl/>
              <w:jc w:val="center"/>
              <w:rPr>
                <w:b/>
                <w:bCs/>
                <w:kern w:val="0"/>
                <w:sz w:val="24"/>
              </w:rPr>
            </w:pPr>
            <w:r>
              <w:rPr>
                <w:b/>
                <w:bCs/>
                <w:kern w:val="0"/>
                <w:sz w:val="24"/>
              </w:rPr>
              <w:t>2.2</w:t>
            </w:r>
          </w:p>
        </w:tc>
        <w:tc>
          <w:tcPr>
            <w:tcW w:w="3128" w:type="dxa"/>
            <w:tcBorders>
              <w:top w:val="nil"/>
              <w:left w:val="nil"/>
              <w:bottom w:val="single" w:color="auto" w:sz="4" w:space="0"/>
              <w:right w:val="single" w:color="auto" w:sz="4" w:space="0"/>
            </w:tcBorders>
            <w:vAlign w:val="center"/>
          </w:tcPr>
          <w:p w14:paraId="6DC368CC">
            <w:pPr>
              <w:widowControl/>
              <w:jc w:val="left"/>
              <w:rPr>
                <w:b/>
                <w:bCs/>
                <w:kern w:val="0"/>
                <w:sz w:val="24"/>
              </w:rPr>
            </w:pPr>
            <w:r>
              <w:rPr>
                <w:rFonts w:hint="eastAsia" w:ascii="宋体" w:hAnsi="宋体"/>
                <w:b/>
                <w:bCs/>
                <w:kern w:val="0"/>
                <w:sz w:val="24"/>
              </w:rPr>
              <w:t>种质资源保存基地建设工程</w:t>
            </w:r>
          </w:p>
        </w:tc>
        <w:tc>
          <w:tcPr>
            <w:tcW w:w="1984" w:type="dxa"/>
            <w:tcBorders>
              <w:top w:val="nil"/>
              <w:left w:val="nil"/>
              <w:bottom w:val="single" w:color="auto" w:sz="4" w:space="0"/>
              <w:right w:val="single" w:color="auto" w:sz="4" w:space="0"/>
            </w:tcBorders>
            <w:vAlign w:val="center"/>
          </w:tcPr>
          <w:p w14:paraId="7C9843AE">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786967DD">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7EC27AA6">
            <w:pPr>
              <w:widowControl/>
              <w:jc w:val="center"/>
              <w:rPr>
                <w:b/>
                <w:bCs/>
                <w:kern w:val="0"/>
                <w:sz w:val="24"/>
              </w:rPr>
            </w:pPr>
            <w:r>
              <w:rPr>
                <w:b/>
                <w:bCs/>
                <w:kern w:val="0"/>
                <w:sz w:val="24"/>
              </w:rPr>
              <w:t>37000</w:t>
            </w:r>
          </w:p>
        </w:tc>
        <w:tc>
          <w:tcPr>
            <w:tcW w:w="1559" w:type="dxa"/>
            <w:tcBorders>
              <w:top w:val="nil"/>
              <w:left w:val="nil"/>
              <w:bottom w:val="single" w:color="auto" w:sz="4" w:space="0"/>
              <w:right w:val="single" w:color="auto" w:sz="4" w:space="0"/>
            </w:tcBorders>
            <w:vAlign w:val="center"/>
          </w:tcPr>
          <w:p w14:paraId="05E82BC4">
            <w:pPr>
              <w:widowControl/>
              <w:jc w:val="center"/>
              <w:rPr>
                <w:b/>
                <w:bCs/>
                <w:kern w:val="0"/>
                <w:sz w:val="24"/>
              </w:rPr>
            </w:pPr>
            <w:r>
              <w:rPr>
                <w:b/>
                <w:bCs/>
                <w:kern w:val="0"/>
                <w:sz w:val="24"/>
              </w:rPr>
              <w:t>37000</w:t>
            </w:r>
          </w:p>
        </w:tc>
        <w:tc>
          <w:tcPr>
            <w:tcW w:w="1559" w:type="dxa"/>
            <w:tcBorders>
              <w:top w:val="nil"/>
              <w:left w:val="nil"/>
              <w:bottom w:val="single" w:color="auto" w:sz="4" w:space="0"/>
              <w:right w:val="single" w:color="auto" w:sz="4" w:space="0"/>
            </w:tcBorders>
            <w:vAlign w:val="center"/>
          </w:tcPr>
          <w:p w14:paraId="36E3C29D">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5AADD4A7">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59C3FFC8">
            <w:pPr>
              <w:widowControl/>
              <w:jc w:val="center"/>
              <w:rPr>
                <w:b/>
                <w:bCs/>
                <w:kern w:val="0"/>
                <w:sz w:val="24"/>
              </w:rPr>
            </w:pPr>
            <w:r>
              <w:rPr>
                <w:b/>
                <w:bCs/>
                <w:kern w:val="0"/>
                <w:sz w:val="24"/>
              </w:rPr>
              <w:t>　</w:t>
            </w:r>
          </w:p>
        </w:tc>
      </w:tr>
      <w:tr w14:paraId="6C304976">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43738125">
            <w:pPr>
              <w:widowControl/>
              <w:jc w:val="center"/>
              <w:rPr>
                <w:kern w:val="0"/>
                <w:sz w:val="24"/>
              </w:rPr>
            </w:pPr>
            <w:r>
              <w:rPr>
                <w:kern w:val="0"/>
                <w:sz w:val="24"/>
              </w:rPr>
              <w:t>2.2.1</w:t>
            </w:r>
          </w:p>
        </w:tc>
        <w:tc>
          <w:tcPr>
            <w:tcW w:w="3128" w:type="dxa"/>
            <w:tcBorders>
              <w:top w:val="nil"/>
              <w:left w:val="nil"/>
              <w:bottom w:val="single" w:color="auto" w:sz="4" w:space="0"/>
              <w:right w:val="single" w:color="auto" w:sz="4" w:space="0"/>
            </w:tcBorders>
            <w:vAlign w:val="center"/>
          </w:tcPr>
          <w:p w14:paraId="412E4BF2">
            <w:pPr>
              <w:widowControl/>
              <w:jc w:val="left"/>
              <w:rPr>
                <w:kern w:val="0"/>
                <w:sz w:val="24"/>
              </w:rPr>
            </w:pPr>
            <w:r>
              <w:rPr>
                <w:rFonts w:hint="eastAsia" w:ascii="宋体" w:hAnsi="宋体"/>
                <w:kern w:val="0"/>
                <w:sz w:val="24"/>
              </w:rPr>
              <w:t>国家林木种质资源库海南分库</w:t>
            </w:r>
          </w:p>
        </w:tc>
        <w:tc>
          <w:tcPr>
            <w:tcW w:w="1984" w:type="dxa"/>
            <w:vMerge w:val="restart"/>
            <w:tcBorders>
              <w:top w:val="nil"/>
              <w:left w:val="single" w:color="auto" w:sz="4" w:space="0"/>
              <w:bottom w:val="single" w:color="auto" w:sz="4" w:space="0"/>
              <w:right w:val="single" w:color="auto" w:sz="4" w:space="0"/>
            </w:tcBorders>
            <w:vAlign w:val="center"/>
          </w:tcPr>
          <w:p w14:paraId="28246526">
            <w:pPr>
              <w:widowControl/>
              <w:jc w:val="center"/>
              <w:rPr>
                <w:kern w:val="0"/>
                <w:sz w:val="24"/>
              </w:rPr>
            </w:pPr>
            <w:r>
              <w:rPr>
                <w:rFonts w:hint="eastAsia" w:ascii="宋体" w:hAnsi="宋体"/>
                <w:kern w:val="0"/>
                <w:sz w:val="24"/>
              </w:rPr>
              <w:t>市林科院</w:t>
            </w:r>
          </w:p>
        </w:tc>
        <w:tc>
          <w:tcPr>
            <w:tcW w:w="1236" w:type="dxa"/>
            <w:tcBorders>
              <w:top w:val="nil"/>
              <w:left w:val="nil"/>
              <w:bottom w:val="single" w:color="auto" w:sz="4" w:space="0"/>
              <w:right w:val="single" w:color="auto" w:sz="4" w:space="0"/>
            </w:tcBorders>
            <w:vAlign w:val="center"/>
          </w:tcPr>
          <w:p w14:paraId="17491B4E">
            <w:pPr>
              <w:widowControl/>
              <w:jc w:val="center"/>
              <w:rPr>
                <w:kern w:val="0"/>
                <w:sz w:val="24"/>
              </w:rPr>
            </w:pPr>
            <w:r>
              <w:rPr>
                <w:kern w:val="0"/>
                <w:sz w:val="24"/>
              </w:rPr>
              <w:t>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6AA93129">
            <w:pPr>
              <w:widowControl/>
              <w:jc w:val="center"/>
              <w:rPr>
                <w:kern w:val="0"/>
                <w:sz w:val="24"/>
              </w:rPr>
            </w:pPr>
            <w:r>
              <w:rPr>
                <w:kern w:val="0"/>
                <w:sz w:val="24"/>
              </w:rPr>
              <w:t>30000</w:t>
            </w:r>
          </w:p>
        </w:tc>
        <w:tc>
          <w:tcPr>
            <w:tcW w:w="1559" w:type="dxa"/>
            <w:tcBorders>
              <w:top w:val="nil"/>
              <w:left w:val="nil"/>
              <w:bottom w:val="single" w:color="auto" w:sz="4" w:space="0"/>
              <w:right w:val="single" w:color="auto" w:sz="4" w:space="0"/>
            </w:tcBorders>
            <w:vAlign w:val="center"/>
          </w:tcPr>
          <w:p w14:paraId="77CFEA14">
            <w:pPr>
              <w:widowControl/>
              <w:jc w:val="center"/>
              <w:rPr>
                <w:kern w:val="0"/>
                <w:sz w:val="24"/>
              </w:rPr>
            </w:pPr>
            <w:r>
              <w:rPr>
                <w:kern w:val="0"/>
                <w:sz w:val="24"/>
              </w:rPr>
              <w:t>30000</w:t>
            </w:r>
          </w:p>
        </w:tc>
        <w:tc>
          <w:tcPr>
            <w:tcW w:w="1559" w:type="dxa"/>
            <w:tcBorders>
              <w:top w:val="nil"/>
              <w:left w:val="nil"/>
              <w:bottom w:val="single" w:color="auto" w:sz="4" w:space="0"/>
              <w:right w:val="single" w:color="auto" w:sz="4" w:space="0"/>
            </w:tcBorders>
            <w:vAlign w:val="center"/>
          </w:tcPr>
          <w:p w14:paraId="7E53E897">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740ED546">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7818D856">
            <w:pPr>
              <w:widowControl/>
              <w:jc w:val="center"/>
              <w:rPr>
                <w:b/>
                <w:bCs/>
                <w:kern w:val="0"/>
                <w:sz w:val="24"/>
              </w:rPr>
            </w:pPr>
            <w:r>
              <w:rPr>
                <w:b/>
                <w:bCs/>
                <w:kern w:val="0"/>
                <w:sz w:val="24"/>
              </w:rPr>
              <w:t>　</w:t>
            </w:r>
          </w:p>
        </w:tc>
      </w:tr>
      <w:tr w14:paraId="690B4364">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137F1534">
            <w:pPr>
              <w:widowControl/>
              <w:jc w:val="center"/>
              <w:rPr>
                <w:kern w:val="0"/>
                <w:sz w:val="24"/>
              </w:rPr>
            </w:pPr>
            <w:r>
              <w:rPr>
                <w:kern w:val="0"/>
                <w:sz w:val="24"/>
              </w:rPr>
              <w:t>2.2.2</w:t>
            </w:r>
          </w:p>
        </w:tc>
        <w:tc>
          <w:tcPr>
            <w:tcW w:w="3128" w:type="dxa"/>
            <w:tcBorders>
              <w:top w:val="nil"/>
              <w:left w:val="nil"/>
              <w:bottom w:val="single" w:color="auto" w:sz="4" w:space="0"/>
              <w:right w:val="single" w:color="auto" w:sz="4" w:space="0"/>
            </w:tcBorders>
            <w:vAlign w:val="center"/>
          </w:tcPr>
          <w:p w14:paraId="0D5D1D92">
            <w:pPr>
              <w:widowControl/>
              <w:jc w:val="left"/>
              <w:rPr>
                <w:kern w:val="0"/>
                <w:sz w:val="24"/>
              </w:rPr>
            </w:pPr>
            <w:r>
              <w:rPr>
                <w:rFonts w:hint="eastAsia" w:ascii="宋体" w:hAnsi="宋体"/>
                <w:kern w:val="0"/>
                <w:sz w:val="24"/>
              </w:rPr>
              <w:t>国家热带兰花种质资源库</w:t>
            </w:r>
          </w:p>
        </w:tc>
        <w:tc>
          <w:tcPr>
            <w:tcW w:w="1984" w:type="dxa"/>
            <w:vMerge w:val="continue"/>
            <w:tcBorders>
              <w:top w:val="nil"/>
              <w:left w:val="single" w:color="auto" w:sz="4" w:space="0"/>
              <w:bottom w:val="single" w:color="auto" w:sz="4" w:space="0"/>
              <w:right w:val="single" w:color="auto" w:sz="4" w:space="0"/>
            </w:tcBorders>
            <w:vAlign w:val="center"/>
          </w:tcPr>
          <w:p w14:paraId="48442DED">
            <w:pPr>
              <w:widowControl/>
              <w:jc w:val="left"/>
              <w:rPr>
                <w:kern w:val="0"/>
                <w:sz w:val="24"/>
              </w:rPr>
            </w:pPr>
          </w:p>
        </w:tc>
        <w:tc>
          <w:tcPr>
            <w:tcW w:w="1236" w:type="dxa"/>
            <w:tcBorders>
              <w:top w:val="nil"/>
              <w:left w:val="nil"/>
              <w:bottom w:val="single" w:color="auto" w:sz="4" w:space="0"/>
              <w:right w:val="single" w:color="auto" w:sz="4" w:space="0"/>
            </w:tcBorders>
            <w:vAlign w:val="center"/>
          </w:tcPr>
          <w:p w14:paraId="7AA2A64D">
            <w:pPr>
              <w:widowControl/>
              <w:jc w:val="center"/>
              <w:rPr>
                <w:kern w:val="0"/>
                <w:sz w:val="24"/>
              </w:rPr>
            </w:pPr>
            <w:r>
              <w:rPr>
                <w:kern w:val="0"/>
                <w:sz w:val="24"/>
              </w:rPr>
              <w:t>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4CD2C392">
            <w:pPr>
              <w:widowControl/>
              <w:jc w:val="center"/>
              <w:rPr>
                <w:kern w:val="0"/>
                <w:sz w:val="24"/>
              </w:rPr>
            </w:pPr>
            <w:r>
              <w:rPr>
                <w:kern w:val="0"/>
                <w:sz w:val="24"/>
              </w:rPr>
              <w:t>7000</w:t>
            </w:r>
          </w:p>
        </w:tc>
        <w:tc>
          <w:tcPr>
            <w:tcW w:w="1559" w:type="dxa"/>
            <w:tcBorders>
              <w:top w:val="nil"/>
              <w:left w:val="nil"/>
              <w:bottom w:val="single" w:color="auto" w:sz="4" w:space="0"/>
              <w:right w:val="single" w:color="auto" w:sz="4" w:space="0"/>
            </w:tcBorders>
            <w:vAlign w:val="center"/>
          </w:tcPr>
          <w:p w14:paraId="4CA58B95">
            <w:pPr>
              <w:widowControl/>
              <w:jc w:val="center"/>
              <w:rPr>
                <w:kern w:val="0"/>
                <w:sz w:val="24"/>
              </w:rPr>
            </w:pPr>
            <w:r>
              <w:rPr>
                <w:kern w:val="0"/>
                <w:sz w:val="24"/>
              </w:rPr>
              <w:t>7000</w:t>
            </w:r>
          </w:p>
        </w:tc>
        <w:tc>
          <w:tcPr>
            <w:tcW w:w="1559" w:type="dxa"/>
            <w:tcBorders>
              <w:top w:val="nil"/>
              <w:left w:val="nil"/>
              <w:bottom w:val="single" w:color="auto" w:sz="4" w:space="0"/>
              <w:right w:val="single" w:color="auto" w:sz="4" w:space="0"/>
            </w:tcBorders>
            <w:vAlign w:val="center"/>
          </w:tcPr>
          <w:p w14:paraId="05E8C147">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4D4B74B8">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62C98BF6">
            <w:pPr>
              <w:widowControl/>
              <w:jc w:val="center"/>
              <w:rPr>
                <w:b/>
                <w:bCs/>
                <w:kern w:val="0"/>
                <w:sz w:val="24"/>
              </w:rPr>
            </w:pPr>
            <w:r>
              <w:rPr>
                <w:b/>
                <w:bCs/>
                <w:kern w:val="0"/>
                <w:sz w:val="24"/>
              </w:rPr>
              <w:t>　</w:t>
            </w:r>
          </w:p>
        </w:tc>
      </w:tr>
      <w:tr w14:paraId="6785B39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70254A29">
            <w:pPr>
              <w:widowControl/>
              <w:jc w:val="center"/>
              <w:rPr>
                <w:b/>
                <w:bCs/>
                <w:kern w:val="0"/>
                <w:sz w:val="24"/>
              </w:rPr>
            </w:pPr>
            <w:r>
              <w:rPr>
                <w:b/>
                <w:bCs/>
                <w:kern w:val="0"/>
                <w:sz w:val="24"/>
              </w:rPr>
              <w:t>2.3</w:t>
            </w:r>
          </w:p>
        </w:tc>
        <w:tc>
          <w:tcPr>
            <w:tcW w:w="3128" w:type="dxa"/>
            <w:tcBorders>
              <w:top w:val="nil"/>
              <w:left w:val="nil"/>
              <w:bottom w:val="single" w:color="auto" w:sz="4" w:space="0"/>
              <w:right w:val="single" w:color="auto" w:sz="4" w:space="0"/>
            </w:tcBorders>
            <w:vAlign w:val="center"/>
          </w:tcPr>
          <w:p w14:paraId="619B0A3E">
            <w:pPr>
              <w:widowControl/>
              <w:jc w:val="left"/>
              <w:rPr>
                <w:rFonts w:ascii="宋体" w:hAnsi="宋体" w:cs="宋体"/>
                <w:b/>
                <w:bCs/>
                <w:kern w:val="0"/>
                <w:sz w:val="24"/>
              </w:rPr>
            </w:pPr>
            <w:r>
              <w:rPr>
                <w:rFonts w:hint="eastAsia" w:ascii="宋体" w:hAnsi="宋体" w:cs="宋体"/>
                <w:b/>
                <w:bCs/>
                <w:kern w:val="0"/>
                <w:sz w:val="24"/>
              </w:rPr>
              <w:t>花卉旅游观光园</w:t>
            </w:r>
          </w:p>
        </w:tc>
        <w:tc>
          <w:tcPr>
            <w:tcW w:w="1984" w:type="dxa"/>
            <w:tcBorders>
              <w:top w:val="nil"/>
              <w:left w:val="nil"/>
              <w:bottom w:val="single" w:color="auto" w:sz="4" w:space="0"/>
              <w:right w:val="single" w:color="auto" w:sz="4" w:space="0"/>
            </w:tcBorders>
            <w:vAlign w:val="center"/>
          </w:tcPr>
          <w:p w14:paraId="13E4D666">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4D01D3C8">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5A26797E">
            <w:pPr>
              <w:widowControl/>
              <w:jc w:val="center"/>
              <w:rPr>
                <w:b/>
                <w:bCs/>
                <w:kern w:val="0"/>
                <w:sz w:val="24"/>
              </w:rPr>
            </w:pPr>
            <w:r>
              <w:rPr>
                <w:rFonts w:hint="eastAsia"/>
                <w:b/>
                <w:bCs/>
                <w:kern w:val="0"/>
                <w:sz w:val="24"/>
              </w:rPr>
              <w:t>129</w:t>
            </w:r>
            <w:r>
              <w:rPr>
                <w:b/>
                <w:bCs/>
                <w:kern w:val="0"/>
                <w:sz w:val="24"/>
              </w:rPr>
              <w:t>000</w:t>
            </w:r>
          </w:p>
        </w:tc>
        <w:tc>
          <w:tcPr>
            <w:tcW w:w="1559" w:type="dxa"/>
            <w:tcBorders>
              <w:top w:val="nil"/>
              <w:left w:val="nil"/>
              <w:bottom w:val="single" w:color="auto" w:sz="4" w:space="0"/>
              <w:right w:val="single" w:color="auto" w:sz="4" w:space="0"/>
            </w:tcBorders>
            <w:vAlign w:val="center"/>
          </w:tcPr>
          <w:p w14:paraId="110FCED0">
            <w:pPr>
              <w:widowControl/>
              <w:jc w:val="center"/>
              <w:rPr>
                <w:b/>
                <w:bCs/>
                <w:kern w:val="0"/>
                <w:sz w:val="24"/>
              </w:rPr>
            </w:pPr>
            <w:r>
              <w:rPr>
                <w:rFonts w:hint="eastAsia"/>
                <w:b/>
                <w:bCs/>
                <w:kern w:val="0"/>
                <w:sz w:val="24"/>
              </w:rPr>
              <w:t>39</w:t>
            </w:r>
            <w:r>
              <w:rPr>
                <w:b/>
                <w:bCs/>
                <w:kern w:val="0"/>
                <w:sz w:val="24"/>
              </w:rPr>
              <w:t>000</w:t>
            </w:r>
          </w:p>
        </w:tc>
        <w:tc>
          <w:tcPr>
            <w:tcW w:w="1559" w:type="dxa"/>
            <w:tcBorders>
              <w:top w:val="nil"/>
              <w:left w:val="nil"/>
              <w:bottom w:val="single" w:color="auto" w:sz="4" w:space="0"/>
              <w:right w:val="single" w:color="auto" w:sz="4" w:space="0"/>
            </w:tcBorders>
            <w:vAlign w:val="center"/>
          </w:tcPr>
          <w:p w14:paraId="267DB497">
            <w:pPr>
              <w:widowControl/>
              <w:jc w:val="center"/>
              <w:rPr>
                <w:b/>
                <w:bCs/>
                <w:kern w:val="0"/>
                <w:sz w:val="24"/>
              </w:rPr>
            </w:pPr>
            <w:r>
              <w:rPr>
                <w:rFonts w:hint="eastAsia"/>
                <w:b/>
                <w:bCs/>
                <w:kern w:val="0"/>
                <w:sz w:val="24"/>
              </w:rPr>
              <w:t>9</w:t>
            </w:r>
            <w:r>
              <w:rPr>
                <w:b/>
                <w:bCs/>
                <w:kern w:val="0"/>
                <w:sz w:val="24"/>
              </w:rPr>
              <w:t>0000</w:t>
            </w:r>
          </w:p>
        </w:tc>
        <w:tc>
          <w:tcPr>
            <w:tcW w:w="1276" w:type="dxa"/>
            <w:tcBorders>
              <w:top w:val="nil"/>
              <w:left w:val="nil"/>
              <w:bottom w:val="single" w:color="auto" w:sz="4" w:space="0"/>
              <w:right w:val="single" w:color="auto" w:sz="4" w:space="0"/>
            </w:tcBorders>
            <w:vAlign w:val="center"/>
          </w:tcPr>
          <w:p w14:paraId="3F85D315">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0BFF9863">
            <w:pPr>
              <w:widowControl/>
              <w:jc w:val="center"/>
              <w:rPr>
                <w:b/>
                <w:bCs/>
                <w:kern w:val="0"/>
                <w:sz w:val="24"/>
              </w:rPr>
            </w:pPr>
            <w:r>
              <w:rPr>
                <w:b/>
                <w:bCs/>
                <w:kern w:val="0"/>
                <w:sz w:val="24"/>
              </w:rPr>
              <w:t>　</w:t>
            </w:r>
          </w:p>
        </w:tc>
      </w:tr>
      <w:tr w14:paraId="171A930D">
        <w:tblPrEx>
          <w:tblCellMar>
            <w:top w:w="0" w:type="dxa"/>
            <w:left w:w="108" w:type="dxa"/>
            <w:bottom w:w="0" w:type="dxa"/>
            <w:right w:w="108" w:type="dxa"/>
          </w:tblCellMar>
        </w:tblPrEx>
        <w:trPr>
          <w:cantSplit/>
          <w:trHeight w:val="855" w:hRule="atLeast"/>
        </w:trPr>
        <w:tc>
          <w:tcPr>
            <w:tcW w:w="1140" w:type="dxa"/>
            <w:tcBorders>
              <w:top w:val="single" w:color="auto" w:sz="4" w:space="0"/>
              <w:left w:val="single" w:color="auto" w:sz="4" w:space="0"/>
              <w:bottom w:val="single" w:color="auto" w:sz="4" w:space="0"/>
              <w:right w:val="single" w:color="auto" w:sz="4" w:space="0"/>
            </w:tcBorders>
            <w:vAlign w:val="center"/>
          </w:tcPr>
          <w:p w14:paraId="0F4715A7">
            <w:pPr>
              <w:widowControl/>
              <w:jc w:val="center"/>
              <w:rPr>
                <w:kern w:val="0"/>
                <w:sz w:val="24"/>
              </w:rPr>
            </w:pPr>
            <w:r>
              <w:rPr>
                <w:kern w:val="0"/>
                <w:sz w:val="24"/>
              </w:rPr>
              <w:t>2.3.1</w:t>
            </w:r>
          </w:p>
        </w:tc>
        <w:tc>
          <w:tcPr>
            <w:tcW w:w="3128" w:type="dxa"/>
            <w:tcBorders>
              <w:top w:val="single" w:color="auto" w:sz="4" w:space="0"/>
              <w:left w:val="nil"/>
              <w:bottom w:val="single" w:color="auto" w:sz="4" w:space="0"/>
              <w:right w:val="single" w:color="auto" w:sz="4" w:space="0"/>
            </w:tcBorders>
            <w:vAlign w:val="center"/>
          </w:tcPr>
          <w:p w14:paraId="351655D3">
            <w:pPr>
              <w:widowControl/>
              <w:jc w:val="left"/>
              <w:rPr>
                <w:kern w:val="0"/>
                <w:sz w:val="24"/>
              </w:rPr>
            </w:pPr>
            <w:r>
              <w:rPr>
                <w:rFonts w:hint="eastAsia" w:ascii="宋体" w:hAnsi="宋体"/>
                <w:kern w:val="0"/>
                <w:sz w:val="24"/>
              </w:rPr>
              <w:t>花卉风情小镇</w:t>
            </w:r>
          </w:p>
        </w:tc>
        <w:tc>
          <w:tcPr>
            <w:tcW w:w="1984" w:type="dxa"/>
            <w:tcBorders>
              <w:top w:val="single" w:color="auto" w:sz="4" w:space="0"/>
              <w:left w:val="nil"/>
              <w:bottom w:val="single" w:color="auto" w:sz="4" w:space="0"/>
              <w:right w:val="single" w:color="auto" w:sz="4" w:space="0"/>
            </w:tcBorders>
            <w:vAlign w:val="center"/>
          </w:tcPr>
          <w:p w14:paraId="34E7554C">
            <w:pPr>
              <w:widowControl/>
              <w:jc w:val="center"/>
              <w:rPr>
                <w:kern w:val="0"/>
                <w:sz w:val="24"/>
              </w:rPr>
            </w:pPr>
            <w:r>
              <w:rPr>
                <w:rFonts w:hint="eastAsia" w:ascii="宋体" w:hAnsi="宋体"/>
                <w:kern w:val="0"/>
                <w:sz w:val="24"/>
              </w:rPr>
              <w:t>亚龙湾国际玫瑰谷、美丽乡村等地</w:t>
            </w:r>
          </w:p>
        </w:tc>
        <w:tc>
          <w:tcPr>
            <w:tcW w:w="1236" w:type="dxa"/>
            <w:tcBorders>
              <w:top w:val="single" w:color="auto" w:sz="4" w:space="0"/>
              <w:left w:val="nil"/>
              <w:bottom w:val="single" w:color="auto" w:sz="4" w:space="0"/>
              <w:right w:val="single" w:color="auto" w:sz="4" w:space="0"/>
            </w:tcBorders>
            <w:vAlign w:val="center"/>
          </w:tcPr>
          <w:p w14:paraId="29C00FB0">
            <w:pPr>
              <w:widowControl/>
              <w:jc w:val="center"/>
              <w:rPr>
                <w:kern w:val="0"/>
                <w:sz w:val="24"/>
              </w:rPr>
            </w:pPr>
            <w:r>
              <w:rPr>
                <w:kern w:val="0"/>
                <w:sz w:val="24"/>
              </w:rPr>
              <w:t>3</w:t>
            </w:r>
            <w:r>
              <w:rPr>
                <w:rFonts w:hint="eastAsia" w:ascii="宋体" w:hAnsi="宋体"/>
                <w:kern w:val="0"/>
                <w:sz w:val="24"/>
              </w:rPr>
              <w:t>处</w:t>
            </w:r>
          </w:p>
        </w:tc>
        <w:tc>
          <w:tcPr>
            <w:tcW w:w="1701" w:type="dxa"/>
            <w:tcBorders>
              <w:top w:val="single" w:color="auto" w:sz="4" w:space="0"/>
              <w:left w:val="nil"/>
              <w:bottom w:val="single" w:color="auto" w:sz="4" w:space="0"/>
              <w:right w:val="single" w:color="auto" w:sz="4" w:space="0"/>
            </w:tcBorders>
            <w:vAlign w:val="center"/>
          </w:tcPr>
          <w:p w14:paraId="4826ACED">
            <w:pPr>
              <w:widowControl/>
              <w:jc w:val="center"/>
              <w:rPr>
                <w:kern w:val="0"/>
                <w:sz w:val="24"/>
              </w:rPr>
            </w:pPr>
            <w:r>
              <w:rPr>
                <w:kern w:val="0"/>
                <w:sz w:val="24"/>
              </w:rPr>
              <w:t>25000</w:t>
            </w:r>
          </w:p>
        </w:tc>
        <w:tc>
          <w:tcPr>
            <w:tcW w:w="1559" w:type="dxa"/>
            <w:tcBorders>
              <w:top w:val="single" w:color="auto" w:sz="4" w:space="0"/>
              <w:left w:val="nil"/>
              <w:bottom w:val="single" w:color="auto" w:sz="4" w:space="0"/>
              <w:right w:val="single" w:color="auto" w:sz="4" w:space="0"/>
            </w:tcBorders>
            <w:vAlign w:val="center"/>
          </w:tcPr>
          <w:p w14:paraId="0EC4DFB6">
            <w:pPr>
              <w:widowControl/>
              <w:jc w:val="center"/>
              <w:rPr>
                <w:kern w:val="0"/>
                <w:sz w:val="24"/>
              </w:rPr>
            </w:pPr>
            <w:r>
              <w:rPr>
                <w:kern w:val="0"/>
                <w:sz w:val="24"/>
              </w:rPr>
              <w:t>5000</w:t>
            </w:r>
          </w:p>
        </w:tc>
        <w:tc>
          <w:tcPr>
            <w:tcW w:w="1559" w:type="dxa"/>
            <w:tcBorders>
              <w:top w:val="single" w:color="auto" w:sz="4" w:space="0"/>
              <w:left w:val="nil"/>
              <w:bottom w:val="single" w:color="auto" w:sz="4" w:space="0"/>
              <w:right w:val="single" w:color="auto" w:sz="4" w:space="0"/>
            </w:tcBorders>
            <w:vAlign w:val="center"/>
          </w:tcPr>
          <w:p w14:paraId="31C6F3E7">
            <w:pPr>
              <w:widowControl/>
              <w:jc w:val="center"/>
              <w:rPr>
                <w:kern w:val="0"/>
                <w:sz w:val="24"/>
              </w:rPr>
            </w:pPr>
            <w:r>
              <w:rPr>
                <w:kern w:val="0"/>
                <w:sz w:val="24"/>
              </w:rPr>
              <w:t>20000</w:t>
            </w:r>
          </w:p>
        </w:tc>
        <w:tc>
          <w:tcPr>
            <w:tcW w:w="1276" w:type="dxa"/>
            <w:tcBorders>
              <w:top w:val="single" w:color="auto" w:sz="4" w:space="0"/>
              <w:left w:val="nil"/>
              <w:bottom w:val="single" w:color="auto" w:sz="4" w:space="0"/>
              <w:right w:val="single" w:color="auto" w:sz="4" w:space="0"/>
            </w:tcBorders>
            <w:vAlign w:val="center"/>
          </w:tcPr>
          <w:p w14:paraId="3887B3E5">
            <w:pPr>
              <w:widowControl/>
              <w:jc w:val="center"/>
              <w:rPr>
                <w:kern w:val="0"/>
                <w:sz w:val="24"/>
              </w:rPr>
            </w:pPr>
            <w:r>
              <w:rPr>
                <w:rFonts w:hint="eastAsia" w:ascii="宋体" w:hAnsi="宋体"/>
                <w:kern w:val="0"/>
                <w:sz w:val="24"/>
              </w:rPr>
              <w:t>社会投资</w:t>
            </w:r>
          </w:p>
        </w:tc>
        <w:tc>
          <w:tcPr>
            <w:tcW w:w="851" w:type="dxa"/>
            <w:tcBorders>
              <w:top w:val="single" w:color="auto" w:sz="4" w:space="0"/>
              <w:left w:val="nil"/>
              <w:bottom w:val="single" w:color="auto" w:sz="4" w:space="0"/>
              <w:right w:val="single" w:color="auto" w:sz="4" w:space="0"/>
            </w:tcBorders>
            <w:vAlign w:val="center"/>
          </w:tcPr>
          <w:p w14:paraId="490D1CE7">
            <w:pPr>
              <w:widowControl/>
              <w:jc w:val="center"/>
              <w:rPr>
                <w:b/>
                <w:bCs/>
                <w:kern w:val="0"/>
                <w:sz w:val="24"/>
              </w:rPr>
            </w:pPr>
            <w:r>
              <w:rPr>
                <w:b/>
                <w:bCs/>
                <w:kern w:val="0"/>
                <w:sz w:val="24"/>
              </w:rPr>
              <w:t>　</w:t>
            </w:r>
          </w:p>
        </w:tc>
      </w:tr>
      <w:tr w14:paraId="00374442">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718817FC">
            <w:pPr>
              <w:widowControl/>
              <w:jc w:val="center"/>
              <w:rPr>
                <w:kern w:val="0"/>
                <w:sz w:val="24"/>
              </w:rPr>
            </w:pPr>
            <w:r>
              <w:rPr>
                <w:kern w:val="0"/>
                <w:sz w:val="24"/>
              </w:rPr>
              <w:t>2.3.2</w:t>
            </w:r>
          </w:p>
        </w:tc>
        <w:tc>
          <w:tcPr>
            <w:tcW w:w="3128" w:type="dxa"/>
            <w:tcBorders>
              <w:top w:val="nil"/>
              <w:left w:val="nil"/>
              <w:bottom w:val="single" w:color="auto" w:sz="4" w:space="0"/>
              <w:right w:val="single" w:color="auto" w:sz="4" w:space="0"/>
            </w:tcBorders>
            <w:vAlign w:val="center"/>
          </w:tcPr>
          <w:p w14:paraId="0D0D1C94">
            <w:pPr>
              <w:widowControl/>
              <w:jc w:val="left"/>
              <w:rPr>
                <w:kern w:val="0"/>
                <w:sz w:val="24"/>
              </w:rPr>
            </w:pPr>
            <w:r>
              <w:rPr>
                <w:rFonts w:hint="eastAsia" w:ascii="宋体" w:hAnsi="宋体"/>
                <w:kern w:val="0"/>
                <w:sz w:val="24"/>
              </w:rPr>
              <w:t>热带花卉主题公园</w:t>
            </w:r>
          </w:p>
        </w:tc>
        <w:tc>
          <w:tcPr>
            <w:tcW w:w="1984" w:type="dxa"/>
            <w:tcBorders>
              <w:top w:val="nil"/>
              <w:left w:val="nil"/>
              <w:bottom w:val="single" w:color="auto" w:sz="4" w:space="0"/>
              <w:right w:val="single" w:color="auto" w:sz="4" w:space="0"/>
            </w:tcBorders>
            <w:vAlign w:val="center"/>
          </w:tcPr>
          <w:p w14:paraId="4B0E2152">
            <w:pPr>
              <w:widowControl/>
              <w:jc w:val="center"/>
              <w:rPr>
                <w:kern w:val="0"/>
                <w:sz w:val="24"/>
              </w:rPr>
            </w:pPr>
            <w:r>
              <w:rPr>
                <w:rFonts w:hint="eastAsia" w:ascii="宋体" w:hAnsi="宋体"/>
                <w:kern w:val="0"/>
                <w:sz w:val="24"/>
              </w:rPr>
              <w:t>亚龙湾国际玫瑰谷</w:t>
            </w:r>
          </w:p>
        </w:tc>
        <w:tc>
          <w:tcPr>
            <w:tcW w:w="1236" w:type="dxa"/>
            <w:tcBorders>
              <w:top w:val="nil"/>
              <w:left w:val="nil"/>
              <w:bottom w:val="single" w:color="auto" w:sz="4" w:space="0"/>
              <w:right w:val="single" w:color="auto" w:sz="4" w:space="0"/>
            </w:tcBorders>
            <w:vAlign w:val="center"/>
          </w:tcPr>
          <w:p w14:paraId="78213288">
            <w:pPr>
              <w:widowControl/>
              <w:jc w:val="center"/>
              <w:rPr>
                <w:kern w:val="0"/>
                <w:sz w:val="24"/>
              </w:rPr>
            </w:pPr>
            <w:r>
              <w:rPr>
                <w:kern w:val="0"/>
                <w:sz w:val="24"/>
              </w:rPr>
              <w:t>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C9C9341">
            <w:pPr>
              <w:widowControl/>
              <w:jc w:val="center"/>
              <w:rPr>
                <w:kern w:val="0"/>
                <w:sz w:val="24"/>
              </w:rPr>
            </w:pPr>
            <w:r>
              <w:rPr>
                <w:kern w:val="0"/>
                <w:sz w:val="24"/>
              </w:rPr>
              <w:t>4000</w:t>
            </w:r>
          </w:p>
        </w:tc>
        <w:tc>
          <w:tcPr>
            <w:tcW w:w="1559" w:type="dxa"/>
            <w:tcBorders>
              <w:top w:val="nil"/>
              <w:left w:val="nil"/>
              <w:bottom w:val="single" w:color="auto" w:sz="4" w:space="0"/>
              <w:right w:val="single" w:color="auto" w:sz="4" w:space="0"/>
            </w:tcBorders>
            <w:vAlign w:val="center"/>
          </w:tcPr>
          <w:p w14:paraId="0DC9E43B">
            <w:pPr>
              <w:widowControl/>
              <w:jc w:val="center"/>
              <w:rPr>
                <w:kern w:val="0"/>
                <w:sz w:val="24"/>
              </w:rPr>
            </w:pPr>
            <w:r>
              <w:rPr>
                <w:kern w:val="0"/>
                <w:sz w:val="24"/>
              </w:rPr>
              <w:t>4000</w:t>
            </w:r>
          </w:p>
        </w:tc>
        <w:tc>
          <w:tcPr>
            <w:tcW w:w="1559" w:type="dxa"/>
            <w:tcBorders>
              <w:top w:val="nil"/>
              <w:left w:val="nil"/>
              <w:bottom w:val="single" w:color="auto" w:sz="4" w:space="0"/>
              <w:right w:val="single" w:color="auto" w:sz="4" w:space="0"/>
            </w:tcBorders>
            <w:vAlign w:val="center"/>
          </w:tcPr>
          <w:p w14:paraId="15456714">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22903439">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11302CE7">
            <w:pPr>
              <w:widowControl/>
              <w:jc w:val="center"/>
              <w:rPr>
                <w:b/>
                <w:bCs/>
                <w:kern w:val="0"/>
                <w:sz w:val="24"/>
              </w:rPr>
            </w:pPr>
            <w:r>
              <w:rPr>
                <w:b/>
                <w:bCs/>
                <w:kern w:val="0"/>
                <w:sz w:val="24"/>
              </w:rPr>
              <w:t>　</w:t>
            </w:r>
          </w:p>
        </w:tc>
      </w:tr>
      <w:tr w14:paraId="62E33BB9">
        <w:tblPrEx>
          <w:tblCellMar>
            <w:top w:w="0" w:type="dxa"/>
            <w:left w:w="108" w:type="dxa"/>
            <w:bottom w:w="0" w:type="dxa"/>
            <w:right w:w="108" w:type="dxa"/>
          </w:tblCellMar>
        </w:tblPrEx>
        <w:trPr>
          <w:cantSplit/>
          <w:trHeight w:val="375" w:hRule="atLeast"/>
        </w:trPr>
        <w:tc>
          <w:tcPr>
            <w:tcW w:w="1140" w:type="dxa"/>
            <w:tcBorders>
              <w:top w:val="nil"/>
              <w:left w:val="single" w:color="auto" w:sz="4" w:space="0"/>
              <w:bottom w:val="single" w:color="auto" w:sz="4" w:space="0"/>
              <w:right w:val="single" w:color="auto" w:sz="4" w:space="0"/>
            </w:tcBorders>
            <w:vAlign w:val="center"/>
          </w:tcPr>
          <w:p w14:paraId="63423D24">
            <w:pPr>
              <w:widowControl/>
              <w:jc w:val="center"/>
              <w:rPr>
                <w:kern w:val="0"/>
                <w:sz w:val="24"/>
              </w:rPr>
            </w:pPr>
            <w:r>
              <w:rPr>
                <w:kern w:val="0"/>
                <w:sz w:val="24"/>
              </w:rPr>
              <w:t>2.3.3</w:t>
            </w:r>
          </w:p>
        </w:tc>
        <w:tc>
          <w:tcPr>
            <w:tcW w:w="3128" w:type="dxa"/>
            <w:tcBorders>
              <w:top w:val="nil"/>
              <w:left w:val="nil"/>
              <w:bottom w:val="single" w:color="auto" w:sz="4" w:space="0"/>
              <w:right w:val="single" w:color="auto" w:sz="4" w:space="0"/>
            </w:tcBorders>
            <w:vAlign w:val="center"/>
          </w:tcPr>
          <w:p w14:paraId="7F306B83">
            <w:pPr>
              <w:widowControl/>
              <w:jc w:val="left"/>
              <w:rPr>
                <w:rFonts w:ascii="宋体" w:hAnsi="宋体" w:cs="宋体"/>
                <w:kern w:val="0"/>
                <w:sz w:val="24"/>
              </w:rPr>
            </w:pPr>
            <w:r>
              <w:rPr>
                <w:rFonts w:hint="eastAsia" w:ascii="宋体" w:hAnsi="宋体" w:cs="宋体"/>
                <w:kern w:val="0"/>
                <w:sz w:val="24"/>
              </w:rPr>
              <w:t>南丁花卉生态村</w:t>
            </w:r>
          </w:p>
        </w:tc>
        <w:tc>
          <w:tcPr>
            <w:tcW w:w="1984" w:type="dxa"/>
            <w:tcBorders>
              <w:top w:val="nil"/>
              <w:left w:val="nil"/>
              <w:bottom w:val="single" w:color="auto" w:sz="4" w:space="0"/>
              <w:right w:val="single" w:color="auto" w:sz="4" w:space="0"/>
            </w:tcBorders>
            <w:vAlign w:val="center"/>
          </w:tcPr>
          <w:p w14:paraId="7F997C38">
            <w:pPr>
              <w:widowControl/>
              <w:jc w:val="center"/>
              <w:rPr>
                <w:rFonts w:ascii="宋体" w:hAnsi="宋体" w:cs="宋体"/>
                <w:kern w:val="0"/>
                <w:sz w:val="24"/>
              </w:rPr>
            </w:pPr>
            <w:r>
              <w:rPr>
                <w:rFonts w:hint="eastAsia" w:ascii="宋体" w:hAnsi="宋体" w:cs="宋体"/>
                <w:kern w:val="0"/>
                <w:sz w:val="24"/>
              </w:rPr>
              <w:t>吉阳区南丁村</w:t>
            </w:r>
          </w:p>
        </w:tc>
        <w:tc>
          <w:tcPr>
            <w:tcW w:w="1236" w:type="dxa"/>
            <w:tcBorders>
              <w:top w:val="nil"/>
              <w:left w:val="nil"/>
              <w:bottom w:val="single" w:color="auto" w:sz="4" w:space="0"/>
              <w:right w:val="single" w:color="auto" w:sz="4" w:space="0"/>
            </w:tcBorders>
            <w:vAlign w:val="center"/>
          </w:tcPr>
          <w:p w14:paraId="3E3F6575">
            <w:pPr>
              <w:widowControl/>
              <w:jc w:val="center"/>
              <w:rPr>
                <w:kern w:val="0"/>
                <w:sz w:val="24"/>
              </w:rPr>
            </w:pPr>
            <w:r>
              <w:rPr>
                <w:rFonts w:hint="eastAsia"/>
                <w:kern w:val="0"/>
                <w:sz w:val="24"/>
              </w:rPr>
              <w:t>500</w:t>
            </w:r>
            <w:r>
              <w:rPr>
                <w:kern w:val="0"/>
                <w:sz w:val="24"/>
              </w:rPr>
              <w:t>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1240FC0">
            <w:pPr>
              <w:widowControl/>
              <w:jc w:val="center"/>
              <w:rPr>
                <w:kern w:val="0"/>
                <w:sz w:val="24"/>
              </w:rPr>
            </w:pPr>
            <w:r>
              <w:rPr>
                <w:rFonts w:hint="eastAsia"/>
                <w:kern w:val="0"/>
                <w:sz w:val="24"/>
              </w:rPr>
              <w:t>100</w:t>
            </w:r>
            <w:r>
              <w:rPr>
                <w:kern w:val="0"/>
                <w:sz w:val="24"/>
              </w:rPr>
              <w:t>000</w:t>
            </w:r>
          </w:p>
        </w:tc>
        <w:tc>
          <w:tcPr>
            <w:tcW w:w="1559" w:type="dxa"/>
            <w:tcBorders>
              <w:top w:val="nil"/>
              <w:left w:val="nil"/>
              <w:bottom w:val="single" w:color="auto" w:sz="4" w:space="0"/>
              <w:right w:val="single" w:color="auto" w:sz="4" w:space="0"/>
            </w:tcBorders>
            <w:vAlign w:val="center"/>
          </w:tcPr>
          <w:p w14:paraId="7F7CEED8">
            <w:pPr>
              <w:widowControl/>
              <w:jc w:val="center"/>
              <w:rPr>
                <w:kern w:val="0"/>
                <w:sz w:val="24"/>
              </w:rPr>
            </w:pPr>
            <w:r>
              <w:rPr>
                <w:rFonts w:hint="eastAsia"/>
                <w:kern w:val="0"/>
                <w:sz w:val="24"/>
              </w:rPr>
              <w:t>30</w:t>
            </w:r>
            <w:r>
              <w:rPr>
                <w:kern w:val="0"/>
                <w:sz w:val="24"/>
              </w:rPr>
              <w:t>000</w:t>
            </w:r>
          </w:p>
        </w:tc>
        <w:tc>
          <w:tcPr>
            <w:tcW w:w="1559" w:type="dxa"/>
            <w:tcBorders>
              <w:top w:val="nil"/>
              <w:left w:val="nil"/>
              <w:bottom w:val="single" w:color="auto" w:sz="4" w:space="0"/>
              <w:right w:val="single" w:color="auto" w:sz="4" w:space="0"/>
            </w:tcBorders>
            <w:vAlign w:val="center"/>
          </w:tcPr>
          <w:p w14:paraId="76E3DA36">
            <w:pPr>
              <w:widowControl/>
              <w:jc w:val="center"/>
              <w:rPr>
                <w:kern w:val="0"/>
                <w:sz w:val="24"/>
              </w:rPr>
            </w:pPr>
            <w:r>
              <w:rPr>
                <w:rFonts w:hint="eastAsia"/>
                <w:kern w:val="0"/>
                <w:sz w:val="24"/>
              </w:rPr>
              <w:t>70000</w:t>
            </w:r>
          </w:p>
        </w:tc>
        <w:tc>
          <w:tcPr>
            <w:tcW w:w="1276" w:type="dxa"/>
            <w:tcBorders>
              <w:top w:val="nil"/>
              <w:left w:val="nil"/>
              <w:bottom w:val="single" w:color="auto" w:sz="4" w:space="0"/>
              <w:right w:val="single" w:color="auto" w:sz="4" w:space="0"/>
            </w:tcBorders>
            <w:vAlign w:val="center"/>
          </w:tcPr>
          <w:p w14:paraId="1E3752AA">
            <w:pPr>
              <w:widowControl/>
              <w:jc w:val="center"/>
              <w:rPr>
                <w:rFonts w:ascii="宋体" w:hAnsi="宋体" w:cs="宋体"/>
                <w:kern w:val="0"/>
                <w:sz w:val="24"/>
              </w:rPr>
            </w:pPr>
            <w:r>
              <w:rPr>
                <w:rFonts w:hint="eastAsia" w:ascii="宋体" w:hAnsi="宋体" w:cs="宋体"/>
                <w:kern w:val="0"/>
                <w:sz w:val="24"/>
              </w:rPr>
              <w:t>社会投资</w:t>
            </w:r>
          </w:p>
        </w:tc>
        <w:tc>
          <w:tcPr>
            <w:tcW w:w="851" w:type="dxa"/>
            <w:tcBorders>
              <w:top w:val="nil"/>
              <w:left w:val="nil"/>
              <w:bottom w:val="single" w:color="auto" w:sz="4" w:space="0"/>
              <w:right w:val="single" w:color="auto" w:sz="4" w:space="0"/>
            </w:tcBorders>
            <w:vAlign w:val="center"/>
          </w:tcPr>
          <w:p w14:paraId="4B6AFFC6">
            <w:pPr>
              <w:widowControl/>
              <w:jc w:val="center"/>
              <w:rPr>
                <w:b/>
                <w:bCs/>
                <w:kern w:val="0"/>
                <w:sz w:val="24"/>
              </w:rPr>
            </w:pPr>
            <w:r>
              <w:rPr>
                <w:b/>
                <w:bCs/>
                <w:kern w:val="0"/>
                <w:sz w:val="24"/>
              </w:rPr>
              <w:t>　</w:t>
            </w:r>
          </w:p>
        </w:tc>
      </w:tr>
      <w:tr w14:paraId="4C4DB958">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42771E85">
            <w:pPr>
              <w:widowControl/>
              <w:jc w:val="center"/>
              <w:rPr>
                <w:b/>
                <w:bCs/>
                <w:kern w:val="0"/>
                <w:sz w:val="24"/>
              </w:rPr>
            </w:pPr>
            <w:r>
              <w:rPr>
                <w:b/>
                <w:bCs/>
                <w:kern w:val="0"/>
                <w:sz w:val="24"/>
              </w:rPr>
              <w:t>2.4</w:t>
            </w:r>
          </w:p>
        </w:tc>
        <w:tc>
          <w:tcPr>
            <w:tcW w:w="3128" w:type="dxa"/>
            <w:tcBorders>
              <w:top w:val="nil"/>
              <w:left w:val="nil"/>
              <w:bottom w:val="single" w:color="auto" w:sz="4" w:space="0"/>
              <w:right w:val="single" w:color="auto" w:sz="4" w:space="0"/>
            </w:tcBorders>
            <w:vAlign w:val="center"/>
          </w:tcPr>
          <w:p w14:paraId="6EDAA6E3">
            <w:pPr>
              <w:widowControl/>
              <w:jc w:val="left"/>
              <w:rPr>
                <w:rFonts w:ascii="宋体" w:hAnsi="宋体" w:cs="宋体"/>
                <w:b/>
                <w:bCs/>
                <w:kern w:val="0"/>
                <w:sz w:val="24"/>
              </w:rPr>
            </w:pPr>
            <w:r>
              <w:rPr>
                <w:rFonts w:hint="eastAsia" w:ascii="宋体" w:hAnsi="宋体" w:cs="宋体"/>
                <w:b/>
                <w:bCs/>
                <w:kern w:val="0"/>
                <w:sz w:val="24"/>
              </w:rPr>
              <w:t>林产品交易中心和会展中心建设工程</w:t>
            </w:r>
          </w:p>
        </w:tc>
        <w:tc>
          <w:tcPr>
            <w:tcW w:w="1984" w:type="dxa"/>
            <w:tcBorders>
              <w:top w:val="nil"/>
              <w:left w:val="nil"/>
              <w:bottom w:val="single" w:color="auto" w:sz="4" w:space="0"/>
              <w:right w:val="single" w:color="auto" w:sz="4" w:space="0"/>
            </w:tcBorders>
            <w:vAlign w:val="center"/>
          </w:tcPr>
          <w:p w14:paraId="554132BF">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4144B2F6">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03925E96">
            <w:pPr>
              <w:widowControl/>
              <w:jc w:val="center"/>
              <w:rPr>
                <w:b/>
                <w:bCs/>
                <w:kern w:val="0"/>
                <w:sz w:val="24"/>
              </w:rPr>
            </w:pPr>
            <w:r>
              <w:rPr>
                <w:b/>
                <w:bCs/>
                <w:kern w:val="0"/>
                <w:sz w:val="24"/>
              </w:rPr>
              <w:t>60000</w:t>
            </w:r>
          </w:p>
        </w:tc>
        <w:tc>
          <w:tcPr>
            <w:tcW w:w="1559" w:type="dxa"/>
            <w:tcBorders>
              <w:top w:val="nil"/>
              <w:left w:val="nil"/>
              <w:bottom w:val="single" w:color="auto" w:sz="4" w:space="0"/>
              <w:right w:val="single" w:color="auto" w:sz="4" w:space="0"/>
            </w:tcBorders>
            <w:vAlign w:val="center"/>
          </w:tcPr>
          <w:p w14:paraId="21436474">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31718651">
            <w:pPr>
              <w:widowControl/>
              <w:jc w:val="center"/>
              <w:rPr>
                <w:b/>
                <w:bCs/>
                <w:kern w:val="0"/>
                <w:sz w:val="24"/>
              </w:rPr>
            </w:pPr>
            <w:r>
              <w:rPr>
                <w:b/>
                <w:bCs/>
                <w:kern w:val="0"/>
                <w:sz w:val="24"/>
              </w:rPr>
              <w:t>60000</w:t>
            </w:r>
          </w:p>
        </w:tc>
        <w:tc>
          <w:tcPr>
            <w:tcW w:w="1276" w:type="dxa"/>
            <w:tcBorders>
              <w:top w:val="nil"/>
              <w:left w:val="nil"/>
              <w:bottom w:val="single" w:color="auto" w:sz="4" w:space="0"/>
              <w:right w:val="single" w:color="auto" w:sz="4" w:space="0"/>
            </w:tcBorders>
            <w:vAlign w:val="center"/>
          </w:tcPr>
          <w:p w14:paraId="6B3A9289">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41148C0E">
            <w:pPr>
              <w:widowControl/>
              <w:jc w:val="center"/>
              <w:rPr>
                <w:b/>
                <w:bCs/>
                <w:kern w:val="0"/>
                <w:sz w:val="24"/>
              </w:rPr>
            </w:pPr>
            <w:r>
              <w:rPr>
                <w:b/>
                <w:bCs/>
                <w:kern w:val="0"/>
                <w:sz w:val="24"/>
              </w:rPr>
              <w:t>　</w:t>
            </w:r>
          </w:p>
        </w:tc>
      </w:tr>
      <w:tr w14:paraId="31EBFF47">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5CCC5104">
            <w:pPr>
              <w:widowControl/>
              <w:jc w:val="center"/>
              <w:rPr>
                <w:kern w:val="0"/>
                <w:sz w:val="24"/>
              </w:rPr>
            </w:pPr>
            <w:r>
              <w:rPr>
                <w:kern w:val="0"/>
                <w:sz w:val="24"/>
              </w:rPr>
              <w:t>2.4.1</w:t>
            </w:r>
          </w:p>
        </w:tc>
        <w:tc>
          <w:tcPr>
            <w:tcW w:w="3128" w:type="dxa"/>
            <w:tcBorders>
              <w:top w:val="nil"/>
              <w:left w:val="nil"/>
              <w:bottom w:val="single" w:color="auto" w:sz="4" w:space="0"/>
              <w:right w:val="single" w:color="auto" w:sz="4" w:space="0"/>
            </w:tcBorders>
            <w:vAlign w:val="center"/>
          </w:tcPr>
          <w:p w14:paraId="254CDD72">
            <w:pPr>
              <w:widowControl/>
              <w:jc w:val="left"/>
              <w:rPr>
                <w:kern w:val="0"/>
                <w:sz w:val="24"/>
              </w:rPr>
            </w:pPr>
            <w:r>
              <w:rPr>
                <w:rFonts w:hint="eastAsia" w:ascii="宋体" w:hAnsi="宋体"/>
                <w:kern w:val="0"/>
                <w:sz w:val="24"/>
              </w:rPr>
              <w:t>林产品交易中心</w:t>
            </w:r>
          </w:p>
        </w:tc>
        <w:tc>
          <w:tcPr>
            <w:tcW w:w="1984" w:type="dxa"/>
            <w:vMerge w:val="restart"/>
            <w:tcBorders>
              <w:top w:val="nil"/>
              <w:left w:val="single" w:color="auto" w:sz="4" w:space="0"/>
              <w:bottom w:val="single" w:color="auto" w:sz="4" w:space="0"/>
              <w:right w:val="single" w:color="auto" w:sz="4" w:space="0"/>
            </w:tcBorders>
            <w:vAlign w:val="center"/>
          </w:tcPr>
          <w:p w14:paraId="10D833D6">
            <w:pPr>
              <w:widowControl/>
              <w:jc w:val="center"/>
              <w:rPr>
                <w:rFonts w:ascii="宋体" w:hAnsi="宋体" w:cs="宋体"/>
                <w:kern w:val="0"/>
                <w:sz w:val="24"/>
              </w:rPr>
            </w:pPr>
            <w:r>
              <w:rPr>
                <w:rFonts w:hint="eastAsia" w:ascii="宋体" w:hAnsi="宋体" w:cs="宋体"/>
                <w:kern w:val="0"/>
                <w:sz w:val="24"/>
              </w:rPr>
              <w:t>天涯区</w:t>
            </w:r>
          </w:p>
        </w:tc>
        <w:tc>
          <w:tcPr>
            <w:tcW w:w="1236" w:type="dxa"/>
            <w:tcBorders>
              <w:top w:val="nil"/>
              <w:left w:val="nil"/>
              <w:bottom w:val="single" w:color="auto" w:sz="4" w:space="0"/>
              <w:right w:val="single" w:color="auto" w:sz="4" w:space="0"/>
            </w:tcBorders>
            <w:vAlign w:val="center"/>
          </w:tcPr>
          <w:p w14:paraId="51494EEA">
            <w:pPr>
              <w:widowControl/>
              <w:jc w:val="center"/>
              <w:rPr>
                <w:kern w:val="0"/>
                <w:sz w:val="24"/>
              </w:rPr>
            </w:pPr>
            <w:r>
              <w:rPr>
                <w:kern w:val="0"/>
                <w:sz w:val="24"/>
              </w:rPr>
              <w:t>66.7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04654D5D">
            <w:pPr>
              <w:widowControl/>
              <w:jc w:val="center"/>
              <w:rPr>
                <w:kern w:val="0"/>
                <w:sz w:val="24"/>
              </w:rPr>
            </w:pPr>
            <w:r>
              <w:rPr>
                <w:kern w:val="0"/>
                <w:sz w:val="24"/>
              </w:rPr>
              <w:t>50000</w:t>
            </w:r>
          </w:p>
        </w:tc>
        <w:tc>
          <w:tcPr>
            <w:tcW w:w="1559" w:type="dxa"/>
            <w:tcBorders>
              <w:top w:val="nil"/>
              <w:left w:val="nil"/>
              <w:bottom w:val="single" w:color="auto" w:sz="4" w:space="0"/>
              <w:right w:val="single" w:color="auto" w:sz="4" w:space="0"/>
            </w:tcBorders>
            <w:vAlign w:val="center"/>
          </w:tcPr>
          <w:p w14:paraId="3D55A0E8">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190ABFFF">
            <w:pPr>
              <w:widowControl/>
              <w:jc w:val="center"/>
              <w:rPr>
                <w:kern w:val="0"/>
                <w:sz w:val="24"/>
              </w:rPr>
            </w:pPr>
            <w:r>
              <w:rPr>
                <w:kern w:val="0"/>
                <w:sz w:val="24"/>
              </w:rPr>
              <w:t>50000</w:t>
            </w:r>
          </w:p>
        </w:tc>
        <w:tc>
          <w:tcPr>
            <w:tcW w:w="1276" w:type="dxa"/>
            <w:tcBorders>
              <w:top w:val="nil"/>
              <w:left w:val="nil"/>
              <w:bottom w:val="single" w:color="auto" w:sz="4" w:space="0"/>
              <w:right w:val="single" w:color="auto" w:sz="4" w:space="0"/>
            </w:tcBorders>
            <w:vAlign w:val="center"/>
          </w:tcPr>
          <w:p w14:paraId="4C7459B3">
            <w:pPr>
              <w:widowControl/>
              <w:jc w:val="center"/>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26A20D7B">
            <w:pPr>
              <w:widowControl/>
              <w:jc w:val="center"/>
              <w:rPr>
                <w:b/>
                <w:bCs/>
                <w:kern w:val="0"/>
                <w:sz w:val="24"/>
              </w:rPr>
            </w:pPr>
            <w:r>
              <w:rPr>
                <w:b/>
                <w:bCs/>
                <w:kern w:val="0"/>
                <w:sz w:val="24"/>
              </w:rPr>
              <w:t>　</w:t>
            </w:r>
          </w:p>
        </w:tc>
      </w:tr>
      <w:tr w14:paraId="670068B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45AD073B">
            <w:pPr>
              <w:widowControl/>
              <w:jc w:val="center"/>
              <w:rPr>
                <w:kern w:val="0"/>
                <w:sz w:val="24"/>
              </w:rPr>
            </w:pPr>
            <w:r>
              <w:rPr>
                <w:kern w:val="0"/>
                <w:sz w:val="24"/>
              </w:rPr>
              <w:t>2.4.2</w:t>
            </w:r>
          </w:p>
        </w:tc>
        <w:tc>
          <w:tcPr>
            <w:tcW w:w="3128" w:type="dxa"/>
            <w:tcBorders>
              <w:top w:val="nil"/>
              <w:left w:val="nil"/>
              <w:bottom w:val="single" w:color="auto" w:sz="4" w:space="0"/>
              <w:right w:val="single" w:color="auto" w:sz="4" w:space="0"/>
            </w:tcBorders>
            <w:vAlign w:val="center"/>
          </w:tcPr>
          <w:p w14:paraId="19FB445E">
            <w:pPr>
              <w:widowControl/>
              <w:jc w:val="left"/>
              <w:rPr>
                <w:kern w:val="0"/>
                <w:sz w:val="24"/>
              </w:rPr>
            </w:pPr>
            <w:r>
              <w:rPr>
                <w:rFonts w:hint="eastAsia" w:ascii="宋体" w:hAnsi="宋体"/>
                <w:kern w:val="0"/>
                <w:sz w:val="24"/>
              </w:rPr>
              <w:t>会展中心</w:t>
            </w:r>
          </w:p>
        </w:tc>
        <w:tc>
          <w:tcPr>
            <w:tcW w:w="1984" w:type="dxa"/>
            <w:vMerge w:val="continue"/>
            <w:tcBorders>
              <w:top w:val="nil"/>
              <w:left w:val="single" w:color="auto" w:sz="4" w:space="0"/>
              <w:bottom w:val="single" w:color="auto" w:sz="4" w:space="0"/>
              <w:right w:val="single" w:color="auto" w:sz="4" w:space="0"/>
            </w:tcBorders>
            <w:vAlign w:val="center"/>
          </w:tcPr>
          <w:p w14:paraId="577A8D22">
            <w:pPr>
              <w:widowControl/>
              <w:jc w:val="left"/>
              <w:rPr>
                <w:rFonts w:ascii="宋体" w:hAnsi="宋体" w:cs="宋体"/>
                <w:kern w:val="0"/>
                <w:sz w:val="24"/>
              </w:rPr>
            </w:pPr>
          </w:p>
        </w:tc>
        <w:tc>
          <w:tcPr>
            <w:tcW w:w="1236" w:type="dxa"/>
            <w:tcBorders>
              <w:top w:val="nil"/>
              <w:left w:val="nil"/>
              <w:bottom w:val="single" w:color="auto" w:sz="4" w:space="0"/>
              <w:right w:val="single" w:color="auto" w:sz="4" w:space="0"/>
            </w:tcBorders>
            <w:vAlign w:val="center"/>
          </w:tcPr>
          <w:p w14:paraId="13853A08">
            <w:pPr>
              <w:widowControl/>
              <w:jc w:val="center"/>
              <w:rPr>
                <w:kern w:val="0"/>
                <w:sz w:val="24"/>
              </w:rPr>
            </w:pPr>
            <w:r>
              <w:rPr>
                <w:kern w:val="0"/>
                <w:sz w:val="24"/>
              </w:rPr>
              <w:t>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790FEEDD">
            <w:pPr>
              <w:widowControl/>
              <w:jc w:val="center"/>
              <w:rPr>
                <w:kern w:val="0"/>
                <w:sz w:val="24"/>
              </w:rPr>
            </w:pPr>
            <w:r>
              <w:rPr>
                <w:kern w:val="0"/>
                <w:sz w:val="24"/>
              </w:rPr>
              <w:t>10000</w:t>
            </w:r>
          </w:p>
        </w:tc>
        <w:tc>
          <w:tcPr>
            <w:tcW w:w="1559" w:type="dxa"/>
            <w:tcBorders>
              <w:top w:val="nil"/>
              <w:left w:val="nil"/>
              <w:bottom w:val="single" w:color="auto" w:sz="4" w:space="0"/>
              <w:right w:val="single" w:color="auto" w:sz="4" w:space="0"/>
            </w:tcBorders>
            <w:vAlign w:val="center"/>
          </w:tcPr>
          <w:p w14:paraId="734B89B2">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33EE63C8">
            <w:pPr>
              <w:widowControl/>
              <w:jc w:val="center"/>
              <w:rPr>
                <w:kern w:val="0"/>
                <w:sz w:val="24"/>
              </w:rPr>
            </w:pPr>
            <w:r>
              <w:rPr>
                <w:kern w:val="0"/>
                <w:sz w:val="24"/>
              </w:rPr>
              <w:t>10000</w:t>
            </w:r>
          </w:p>
        </w:tc>
        <w:tc>
          <w:tcPr>
            <w:tcW w:w="1276" w:type="dxa"/>
            <w:tcBorders>
              <w:top w:val="nil"/>
              <w:left w:val="nil"/>
              <w:bottom w:val="single" w:color="auto" w:sz="4" w:space="0"/>
              <w:right w:val="single" w:color="auto" w:sz="4" w:space="0"/>
            </w:tcBorders>
            <w:vAlign w:val="center"/>
          </w:tcPr>
          <w:p w14:paraId="5B76BBB5">
            <w:pPr>
              <w:widowControl/>
              <w:jc w:val="center"/>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750BF69A">
            <w:pPr>
              <w:widowControl/>
              <w:jc w:val="center"/>
              <w:rPr>
                <w:b/>
                <w:bCs/>
                <w:kern w:val="0"/>
                <w:sz w:val="24"/>
              </w:rPr>
            </w:pPr>
            <w:r>
              <w:rPr>
                <w:b/>
                <w:bCs/>
                <w:kern w:val="0"/>
                <w:sz w:val="24"/>
              </w:rPr>
              <w:t>　</w:t>
            </w:r>
          </w:p>
        </w:tc>
      </w:tr>
      <w:tr w14:paraId="51522C20">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15BDBDD9">
            <w:pPr>
              <w:widowControl/>
              <w:jc w:val="center"/>
              <w:rPr>
                <w:b/>
                <w:bCs/>
                <w:kern w:val="0"/>
                <w:sz w:val="24"/>
              </w:rPr>
            </w:pPr>
            <w:r>
              <w:rPr>
                <w:b/>
                <w:bCs/>
                <w:kern w:val="0"/>
                <w:sz w:val="24"/>
              </w:rPr>
              <w:t>2.5</w:t>
            </w:r>
          </w:p>
        </w:tc>
        <w:tc>
          <w:tcPr>
            <w:tcW w:w="3128" w:type="dxa"/>
            <w:tcBorders>
              <w:top w:val="nil"/>
              <w:left w:val="nil"/>
              <w:bottom w:val="single" w:color="auto" w:sz="4" w:space="0"/>
              <w:right w:val="single" w:color="auto" w:sz="4" w:space="0"/>
            </w:tcBorders>
            <w:vAlign w:val="center"/>
          </w:tcPr>
          <w:p w14:paraId="2B28FC5C">
            <w:pPr>
              <w:widowControl/>
              <w:jc w:val="left"/>
              <w:rPr>
                <w:rFonts w:ascii="宋体" w:hAnsi="宋体" w:cs="宋体"/>
                <w:b/>
                <w:bCs/>
                <w:kern w:val="0"/>
                <w:sz w:val="24"/>
              </w:rPr>
            </w:pPr>
            <w:r>
              <w:rPr>
                <w:rFonts w:hint="eastAsia" w:ascii="宋体" w:hAnsi="宋体" w:cs="宋体"/>
                <w:b/>
                <w:bCs/>
                <w:kern w:val="0"/>
                <w:sz w:val="24"/>
              </w:rPr>
              <w:t>林业种业孵化基地建设工程</w:t>
            </w:r>
          </w:p>
        </w:tc>
        <w:tc>
          <w:tcPr>
            <w:tcW w:w="1984" w:type="dxa"/>
            <w:tcBorders>
              <w:top w:val="nil"/>
              <w:left w:val="nil"/>
              <w:bottom w:val="single" w:color="auto" w:sz="4" w:space="0"/>
              <w:right w:val="single" w:color="auto" w:sz="4" w:space="0"/>
            </w:tcBorders>
            <w:noWrap/>
            <w:vAlign w:val="center"/>
          </w:tcPr>
          <w:p w14:paraId="5E6616AF">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noWrap/>
            <w:vAlign w:val="center"/>
          </w:tcPr>
          <w:p w14:paraId="0D81196F">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noWrap/>
            <w:vAlign w:val="center"/>
          </w:tcPr>
          <w:p w14:paraId="2CB97358">
            <w:pPr>
              <w:widowControl/>
              <w:jc w:val="center"/>
              <w:rPr>
                <w:b/>
                <w:bCs/>
                <w:kern w:val="0"/>
                <w:sz w:val="24"/>
              </w:rPr>
            </w:pPr>
            <w:r>
              <w:rPr>
                <w:b/>
                <w:bCs/>
                <w:kern w:val="0"/>
                <w:sz w:val="24"/>
              </w:rPr>
              <w:t>3000</w:t>
            </w:r>
          </w:p>
        </w:tc>
        <w:tc>
          <w:tcPr>
            <w:tcW w:w="1559" w:type="dxa"/>
            <w:tcBorders>
              <w:top w:val="nil"/>
              <w:left w:val="nil"/>
              <w:bottom w:val="single" w:color="auto" w:sz="4" w:space="0"/>
              <w:right w:val="single" w:color="auto" w:sz="4" w:space="0"/>
            </w:tcBorders>
            <w:noWrap/>
            <w:vAlign w:val="center"/>
          </w:tcPr>
          <w:p w14:paraId="618ABD66">
            <w:pPr>
              <w:widowControl/>
              <w:jc w:val="center"/>
              <w:rPr>
                <w:b/>
                <w:bCs/>
                <w:kern w:val="0"/>
                <w:sz w:val="24"/>
              </w:rPr>
            </w:pPr>
            <w:r>
              <w:rPr>
                <w:b/>
                <w:bCs/>
                <w:kern w:val="0"/>
                <w:sz w:val="24"/>
              </w:rPr>
              <w:t>3000</w:t>
            </w:r>
          </w:p>
        </w:tc>
        <w:tc>
          <w:tcPr>
            <w:tcW w:w="1559" w:type="dxa"/>
            <w:tcBorders>
              <w:top w:val="nil"/>
              <w:left w:val="nil"/>
              <w:bottom w:val="single" w:color="auto" w:sz="4" w:space="0"/>
              <w:right w:val="single" w:color="auto" w:sz="4" w:space="0"/>
            </w:tcBorders>
            <w:vAlign w:val="center"/>
          </w:tcPr>
          <w:p w14:paraId="2290E85E">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noWrap/>
            <w:vAlign w:val="center"/>
          </w:tcPr>
          <w:p w14:paraId="2C2F30B9">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296CE321">
            <w:pPr>
              <w:widowControl/>
              <w:jc w:val="center"/>
              <w:rPr>
                <w:b/>
                <w:bCs/>
                <w:kern w:val="0"/>
                <w:sz w:val="24"/>
              </w:rPr>
            </w:pPr>
            <w:r>
              <w:rPr>
                <w:b/>
                <w:bCs/>
                <w:kern w:val="0"/>
                <w:sz w:val="24"/>
              </w:rPr>
              <w:t>　</w:t>
            </w:r>
          </w:p>
        </w:tc>
      </w:tr>
      <w:tr w14:paraId="0F32E0B2">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587397DF">
            <w:pPr>
              <w:widowControl/>
              <w:jc w:val="center"/>
              <w:rPr>
                <w:kern w:val="0"/>
                <w:sz w:val="24"/>
              </w:rPr>
            </w:pPr>
            <w:r>
              <w:rPr>
                <w:kern w:val="0"/>
                <w:sz w:val="24"/>
              </w:rPr>
              <w:t>2.5.1</w:t>
            </w:r>
          </w:p>
        </w:tc>
        <w:tc>
          <w:tcPr>
            <w:tcW w:w="3128" w:type="dxa"/>
            <w:tcBorders>
              <w:top w:val="nil"/>
              <w:left w:val="nil"/>
              <w:bottom w:val="single" w:color="auto" w:sz="4" w:space="0"/>
              <w:right w:val="single" w:color="auto" w:sz="4" w:space="0"/>
            </w:tcBorders>
            <w:vAlign w:val="center"/>
          </w:tcPr>
          <w:p w14:paraId="65963474">
            <w:pPr>
              <w:widowControl/>
              <w:jc w:val="left"/>
              <w:rPr>
                <w:rFonts w:ascii="宋体" w:hAnsi="宋体" w:cs="宋体"/>
                <w:kern w:val="0"/>
                <w:sz w:val="24"/>
              </w:rPr>
            </w:pPr>
            <w:r>
              <w:rPr>
                <w:rFonts w:hint="eastAsia" w:ascii="宋体" w:hAnsi="宋体" w:cs="宋体"/>
                <w:kern w:val="0"/>
                <w:sz w:val="24"/>
              </w:rPr>
              <w:t>林业种业孵化基地</w:t>
            </w:r>
          </w:p>
        </w:tc>
        <w:tc>
          <w:tcPr>
            <w:tcW w:w="1984" w:type="dxa"/>
            <w:tcBorders>
              <w:top w:val="nil"/>
              <w:left w:val="nil"/>
              <w:bottom w:val="single" w:color="auto" w:sz="4" w:space="0"/>
              <w:right w:val="single" w:color="auto" w:sz="4" w:space="0"/>
            </w:tcBorders>
            <w:vAlign w:val="center"/>
          </w:tcPr>
          <w:p w14:paraId="4E673C4D">
            <w:pPr>
              <w:widowControl/>
              <w:jc w:val="center"/>
              <w:rPr>
                <w:kern w:val="0"/>
                <w:sz w:val="24"/>
              </w:rPr>
            </w:pPr>
            <w:r>
              <w:rPr>
                <w:rFonts w:hint="eastAsia" w:ascii="宋体" w:hAnsi="宋体"/>
                <w:kern w:val="0"/>
                <w:sz w:val="24"/>
              </w:rPr>
              <w:t>崖州区</w:t>
            </w:r>
          </w:p>
        </w:tc>
        <w:tc>
          <w:tcPr>
            <w:tcW w:w="1236" w:type="dxa"/>
            <w:tcBorders>
              <w:top w:val="nil"/>
              <w:left w:val="nil"/>
              <w:bottom w:val="single" w:color="auto" w:sz="4" w:space="0"/>
              <w:right w:val="single" w:color="auto" w:sz="4" w:space="0"/>
            </w:tcBorders>
            <w:vAlign w:val="center"/>
          </w:tcPr>
          <w:p w14:paraId="698140F8">
            <w:pPr>
              <w:widowControl/>
              <w:jc w:val="center"/>
              <w:rPr>
                <w:kern w:val="0"/>
                <w:sz w:val="24"/>
              </w:rPr>
            </w:pPr>
            <w:r>
              <w:rPr>
                <w:kern w:val="0"/>
                <w:sz w:val="24"/>
              </w:rPr>
              <w:t>3.3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1EA6529F">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6DBC6025">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6EC16918">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0CE9AF17">
            <w:pPr>
              <w:widowControl/>
              <w:jc w:val="center"/>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7BEEB216">
            <w:pPr>
              <w:widowControl/>
              <w:jc w:val="center"/>
              <w:rPr>
                <w:b/>
                <w:bCs/>
                <w:kern w:val="0"/>
                <w:sz w:val="24"/>
              </w:rPr>
            </w:pPr>
            <w:r>
              <w:rPr>
                <w:b/>
                <w:bCs/>
                <w:kern w:val="0"/>
                <w:sz w:val="24"/>
              </w:rPr>
              <w:t>　</w:t>
            </w:r>
          </w:p>
        </w:tc>
      </w:tr>
      <w:tr w14:paraId="5F51F90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DE2B2F4">
            <w:pPr>
              <w:widowControl/>
              <w:jc w:val="center"/>
              <w:rPr>
                <w:kern w:val="0"/>
                <w:sz w:val="24"/>
              </w:rPr>
            </w:pPr>
            <w:r>
              <w:rPr>
                <w:kern w:val="0"/>
                <w:sz w:val="24"/>
              </w:rPr>
              <w:t>2.5.2</w:t>
            </w:r>
          </w:p>
        </w:tc>
        <w:tc>
          <w:tcPr>
            <w:tcW w:w="3128" w:type="dxa"/>
            <w:tcBorders>
              <w:top w:val="nil"/>
              <w:left w:val="nil"/>
              <w:bottom w:val="single" w:color="auto" w:sz="4" w:space="0"/>
              <w:right w:val="single" w:color="auto" w:sz="4" w:space="0"/>
            </w:tcBorders>
            <w:vAlign w:val="center"/>
          </w:tcPr>
          <w:p w14:paraId="6CF80D82">
            <w:pPr>
              <w:widowControl/>
              <w:jc w:val="left"/>
              <w:rPr>
                <w:rFonts w:ascii="宋体" w:hAnsi="宋体" w:cs="宋体"/>
                <w:kern w:val="0"/>
                <w:sz w:val="24"/>
              </w:rPr>
            </w:pPr>
            <w:r>
              <w:rPr>
                <w:rFonts w:hint="eastAsia" w:ascii="宋体" w:hAnsi="宋体" w:cs="宋体"/>
                <w:kern w:val="0"/>
                <w:sz w:val="24"/>
              </w:rPr>
              <w:t>种质隔离基地</w:t>
            </w:r>
          </w:p>
        </w:tc>
        <w:tc>
          <w:tcPr>
            <w:tcW w:w="1984" w:type="dxa"/>
            <w:tcBorders>
              <w:top w:val="nil"/>
              <w:left w:val="nil"/>
              <w:bottom w:val="single" w:color="auto" w:sz="4" w:space="0"/>
              <w:right w:val="single" w:color="auto" w:sz="4" w:space="0"/>
            </w:tcBorders>
            <w:vAlign w:val="center"/>
          </w:tcPr>
          <w:p w14:paraId="032B3063">
            <w:pPr>
              <w:widowControl/>
              <w:jc w:val="center"/>
              <w:rPr>
                <w:kern w:val="0"/>
                <w:sz w:val="24"/>
              </w:rPr>
            </w:pPr>
            <w:r>
              <w:rPr>
                <w:rFonts w:hint="eastAsia" w:ascii="宋体" w:hAnsi="宋体"/>
                <w:kern w:val="0"/>
                <w:sz w:val="24"/>
              </w:rPr>
              <w:t>崖州区</w:t>
            </w:r>
          </w:p>
        </w:tc>
        <w:tc>
          <w:tcPr>
            <w:tcW w:w="1236" w:type="dxa"/>
            <w:tcBorders>
              <w:top w:val="nil"/>
              <w:left w:val="nil"/>
              <w:bottom w:val="single" w:color="auto" w:sz="4" w:space="0"/>
              <w:right w:val="single" w:color="auto" w:sz="4" w:space="0"/>
            </w:tcBorders>
            <w:vAlign w:val="center"/>
          </w:tcPr>
          <w:p w14:paraId="2AEBF8B1">
            <w:pPr>
              <w:widowControl/>
              <w:jc w:val="center"/>
              <w:rPr>
                <w:kern w:val="0"/>
                <w:sz w:val="24"/>
              </w:rPr>
            </w:pPr>
            <w:r>
              <w:rPr>
                <w:kern w:val="0"/>
                <w:sz w:val="24"/>
              </w:rPr>
              <w:t>　</w:t>
            </w:r>
          </w:p>
        </w:tc>
        <w:tc>
          <w:tcPr>
            <w:tcW w:w="1701" w:type="dxa"/>
            <w:tcBorders>
              <w:top w:val="nil"/>
              <w:left w:val="nil"/>
              <w:bottom w:val="single" w:color="auto" w:sz="4" w:space="0"/>
              <w:right w:val="single" w:color="auto" w:sz="4" w:space="0"/>
            </w:tcBorders>
            <w:vAlign w:val="center"/>
          </w:tcPr>
          <w:p w14:paraId="39B07705">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41D2C7B1">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4E43B913">
            <w:pPr>
              <w:widowControl/>
              <w:jc w:val="center"/>
              <w:rPr>
                <w:kern w:val="0"/>
                <w:sz w:val="24"/>
              </w:rPr>
            </w:pPr>
            <w:r>
              <w:rPr>
                <w:kern w:val="0"/>
                <w:sz w:val="24"/>
              </w:rPr>
              <w:t>　</w:t>
            </w:r>
          </w:p>
        </w:tc>
        <w:tc>
          <w:tcPr>
            <w:tcW w:w="1276" w:type="dxa"/>
            <w:tcBorders>
              <w:top w:val="nil"/>
              <w:left w:val="nil"/>
              <w:bottom w:val="single" w:color="auto" w:sz="4" w:space="0"/>
              <w:right w:val="single" w:color="auto" w:sz="4" w:space="0"/>
            </w:tcBorders>
            <w:vAlign w:val="center"/>
          </w:tcPr>
          <w:p w14:paraId="171FFDB3">
            <w:pPr>
              <w:widowControl/>
              <w:jc w:val="center"/>
              <w:rPr>
                <w:kern w:val="0"/>
                <w:sz w:val="24"/>
              </w:rPr>
            </w:pPr>
            <w:r>
              <w:rPr>
                <w:kern w:val="0"/>
                <w:sz w:val="24"/>
              </w:rPr>
              <w:t>　</w:t>
            </w:r>
          </w:p>
        </w:tc>
        <w:tc>
          <w:tcPr>
            <w:tcW w:w="851" w:type="dxa"/>
            <w:tcBorders>
              <w:top w:val="nil"/>
              <w:left w:val="nil"/>
              <w:bottom w:val="single" w:color="auto" w:sz="4" w:space="0"/>
              <w:right w:val="single" w:color="auto" w:sz="4" w:space="0"/>
            </w:tcBorders>
            <w:vAlign w:val="center"/>
          </w:tcPr>
          <w:p w14:paraId="41546FCE">
            <w:pPr>
              <w:widowControl/>
              <w:jc w:val="center"/>
              <w:rPr>
                <w:b/>
                <w:bCs/>
                <w:kern w:val="0"/>
                <w:sz w:val="24"/>
              </w:rPr>
            </w:pPr>
            <w:r>
              <w:rPr>
                <w:b/>
                <w:bCs/>
                <w:kern w:val="0"/>
                <w:sz w:val="24"/>
              </w:rPr>
              <w:t>　</w:t>
            </w:r>
          </w:p>
        </w:tc>
      </w:tr>
      <w:tr w14:paraId="4F25B94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6CAFDB8">
            <w:pPr>
              <w:widowControl/>
              <w:jc w:val="center"/>
              <w:rPr>
                <w:rFonts w:ascii="宋体" w:hAnsi="宋体" w:cs="宋体"/>
                <w:b/>
                <w:bCs/>
                <w:kern w:val="0"/>
                <w:sz w:val="24"/>
              </w:rPr>
            </w:pPr>
            <w:r>
              <w:rPr>
                <w:rFonts w:hint="eastAsia" w:ascii="宋体" w:hAnsi="宋体" w:cs="宋体"/>
                <w:b/>
                <w:bCs/>
                <w:kern w:val="0"/>
                <w:sz w:val="24"/>
              </w:rPr>
              <w:t>三</w:t>
            </w:r>
          </w:p>
        </w:tc>
        <w:tc>
          <w:tcPr>
            <w:tcW w:w="3128" w:type="dxa"/>
            <w:tcBorders>
              <w:top w:val="nil"/>
              <w:left w:val="nil"/>
              <w:bottom w:val="single" w:color="auto" w:sz="4" w:space="0"/>
              <w:right w:val="single" w:color="auto" w:sz="4" w:space="0"/>
            </w:tcBorders>
            <w:vAlign w:val="center"/>
          </w:tcPr>
          <w:p w14:paraId="147471EF">
            <w:pPr>
              <w:widowControl/>
              <w:jc w:val="left"/>
              <w:rPr>
                <w:rFonts w:ascii="宋体" w:hAnsi="宋体" w:cs="宋体"/>
                <w:b/>
                <w:bCs/>
                <w:kern w:val="0"/>
                <w:sz w:val="24"/>
              </w:rPr>
            </w:pPr>
            <w:r>
              <w:rPr>
                <w:rFonts w:hint="eastAsia" w:ascii="宋体" w:hAnsi="宋体" w:cs="宋体"/>
                <w:b/>
                <w:bCs/>
                <w:kern w:val="0"/>
                <w:sz w:val="24"/>
              </w:rPr>
              <w:t>用材林产业</w:t>
            </w:r>
          </w:p>
        </w:tc>
        <w:tc>
          <w:tcPr>
            <w:tcW w:w="1984" w:type="dxa"/>
            <w:tcBorders>
              <w:top w:val="nil"/>
              <w:left w:val="nil"/>
              <w:bottom w:val="single" w:color="auto" w:sz="4" w:space="0"/>
              <w:right w:val="single" w:color="auto" w:sz="4" w:space="0"/>
            </w:tcBorders>
            <w:vAlign w:val="center"/>
          </w:tcPr>
          <w:p w14:paraId="52439B7D">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06B0F70F">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4E02BC76">
            <w:pPr>
              <w:widowControl/>
              <w:jc w:val="center"/>
              <w:rPr>
                <w:b/>
                <w:bCs/>
                <w:kern w:val="0"/>
                <w:sz w:val="24"/>
              </w:rPr>
            </w:pPr>
            <w:r>
              <w:rPr>
                <w:b/>
                <w:bCs/>
                <w:kern w:val="0"/>
                <w:sz w:val="24"/>
              </w:rPr>
              <w:t>86000</w:t>
            </w:r>
          </w:p>
        </w:tc>
        <w:tc>
          <w:tcPr>
            <w:tcW w:w="1559" w:type="dxa"/>
            <w:tcBorders>
              <w:top w:val="nil"/>
              <w:left w:val="nil"/>
              <w:bottom w:val="single" w:color="auto" w:sz="4" w:space="0"/>
              <w:right w:val="single" w:color="auto" w:sz="4" w:space="0"/>
            </w:tcBorders>
            <w:vAlign w:val="center"/>
          </w:tcPr>
          <w:p w14:paraId="5A04D5AE">
            <w:pPr>
              <w:widowControl/>
              <w:jc w:val="center"/>
              <w:rPr>
                <w:b/>
                <w:bCs/>
                <w:kern w:val="0"/>
                <w:sz w:val="24"/>
              </w:rPr>
            </w:pPr>
            <w:r>
              <w:rPr>
                <w:b/>
                <w:bCs/>
                <w:kern w:val="0"/>
                <w:sz w:val="24"/>
              </w:rPr>
              <w:t>4000</w:t>
            </w:r>
          </w:p>
        </w:tc>
        <w:tc>
          <w:tcPr>
            <w:tcW w:w="1559" w:type="dxa"/>
            <w:tcBorders>
              <w:top w:val="nil"/>
              <w:left w:val="nil"/>
              <w:bottom w:val="single" w:color="auto" w:sz="4" w:space="0"/>
              <w:right w:val="single" w:color="auto" w:sz="4" w:space="0"/>
            </w:tcBorders>
            <w:vAlign w:val="center"/>
          </w:tcPr>
          <w:p w14:paraId="068653C0">
            <w:pPr>
              <w:widowControl/>
              <w:jc w:val="center"/>
              <w:rPr>
                <w:b/>
                <w:bCs/>
                <w:kern w:val="0"/>
                <w:sz w:val="24"/>
              </w:rPr>
            </w:pPr>
            <w:r>
              <w:rPr>
                <w:b/>
                <w:bCs/>
                <w:kern w:val="0"/>
                <w:sz w:val="24"/>
              </w:rPr>
              <w:t>82000</w:t>
            </w:r>
          </w:p>
        </w:tc>
        <w:tc>
          <w:tcPr>
            <w:tcW w:w="1276" w:type="dxa"/>
            <w:tcBorders>
              <w:top w:val="nil"/>
              <w:left w:val="nil"/>
              <w:bottom w:val="single" w:color="auto" w:sz="4" w:space="0"/>
              <w:right w:val="single" w:color="auto" w:sz="4" w:space="0"/>
            </w:tcBorders>
            <w:vAlign w:val="center"/>
          </w:tcPr>
          <w:p w14:paraId="6A479090">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5681DDC5">
            <w:pPr>
              <w:widowControl/>
              <w:jc w:val="center"/>
              <w:rPr>
                <w:b/>
                <w:bCs/>
                <w:kern w:val="0"/>
                <w:sz w:val="24"/>
              </w:rPr>
            </w:pPr>
            <w:r>
              <w:rPr>
                <w:b/>
                <w:bCs/>
                <w:kern w:val="0"/>
                <w:sz w:val="24"/>
              </w:rPr>
              <w:t>　</w:t>
            </w:r>
          </w:p>
        </w:tc>
      </w:tr>
      <w:tr w14:paraId="71F0A9B8">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7541325A">
            <w:pPr>
              <w:widowControl/>
              <w:jc w:val="center"/>
              <w:rPr>
                <w:b/>
                <w:bCs/>
                <w:kern w:val="0"/>
                <w:sz w:val="24"/>
              </w:rPr>
            </w:pPr>
            <w:r>
              <w:rPr>
                <w:b/>
                <w:bCs/>
                <w:kern w:val="0"/>
                <w:sz w:val="24"/>
              </w:rPr>
              <w:t>3.1</w:t>
            </w:r>
          </w:p>
        </w:tc>
        <w:tc>
          <w:tcPr>
            <w:tcW w:w="3128" w:type="dxa"/>
            <w:tcBorders>
              <w:top w:val="nil"/>
              <w:left w:val="nil"/>
              <w:bottom w:val="single" w:color="auto" w:sz="4" w:space="0"/>
              <w:right w:val="single" w:color="auto" w:sz="4" w:space="0"/>
            </w:tcBorders>
            <w:vAlign w:val="center"/>
          </w:tcPr>
          <w:p w14:paraId="61359FED">
            <w:pPr>
              <w:widowControl/>
              <w:jc w:val="left"/>
              <w:rPr>
                <w:rFonts w:ascii="宋体" w:hAnsi="宋体" w:cs="宋体"/>
                <w:b/>
                <w:bCs/>
                <w:kern w:val="0"/>
                <w:sz w:val="24"/>
              </w:rPr>
            </w:pPr>
            <w:r>
              <w:rPr>
                <w:rFonts w:hint="eastAsia" w:ascii="宋体" w:hAnsi="宋体" w:cs="宋体"/>
                <w:b/>
                <w:bCs/>
                <w:kern w:val="0"/>
                <w:sz w:val="24"/>
              </w:rPr>
              <w:t>国家储备林基地建设工程</w:t>
            </w:r>
          </w:p>
        </w:tc>
        <w:tc>
          <w:tcPr>
            <w:tcW w:w="1984" w:type="dxa"/>
            <w:tcBorders>
              <w:top w:val="nil"/>
              <w:left w:val="nil"/>
              <w:bottom w:val="single" w:color="auto" w:sz="4" w:space="0"/>
              <w:right w:val="single" w:color="auto" w:sz="4" w:space="0"/>
            </w:tcBorders>
            <w:vAlign w:val="center"/>
          </w:tcPr>
          <w:p w14:paraId="61454367">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3937AD5F">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2802DF05">
            <w:pPr>
              <w:widowControl/>
              <w:jc w:val="center"/>
              <w:rPr>
                <w:b/>
                <w:bCs/>
                <w:kern w:val="0"/>
                <w:sz w:val="24"/>
              </w:rPr>
            </w:pPr>
            <w:r>
              <w:rPr>
                <w:b/>
                <w:bCs/>
                <w:kern w:val="0"/>
                <w:sz w:val="24"/>
              </w:rPr>
              <w:t>75000</w:t>
            </w:r>
          </w:p>
        </w:tc>
        <w:tc>
          <w:tcPr>
            <w:tcW w:w="1559" w:type="dxa"/>
            <w:tcBorders>
              <w:top w:val="nil"/>
              <w:left w:val="nil"/>
              <w:bottom w:val="single" w:color="auto" w:sz="4" w:space="0"/>
              <w:right w:val="single" w:color="auto" w:sz="4" w:space="0"/>
            </w:tcBorders>
            <w:vAlign w:val="center"/>
          </w:tcPr>
          <w:p w14:paraId="11327D90">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5907C05F">
            <w:pPr>
              <w:widowControl/>
              <w:jc w:val="center"/>
              <w:rPr>
                <w:b/>
                <w:bCs/>
                <w:kern w:val="0"/>
                <w:sz w:val="24"/>
              </w:rPr>
            </w:pPr>
            <w:r>
              <w:rPr>
                <w:b/>
                <w:bCs/>
                <w:kern w:val="0"/>
                <w:sz w:val="24"/>
              </w:rPr>
              <w:t>75000</w:t>
            </w:r>
          </w:p>
        </w:tc>
        <w:tc>
          <w:tcPr>
            <w:tcW w:w="1276" w:type="dxa"/>
            <w:tcBorders>
              <w:top w:val="nil"/>
              <w:left w:val="nil"/>
              <w:bottom w:val="single" w:color="auto" w:sz="4" w:space="0"/>
              <w:right w:val="single" w:color="auto" w:sz="4" w:space="0"/>
            </w:tcBorders>
            <w:vAlign w:val="center"/>
          </w:tcPr>
          <w:p w14:paraId="196BEC28">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5C4F86BB">
            <w:pPr>
              <w:widowControl/>
              <w:jc w:val="center"/>
              <w:rPr>
                <w:b/>
                <w:bCs/>
                <w:kern w:val="0"/>
                <w:sz w:val="24"/>
              </w:rPr>
            </w:pPr>
            <w:r>
              <w:rPr>
                <w:b/>
                <w:bCs/>
                <w:kern w:val="0"/>
                <w:sz w:val="24"/>
              </w:rPr>
              <w:t>　</w:t>
            </w:r>
          </w:p>
        </w:tc>
      </w:tr>
      <w:tr w14:paraId="25043B0B">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38ABE65D">
            <w:pPr>
              <w:widowControl/>
              <w:jc w:val="center"/>
              <w:rPr>
                <w:kern w:val="0"/>
                <w:sz w:val="24"/>
              </w:rPr>
            </w:pPr>
            <w:r>
              <w:rPr>
                <w:kern w:val="0"/>
                <w:sz w:val="24"/>
              </w:rPr>
              <w:t>3.1.1</w:t>
            </w:r>
          </w:p>
        </w:tc>
        <w:tc>
          <w:tcPr>
            <w:tcW w:w="3128" w:type="dxa"/>
            <w:tcBorders>
              <w:top w:val="nil"/>
              <w:left w:val="nil"/>
              <w:bottom w:val="single" w:color="auto" w:sz="4" w:space="0"/>
              <w:right w:val="single" w:color="auto" w:sz="4" w:space="0"/>
            </w:tcBorders>
            <w:vAlign w:val="center"/>
          </w:tcPr>
          <w:p w14:paraId="35B154A1">
            <w:pPr>
              <w:widowControl/>
              <w:jc w:val="left"/>
              <w:rPr>
                <w:kern w:val="0"/>
                <w:sz w:val="24"/>
              </w:rPr>
            </w:pPr>
            <w:r>
              <w:rPr>
                <w:rFonts w:hint="eastAsia" w:ascii="宋体" w:hAnsi="宋体"/>
                <w:kern w:val="0"/>
                <w:sz w:val="24"/>
              </w:rPr>
              <w:t>国家储备林基地</w:t>
            </w:r>
          </w:p>
        </w:tc>
        <w:tc>
          <w:tcPr>
            <w:tcW w:w="1984" w:type="dxa"/>
            <w:tcBorders>
              <w:top w:val="nil"/>
              <w:left w:val="nil"/>
              <w:bottom w:val="single" w:color="auto" w:sz="4" w:space="0"/>
              <w:right w:val="single" w:color="auto" w:sz="4" w:space="0"/>
            </w:tcBorders>
            <w:vAlign w:val="center"/>
          </w:tcPr>
          <w:p w14:paraId="6F086BF8">
            <w:pPr>
              <w:widowControl/>
              <w:jc w:val="center"/>
              <w:rPr>
                <w:kern w:val="0"/>
                <w:sz w:val="24"/>
              </w:rPr>
            </w:pPr>
            <w:r>
              <w:rPr>
                <w:rFonts w:hint="eastAsia" w:ascii="宋体" w:hAnsi="宋体"/>
                <w:kern w:val="0"/>
                <w:sz w:val="24"/>
              </w:rPr>
              <w:t>育才生态区</w:t>
            </w:r>
          </w:p>
        </w:tc>
        <w:tc>
          <w:tcPr>
            <w:tcW w:w="1236" w:type="dxa"/>
            <w:tcBorders>
              <w:top w:val="nil"/>
              <w:left w:val="nil"/>
              <w:bottom w:val="single" w:color="auto" w:sz="4" w:space="0"/>
              <w:right w:val="single" w:color="auto" w:sz="4" w:space="0"/>
            </w:tcBorders>
            <w:vAlign w:val="center"/>
          </w:tcPr>
          <w:p w14:paraId="3122EDE0">
            <w:pPr>
              <w:widowControl/>
              <w:jc w:val="center"/>
              <w:rPr>
                <w:kern w:val="0"/>
                <w:sz w:val="24"/>
              </w:rPr>
            </w:pPr>
            <w:r>
              <w:rPr>
                <w:kern w:val="0"/>
                <w:sz w:val="24"/>
              </w:rPr>
              <w:t>300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40C69B1">
            <w:pPr>
              <w:widowControl/>
              <w:jc w:val="center"/>
              <w:rPr>
                <w:kern w:val="0"/>
                <w:sz w:val="24"/>
              </w:rPr>
            </w:pPr>
            <w:r>
              <w:rPr>
                <w:kern w:val="0"/>
                <w:sz w:val="24"/>
              </w:rPr>
              <w:t>45000</w:t>
            </w:r>
          </w:p>
        </w:tc>
        <w:tc>
          <w:tcPr>
            <w:tcW w:w="1559" w:type="dxa"/>
            <w:tcBorders>
              <w:top w:val="nil"/>
              <w:left w:val="nil"/>
              <w:bottom w:val="single" w:color="auto" w:sz="4" w:space="0"/>
              <w:right w:val="single" w:color="auto" w:sz="4" w:space="0"/>
            </w:tcBorders>
            <w:vAlign w:val="center"/>
          </w:tcPr>
          <w:p w14:paraId="0B3F7170">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1BEF89C4">
            <w:pPr>
              <w:widowControl/>
              <w:jc w:val="center"/>
              <w:rPr>
                <w:kern w:val="0"/>
                <w:sz w:val="24"/>
              </w:rPr>
            </w:pPr>
            <w:r>
              <w:rPr>
                <w:kern w:val="0"/>
                <w:sz w:val="24"/>
              </w:rPr>
              <w:t>45000</w:t>
            </w:r>
          </w:p>
        </w:tc>
        <w:tc>
          <w:tcPr>
            <w:tcW w:w="1276" w:type="dxa"/>
            <w:tcBorders>
              <w:top w:val="nil"/>
              <w:left w:val="nil"/>
              <w:bottom w:val="single" w:color="auto" w:sz="4" w:space="0"/>
              <w:right w:val="single" w:color="auto" w:sz="4" w:space="0"/>
            </w:tcBorders>
            <w:vAlign w:val="center"/>
          </w:tcPr>
          <w:p w14:paraId="4F84E0E5">
            <w:pPr>
              <w:widowControl/>
              <w:jc w:val="center"/>
              <w:rPr>
                <w:rFonts w:ascii="宋体" w:hAnsi="宋体" w:cs="宋体"/>
                <w:kern w:val="0"/>
                <w:sz w:val="24"/>
              </w:rPr>
            </w:pPr>
            <w:r>
              <w:rPr>
                <w:rFonts w:hint="eastAsia" w:ascii="宋体" w:hAnsi="宋体" w:cs="宋体"/>
                <w:kern w:val="0"/>
                <w:sz w:val="24"/>
              </w:rPr>
              <w:t>社会投资</w:t>
            </w:r>
          </w:p>
        </w:tc>
        <w:tc>
          <w:tcPr>
            <w:tcW w:w="851" w:type="dxa"/>
            <w:tcBorders>
              <w:top w:val="nil"/>
              <w:left w:val="nil"/>
              <w:bottom w:val="single" w:color="auto" w:sz="4" w:space="0"/>
              <w:right w:val="single" w:color="auto" w:sz="4" w:space="0"/>
            </w:tcBorders>
            <w:vAlign w:val="center"/>
          </w:tcPr>
          <w:p w14:paraId="37B48FFA">
            <w:pPr>
              <w:widowControl/>
              <w:jc w:val="center"/>
              <w:rPr>
                <w:b/>
                <w:bCs/>
                <w:kern w:val="0"/>
                <w:sz w:val="24"/>
              </w:rPr>
            </w:pPr>
            <w:r>
              <w:rPr>
                <w:b/>
                <w:bCs/>
                <w:kern w:val="0"/>
                <w:sz w:val="24"/>
              </w:rPr>
              <w:t>　</w:t>
            </w:r>
          </w:p>
        </w:tc>
      </w:tr>
      <w:tr w14:paraId="76E37A72">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E59EAF1">
            <w:pPr>
              <w:widowControl/>
              <w:jc w:val="center"/>
              <w:rPr>
                <w:kern w:val="0"/>
                <w:sz w:val="24"/>
              </w:rPr>
            </w:pPr>
            <w:r>
              <w:rPr>
                <w:kern w:val="0"/>
                <w:sz w:val="24"/>
              </w:rPr>
              <w:t>3.1.2</w:t>
            </w:r>
          </w:p>
        </w:tc>
        <w:tc>
          <w:tcPr>
            <w:tcW w:w="3128" w:type="dxa"/>
            <w:tcBorders>
              <w:top w:val="nil"/>
              <w:left w:val="nil"/>
              <w:bottom w:val="single" w:color="auto" w:sz="4" w:space="0"/>
              <w:right w:val="single" w:color="auto" w:sz="4" w:space="0"/>
            </w:tcBorders>
            <w:vAlign w:val="center"/>
          </w:tcPr>
          <w:p w14:paraId="4A96E023">
            <w:pPr>
              <w:widowControl/>
              <w:jc w:val="left"/>
              <w:rPr>
                <w:rFonts w:ascii="宋体" w:hAnsi="宋体" w:cs="宋体"/>
                <w:kern w:val="0"/>
                <w:sz w:val="24"/>
              </w:rPr>
            </w:pPr>
            <w:r>
              <w:rPr>
                <w:rFonts w:hint="eastAsia" w:ascii="宋体" w:hAnsi="宋体" w:cs="宋体"/>
                <w:kern w:val="0"/>
                <w:sz w:val="24"/>
              </w:rPr>
              <w:t>现有林改培</w:t>
            </w:r>
          </w:p>
        </w:tc>
        <w:tc>
          <w:tcPr>
            <w:tcW w:w="1984" w:type="dxa"/>
            <w:tcBorders>
              <w:top w:val="nil"/>
              <w:left w:val="nil"/>
              <w:bottom w:val="single" w:color="auto" w:sz="4" w:space="0"/>
              <w:right w:val="single" w:color="auto" w:sz="4" w:space="0"/>
            </w:tcBorders>
            <w:vAlign w:val="center"/>
          </w:tcPr>
          <w:p w14:paraId="19218E96">
            <w:pPr>
              <w:widowControl/>
              <w:jc w:val="center"/>
              <w:rPr>
                <w:rFonts w:ascii="宋体" w:hAnsi="宋体" w:cs="宋体"/>
                <w:kern w:val="0"/>
                <w:sz w:val="24"/>
              </w:rPr>
            </w:pPr>
            <w:r>
              <w:rPr>
                <w:rFonts w:hint="eastAsia" w:ascii="宋体" w:hAnsi="宋体" w:cs="宋体"/>
                <w:kern w:val="0"/>
                <w:sz w:val="24"/>
              </w:rPr>
              <w:t>全市范围</w:t>
            </w:r>
          </w:p>
        </w:tc>
        <w:tc>
          <w:tcPr>
            <w:tcW w:w="1236" w:type="dxa"/>
            <w:tcBorders>
              <w:top w:val="nil"/>
              <w:left w:val="nil"/>
              <w:bottom w:val="single" w:color="auto" w:sz="4" w:space="0"/>
              <w:right w:val="single" w:color="auto" w:sz="4" w:space="0"/>
            </w:tcBorders>
            <w:vAlign w:val="center"/>
          </w:tcPr>
          <w:p w14:paraId="3767CB3D">
            <w:pPr>
              <w:widowControl/>
              <w:jc w:val="center"/>
              <w:rPr>
                <w:kern w:val="0"/>
                <w:sz w:val="24"/>
              </w:rPr>
            </w:pPr>
            <w:r>
              <w:rPr>
                <w:kern w:val="0"/>
                <w:sz w:val="24"/>
              </w:rPr>
              <w:t>200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3ECA639">
            <w:pPr>
              <w:widowControl/>
              <w:jc w:val="center"/>
              <w:rPr>
                <w:kern w:val="0"/>
                <w:sz w:val="24"/>
              </w:rPr>
            </w:pPr>
            <w:r>
              <w:rPr>
                <w:kern w:val="0"/>
                <w:sz w:val="24"/>
              </w:rPr>
              <w:t>30000</w:t>
            </w:r>
          </w:p>
        </w:tc>
        <w:tc>
          <w:tcPr>
            <w:tcW w:w="1559" w:type="dxa"/>
            <w:tcBorders>
              <w:top w:val="nil"/>
              <w:left w:val="nil"/>
              <w:bottom w:val="single" w:color="auto" w:sz="4" w:space="0"/>
              <w:right w:val="single" w:color="auto" w:sz="4" w:space="0"/>
            </w:tcBorders>
            <w:vAlign w:val="center"/>
          </w:tcPr>
          <w:p w14:paraId="48B1A1FD">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61A0331C">
            <w:pPr>
              <w:widowControl/>
              <w:jc w:val="center"/>
              <w:rPr>
                <w:kern w:val="0"/>
                <w:sz w:val="24"/>
              </w:rPr>
            </w:pPr>
            <w:r>
              <w:rPr>
                <w:kern w:val="0"/>
                <w:sz w:val="24"/>
              </w:rPr>
              <w:t>30000</w:t>
            </w:r>
          </w:p>
        </w:tc>
        <w:tc>
          <w:tcPr>
            <w:tcW w:w="1276" w:type="dxa"/>
            <w:tcBorders>
              <w:top w:val="nil"/>
              <w:left w:val="nil"/>
              <w:bottom w:val="single" w:color="auto" w:sz="4" w:space="0"/>
              <w:right w:val="single" w:color="auto" w:sz="4" w:space="0"/>
            </w:tcBorders>
            <w:vAlign w:val="center"/>
          </w:tcPr>
          <w:p w14:paraId="59D5AEF5">
            <w:pPr>
              <w:widowControl/>
              <w:jc w:val="center"/>
              <w:rPr>
                <w:rFonts w:ascii="宋体" w:hAnsi="宋体" w:cs="宋体"/>
                <w:kern w:val="0"/>
                <w:sz w:val="24"/>
              </w:rPr>
            </w:pPr>
            <w:r>
              <w:rPr>
                <w:rFonts w:hint="eastAsia" w:ascii="宋体" w:hAnsi="宋体" w:cs="宋体"/>
                <w:kern w:val="0"/>
                <w:sz w:val="24"/>
              </w:rPr>
              <w:t>政府投资</w:t>
            </w:r>
          </w:p>
        </w:tc>
        <w:tc>
          <w:tcPr>
            <w:tcW w:w="851" w:type="dxa"/>
            <w:tcBorders>
              <w:top w:val="nil"/>
              <w:left w:val="nil"/>
              <w:bottom w:val="single" w:color="auto" w:sz="4" w:space="0"/>
              <w:right w:val="single" w:color="auto" w:sz="4" w:space="0"/>
            </w:tcBorders>
            <w:vAlign w:val="center"/>
          </w:tcPr>
          <w:p w14:paraId="75A5DB85">
            <w:pPr>
              <w:widowControl/>
              <w:jc w:val="center"/>
              <w:rPr>
                <w:b/>
                <w:bCs/>
                <w:kern w:val="0"/>
                <w:sz w:val="24"/>
              </w:rPr>
            </w:pPr>
            <w:r>
              <w:rPr>
                <w:b/>
                <w:bCs/>
                <w:kern w:val="0"/>
                <w:sz w:val="24"/>
              </w:rPr>
              <w:t>　</w:t>
            </w:r>
          </w:p>
        </w:tc>
      </w:tr>
      <w:tr w14:paraId="42EA42E2">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0FDD4E72">
            <w:pPr>
              <w:widowControl/>
              <w:jc w:val="center"/>
              <w:rPr>
                <w:b/>
                <w:bCs/>
                <w:kern w:val="0"/>
                <w:sz w:val="24"/>
              </w:rPr>
            </w:pPr>
            <w:r>
              <w:rPr>
                <w:b/>
                <w:bCs/>
                <w:kern w:val="0"/>
                <w:sz w:val="24"/>
              </w:rPr>
              <w:t>3.2</w:t>
            </w:r>
          </w:p>
        </w:tc>
        <w:tc>
          <w:tcPr>
            <w:tcW w:w="3128" w:type="dxa"/>
            <w:tcBorders>
              <w:top w:val="nil"/>
              <w:left w:val="nil"/>
              <w:bottom w:val="single" w:color="auto" w:sz="4" w:space="0"/>
              <w:right w:val="single" w:color="auto" w:sz="4" w:space="0"/>
            </w:tcBorders>
            <w:vAlign w:val="center"/>
          </w:tcPr>
          <w:p w14:paraId="38171599">
            <w:pPr>
              <w:widowControl/>
              <w:jc w:val="left"/>
              <w:rPr>
                <w:rFonts w:ascii="宋体" w:hAnsi="宋体" w:cs="宋体"/>
                <w:b/>
                <w:bCs/>
                <w:kern w:val="0"/>
                <w:sz w:val="24"/>
              </w:rPr>
            </w:pPr>
            <w:r>
              <w:rPr>
                <w:rFonts w:hint="eastAsia" w:ascii="宋体" w:hAnsi="宋体" w:cs="宋体"/>
                <w:b/>
                <w:bCs/>
                <w:kern w:val="0"/>
                <w:sz w:val="24"/>
              </w:rPr>
              <w:t>优质白木香生产建设基地</w:t>
            </w:r>
          </w:p>
        </w:tc>
        <w:tc>
          <w:tcPr>
            <w:tcW w:w="1984" w:type="dxa"/>
            <w:tcBorders>
              <w:top w:val="nil"/>
              <w:left w:val="nil"/>
              <w:bottom w:val="single" w:color="auto" w:sz="4" w:space="0"/>
              <w:right w:val="single" w:color="auto" w:sz="4" w:space="0"/>
            </w:tcBorders>
            <w:vAlign w:val="center"/>
          </w:tcPr>
          <w:p w14:paraId="68A47289">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07CAD773">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0BB81CEA">
            <w:pPr>
              <w:widowControl/>
              <w:jc w:val="center"/>
              <w:rPr>
                <w:b/>
                <w:bCs/>
                <w:kern w:val="0"/>
                <w:sz w:val="24"/>
              </w:rPr>
            </w:pPr>
            <w:r>
              <w:rPr>
                <w:b/>
                <w:bCs/>
                <w:kern w:val="0"/>
                <w:sz w:val="24"/>
              </w:rPr>
              <w:t>4000</w:t>
            </w:r>
          </w:p>
        </w:tc>
        <w:tc>
          <w:tcPr>
            <w:tcW w:w="1559" w:type="dxa"/>
            <w:tcBorders>
              <w:top w:val="nil"/>
              <w:left w:val="nil"/>
              <w:bottom w:val="single" w:color="auto" w:sz="4" w:space="0"/>
              <w:right w:val="single" w:color="auto" w:sz="4" w:space="0"/>
            </w:tcBorders>
            <w:vAlign w:val="center"/>
          </w:tcPr>
          <w:p w14:paraId="3139F116">
            <w:pPr>
              <w:widowControl/>
              <w:jc w:val="center"/>
              <w:rPr>
                <w:b/>
                <w:bCs/>
                <w:kern w:val="0"/>
                <w:sz w:val="24"/>
              </w:rPr>
            </w:pPr>
            <w:r>
              <w:rPr>
                <w:b/>
                <w:bCs/>
                <w:kern w:val="0"/>
                <w:sz w:val="24"/>
              </w:rPr>
              <w:t>3000</w:t>
            </w:r>
          </w:p>
        </w:tc>
        <w:tc>
          <w:tcPr>
            <w:tcW w:w="1559" w:type="dxa"/>
            <w:tcBorders>
              <w:top w:val="nil"/>
              <w:left w:val="nil"/>
              <w:bottom w:val="single" w:color="auto" w:sz="4" w:space="0"/>
              <w:right w:val="single" w:color="auto" w:sz="4" w:space="0"/>
            </w:tcBorders>
            <w:vAlign w:val="center"/>
          </w:tcPr>
          <w:p w14:paraId="16E295B0">
            <w:pPr>
              <w:widowControl/>
              <w:jc w:val="center"/>
              <w:rPr>
                <w:b/>
                <w:bCs/>
                <w:kern w:val="0"/>
                <w:sz w:val="24"/>
              </w:rPr>
            </w:pPr>
            <w:r>
              <w:rPr>
                <w:b/>
                <w:bCs/>
                <w:kern w:val="0"/>
                <w:sz w:val="24"/>
              </w:rPr>
              <w:t>1000</w:t>
            </w:r>
          </w:p>
        </w:tc>
        <w:tc>
          <w:tcPr>
            <w:tcW w:w="1276" w:type="dxa"/>
            <w:tcBorders>
              <w:top w:val="nil"/>
              <w:left w:val="nil"/>
              <w:bottom w:val="single" w:color="auto" w:sz="4" w:space="0"/>
              <w:right w:val="single" w:color="auto" w:sz="4" w:space="0"/>
            </w:tcBorders>
            <w:vAlign w:val="center"/>
          </w:tcPr>
          <w:p w14:paraId="0D95395D">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30C64FA5">
            <w:pPr>
              <w:widowControl/>
              <w:jc w:val="center"/>
              <w:rPr>
                <w:b/>
                <w:bCs/>
                <w:kern w:val="0"/>
                <w:sz w:val="24"/>
              </w:rPr>
            </w:pPr>
            <w:r>
              <w:rPr>
                <w:b/>
                <w:bCs/>
                <w:kern w:val="0"/>
                <w:sz w:val="24"/>
              </w:rPr>
              <w:t>　</w:t>
            </w:r>
          </w:p>
        </w:tc>
      </w:tr>
      <w:tr w14:paraId="383C168D">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3014BF0E">
            <w:pPr>
              <w:widowControl/>
              <w:jc w:val="center"/>
              <w:rPr>
                <w:kern w:val="0"/>
                <w:sz w:val="24"/>
              </w:rPr>
            </w:pPr>
            <w:r>
              <w:rPr>
                <w:kern w:val="0"/>
                <w:sz w:val="24"/>
              </w:rPr>
              <w:t>3.2.1</w:t>
            </w:r>
          </w:p>
        </w:tc>
        <w:tc>
          <w:tcPr>
            <w:tcW w:w="3128" w:type="dxa"/>
            <w:tcBorders>
              <w:top w:val="nil"/>
              <w:left w:val="nil"/>
              <w:bottom w:val="single" w:color="auto" w:sz="4" w:space="0"/>
              <w:right w:val="single" w:color="auto" w:sz="4" w:space="0"/>
            </w:tcBorders>
            <w:vAlign w:val="center"/>
          </w:tcPr>
          <w:p w14:paraId="26F24598">
            <w:pPr>
              <w:widowControl/>
              <w:jc w:val="left"/>
              <w:rPr>
                <w:rFonts w:ascii="宋体" w:hAnsi="宋体" w:cs="宋体"/>
                <w:kern w:val="0"/>
                <w:sz w:val="24"/>
              </w:rPr>
            </w:pPr>
            <w:r>
              <w:rPr>
                <w:rFonts w:hint="eastAsia" w:ascii="宋体" w:hAnsi="宋体" w:cs="宋体"/>
                <w:kern w:val="0"/>
                <w:sz w:val="24"/>
              </w:rPr>
              <w:t>白木香繁育基地</w:t>
            </w:r>
          </w:p>
        </w:tc>
        <w:tc>
          <w:tcPr>
            <w:tcW w:w="1984" w:type="dxa"/>
            <w:tcBorders>
              <w:top w:val="nil"/>
              <w:left w:val="nil"/>
              <w:bottom w:val="single" w:color="auto" w:sz="4" w:space="0"/>
              <w:right w:val="single" w:color="auto" w:sz="4" w:space="0"/>
            </w:tcBorders>
            <w:vAlign w:val="center"/>
          </w:tcPr>
          <w:p w14:paraId="376492F7">
            <w:pPr>
              <w:widowControl/>
              <w:jc w:val="center"/>
              <w:rPr>
                <w:rFonts w:ascii="宋体" w:hAnsi="宋体" w:cs="宋体"/>
                <w:kern w:val="0"/>
                <w:sz w:val="24"/>
              </w:rPr>
            </w:pPr>
            <w:r>
              <w:rPr>
                <w:rFonts w:hint="eastAsia" w:ascii="宋体" w:hAnsi="宋体" w:cs="宋体"/>
                <w:kern w:val="0"/>
                <w:sz w:val="24"/>
              </w:rPr>
              <w:t>天涯区</w:t>
            </w:r>
          </w:p>
        </w:tc>
        <w:tc>
          <w:tcPr>
            <w:tcW w:w="1236" w:type="dxa"/>
            <w:tcBorders>
              <w:top w:val="nil"/>
              <w:left w:val="nil"/>
              <w:bottom w:val="single" w:color="auto" w:sz="4" w:space="0"/>
              <w:right w:val="single" w:color="auto" w:sz="4" w:space="0"/>
            </w:tcBorders>
            <w:vAlign w:val="center"/>
          </w:tcPr>
          <w:p w14:paraId="2866D0CB">
            <w:pPr>
              <w:widowControl/>
              <w:jc w:val="center"/>
              <w:rPr>
                <w:kern w:val="0"/>
                <w:sz w:val="24"/>
              </w:rPr>
            </w:pPr>
            <w:r>
              <w:rPr>
                <w:kern w:val="0"/>
                <w:sz w:val="24"/>
              </w:rPr>
              <w:t>1</w:t>
            </w:r>
            <w:r>
              <w:rPr>
                <w:rFonts w:hint="eastAsia" w:ascii="宋体" w:hAnsi="宋体"/>
                <w:kern w:val="0"/>
                <w:sz w:val="24"/>
              </w:rPr>
              <w:t>个</w:t>
            </w:r>
          </w:p>
        </w:tc>
        <w:tc>
          <w:tcPr>
            <w:tcW w:w="1701" w:type="dxa"/>
            <w:tcBorders>
              <w:top w:val="nil"/>
              <w:left w:val="nil"/>
              <w:bottom w:val="single" w:color="auto" w:sz="4" w:space="0"/>
              <w:right w:val="single" w:color="auto" w:sz="4" w:space="0"/>
            </w:tcBorders>
            <w:vAlign w:val="center"/>
          </w:tcPr>
          <w:p w14:paraId="0B64C508">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33E769BF">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4FD093CF">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0FC35AB9">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547C1B9C">
            <w:pPr>
              <w:widowControl/>
              <w:jc w:val="center"/>
              <w:rPr>
                <w:b/>
                <w:bCs/>
                <w:kern w:val="0"/>
                <w:sz w:val="24"/>
              </w:rPr>
            </w:pPr>
            <w:r>
              <w:rPr>
                <w:b/>
                <w:bCs/>
                <w:kern w:val="0"/>
                <w:sz w:val="24"/>
              </w:rPr>
              <w:t>　</w:t>
            </w:r>
          </w:p>
        </w:tc>
      </w:tr>
      <w:tr w14:paraId="2D5F2574">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7439E1C2">
            <w:pPr>
              <w:widowControl/>
              <w:jc w:val="center"/>
              <w:rPr>
                <w:kern w:val="0"/>
                <w:sz w:val="24"/>
              </w:rPr>
            </w:pPr>
            <w:r>
              <w:rPr>
                <w:kern w:val="0"/>
                <w:sz w:val="24"/>
              </w:rPr>
              <w:t>3.2.2</w:t>
            </w:r>
          </w:p>
        </w:tc>
        <w:tc>
          <w:tcPr>
            <w:tcW w:w="3128" w:type="dxa"/>
            <w:tcBorders>
              <w:top w:val="nil"/>
              <w:left w:val="nil"/>
              <w:bottom w:val="single" w:color="auto" w:sz="4" w:space="0"/>
              <w:right w:val="single" w:color="auto" w:sz="4" w:space="0"/>
            </w:tcBorders>
            <w:vAlign w:val="center"/>
          </w:tcPr>
          <w:p w14:paraId="6B96B4B4">
            <w:pPr>
              <w:widowControl/>
              <w:jc w:val="left"/>
              <w:rPr>
                <w:rFonts w:ascii="宋体" w:hAnsi="宋体" w:cs="宋体"/>
                <w:kern w:val="0"/>
                <w:sz w:val="24"/>
              </w:rPr>
            </w:pPr>
            <w:r>
              <w:rPr>
                <w:rFonts w:hint="eastAsia" w:ascii="宋体" w:hAnsi="宋体" w:cs="宋体"/>
                <w:kern w:val="0"/>
                <w:sz w:val="24"/>
              </w:rPr>
              <w:t>白木香种植示范基地</w:t>
            </w:r>
          </w:p>
        </w:tc>
        <w:tc>
          <w:tcPr>
            <w:tcW w:w="1984" w:type="dxa"/>
            <w:tcBorders>
              <w:top w:val="nil"/>
              <w:left w:val="nil"/>
              <w:bottom w:val="single" w:color="auto" w:sz="4" w:space="0"/>
              <w:right w:val="single" w:color="auto" w:sz="4" w:space="0"/>
            </w:tcBorders>
            <w:vAlign w:val="center"/>
          </w:tcPr>
          <w:p w14:paraId="0F9F4685">
            <w:pPr>
              <w:widowControl/>
              <w:jc w:val="center"/>
              <w:rPr>
                <w:rFonts w:ascii="宋体" w:hAnsi="宋体" w:cs="宋体"/>
                <w:kern w:val="0"/>
                <w:sz w:val="24"/>
              </w:rPr>
            </w:pPr>
            <w:r>
              <w:rPr>
                <w:rFonts w:hint="eastAsia" w:ascii="宋体" w:hAnsi="宋体" w:cs="宋体"/>
                <w:kern w:val="0"/>
                <w:sz w:val="24"/>
              </w:rPr>
              <w:t>天涯区和育才生态区</w:t>
            </w:r>
          </w:p>
        </w:tc>
        <w:tc>
          <w:tcPr>
            <w:tcW w:w="1236" w:type="dxa"/>
            <w:tcBorders>
              <w:top w:val="nil"/>
              <w:left w:val="nil"/>
              <w:bottom w:val="single" w:color="auto" w:sz="4" w:space="0"/>
              <w:right w:val="single" w:color="auto" w:sz="4" w:space="0"/>
            </w:tcBorders>
            <w:vAlign w:val="center"/>
          </w:tcPr>
          <w:p w14:paraId="6C6109CC">
            <w:pPr>
              <w:widowControl/>
              <w:jc w:val="center"/>
              <w:rPr>
                <w:kern w:val="0"/>
                <w:sz w:val="24"/>
              </w:rPr>
            </w:pPr>
            <w:r>
              <w:rPr>
                <w:kern w:val="0"/>
                <w:sz w:val="24"/>
              </w:rPr>
              <w:t>60hm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61C1BAC3">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6026BB28">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48E6D216">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5A1666B0">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286E5FD5">
            <w:pPr>
              <w:widowControl/>
              <w:jc w:val="center"/>
              <w:rPr>
                <w:b/>
                <w:bCs/>
                <w:kern w:val="0"/>
                <w:sz w:val="24"/>
              </w:rPr>
            </w:pPr>
            <w:r>
              <w:rPr>
                <w:b/>
                <w:bCs/>
                <w:kern w:val="0"/>
                <w:sz w:val="24"/>
              </w:rPr>
              <w:t>　</w:t>
            </w:r>
          </w:p>
        </w:tc>
      </w:tr>
      <w:tr w14:paraId="49C01AA9">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362C9A06">
            <w:pPr>
              <w:widowControl/>
              <w:jc w:val="center"/>
              <w:rPr>
                <w:kern w:val="0"/>
                <w:sz w:val="24"/>
              </w:rPr>
            </w:pPr>
            <w:r>
              <w:rPr>
                <w:kern w:val="0"/>
                <w:sz w:val="24"/>
              </w:rPr>
              <w:t>3.2.3</w:t>
            </w:r>
          </w:p>
        </w:tc>
        <w:tc>
          <w:tcPr>
            <w:tcW w:w="3128" w:type="dxa"/>
            <w:tcBorders>
              <w:top w:val="nil"/>
              <w:left w:val="nil"/>
              <w:bottom w:val="single" w:color="auto" w:sz="4" w:space="0"/>
              <w:right w:val="single" w:color="auto" w:sz="4" w:space="0"/>
            </w:tcBorders>
            <w:vAlign w:val="center"/>
          </w:tcPr>
          <w:p w14:paraId="681DAB93">
            <w:pPr>
              <w:widowControl/>
              <w:jc w:val="left"/>
              <w:rPr>
                <w:kern w:val="0"/>
                <w:sz w:val="24"/>
              </w:rPr>
            </w:pPr>
            <w:r>
              <w:rPr>
                <w:rFonts w:hint="eastAsia" w:ascii="宋体" w:hAnsi="宋体"/>
                <w:kern w:val="0"/>
                <w:sz w:val="24"/>
              </w:rPr>
              <w:t>人工结香技术示范基地</w:t>
            </w:r>
          </w:p>
        </w:tc>
        <w:tc>
          <w:tcPr>
            <w:tcW w:w="1984" w:type="dxa"/>
            <w:tcBorders>
              <w:top w:val="nil"/>
              <w:left w:val="nil"/>
              <w:bottom w:val="single" w:color="auto" w:sz="4" w:space="0"/>
              <w:right w:val="single" w:color="auto" w:sz="4" w:space="0"/>
            </w:tcBorders>
            <w:vAlign w:val="center"/>
          </w:tcPr>
          <w:p w14:paraId="554C069C">
            <w:pPr>
              <w:widowControl/>
              <w:jc w:val="center"/>
              <w:rPr>
                <w:rFonts w:ascii="宋体" w:hAnsi="宋体" w:cs="宋体"/>
                <w:kern w:val="0"/>
                <w:sz w:val="24"/>
              </w:rPr>
            </w:pPr>
            <w:r>
              <w:rPr>
                <w:rFonts w:hint="eastAsia" w:ascii="宋体" w:hAnsi="宋体" w:cs="宋体"/>
                <w:kern w:val="0"/>
                <w:sz w:val="24"/>
              </w:rPr>
              <w:t>吉阳区</w:t>
            </w:r>
          </w:p>
        </w:tc>
        <w:tc>
          <w:tcPr>
            <w:tcW w:w="1236" w:type="dxa"/>
            <w:tcBorders>
              <w:top w:val="nil"/>
              <w:left w:val="nil"/>
              <w:bottom w:val="single" w:color="auto" w:sz="4" w:space="0"/>
              <w:right w:val="single" w:color="auto" w:sz="4" w:space="0"/>
            </w:tcBorders>
            <w:vAlign w:val="center"/>
          </w:tcPr>
          <w:p w14:paraId="60A67133">
            <w:pPr>
              <w:widowControl/>
              <w:jc w:val="center"/>
              <w:rPr>
                <w:kern w:val="0"/>
                <w:sz w:val="24"/>
              </w:rPr>
            </w:pPr>
            <w:r>
              <w:rPr>
                <w:kern w:val="0"/>
                <w:sz w:val="24"/>
              </w:rPr>
              <w:t>1</w:t>
            </w:r>
            <w:r>
              <w:rPr>
                <w:rFonts w:hint="eastAsia" w:ascii="宋体" w:hAnsi="宋体"/>
                <w:kern w:val="0"/>
                <w:sz w:val="24"/>
              </w:rPr>
              <w:t>个</w:t>
            </w:r>
          </w:p>
        </w:tc>
        <w:tc>
          <w:tcPr>
            <w:tcW w:w="1701" w:type="dxa"/>
            <w:tcBorders>
              <w:top w:val="nil"/>
              <w:left w:val="nil"/>
              <w:bottom w:val="single" w:color="auto" w:sz="4" w:space="0"/>
              <w:right w:val="single" w:color="auto" w:sz="4" w:space="0"/>
            </w:tcBorders>
            <w:vAlign w:val="center"/>
          </w:tcPr>
          <w:p w14:paraId="6C51AC42">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144A4E0D">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01A0F5C2">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1700CD53">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14D1A553">
            <w:pPr>
              <w:widowControl/>
              <w:jc w:val="center"/>
              <w:rPr>
                <w:b/>
                <w:bCs/>
                <w:kern w:val="0"/>
                <w:sz w:val="24"/>
              </w:rPr>
            </w:pPr>
            <w:r>
              <w:rPr>
                <w:b/>
                <w:bCs/>
                <w:kern w:val="0"/>
                <w:sz w:val="24"/>
              </w:rPr>
              <w:t>　</w:t>
            </w:r>
          </w:p>
        </w:tc>
      </w:tr>
      <w:tr w14:paraId="266C83D8">
        <w:tblPrEx>
          <w:tblCellMar>
            <w:top w:w="0" w:type="dxa"/>
            <w:left w:w="108" w:type="dxa"/>
            <w:bottom w:w="0" w:type="dxa"/>
            <w:right w:w="108" w:type="dxa"/>
          </w:tblCellMar>
        </w:tblPrEx>
        <w:trPr>
          <w:cantSplit/>
          <w:trHeight w:val="315" w:hRule="atLeast"/>
        </w:trPr>
        <w:tc>
          <w:tcPr>
            <w:tcW w:w="1140" w:type="dxa"/>
            <w:tcBorders>
              <w:top w:val="single" w:color="auto" w:sz="4" w:space="0"/>
              <w:left w:val="single" w:color="auto" w:sz="4" w:space="0"/>
              <w:bottom w:val="single" w:color="auto" w:sz="4" w:space="0"/>
              <w:right w:val="single" w:color="auto" w:sz="4" w:space="0"/>
            </w:tcBorders>
            <w:vAlign w:val="center"/>
          </w:tcPr>
          <w:p w14:paraId="69CB9BBF">
            <w:pPr>
              <w:widowControl/>
              <w:jc w:val="center"/>
              <w:rPr>
                <w:b/>
                <w:bCs/>
                <w:kern w:val="0"/>
                <w:sz w:val="24"/>
              </w:rPr>
            </w:pPr>
            <w:r>
              <w:rPr>
                <w:b/>
                <w:bCs/>
                <w:kern w:val="0"/>
                <w:sz w:val="24"/>
              </w:rPr>
              <w:t>3.3</w:t>
            </w:r>
          </w:p>
        </w:tc>
        <w:tc>
          <w:tcPr>
            <w:tcW w:w="3128" w:type="dxa"/>
            <w:tcBorders>
              <w:top w:val="single" w:color="auto" w:sz="4" w:space="0"/>
              <w:left w:val="nil"/>
              <w:bottom w:val="single" w:color="auto" w:sz="4" w:space="0"/>
              <w:right w:val="single" w:color="auto" w:sz="4" w:space="0"/>
            </w:tcBorders>
            <w:vAlign w:val="center"/>
          </w:tcPr>
          <w:p w14:paraId="4322E885">
            <w:pPr>
              <w:widowControl/>
              <w:jc w:val="left"/>
              <w:rPr>
                <w:rFonts w:ascii="宋体" w:hAnsi="宋体" w:cs="宋体"/>
                <w:b/>
                <w:bCs/>
                <w:kern w:val="0"/>
                <w:sz w:val="24"/>
              </w:rPr>
            </w:pPr>
            <w:r>
              <w:rPr>
                <w:rFonts w:hint="eastAsia" w:ascii="宋体" w:hAnsi="宋体" w:cs="宋体"/>
                <w:b/>
                <w:bCs/>
                <w:kern w:val="0"/>
                <w:sz w:val="24"/>
              </w:rPr>
              <w:t>用材林科技示范园建设工程</w:t>
            </w:r>
          </w:p>
        </w:tc>
        <w:tc>
          <w:tcPr>
            <w:tcW w:w="1984" w:type="dxa"/>
            <w:tcBorders>
              <w:top w:val="single" w:color="auto" w:sz="4" w:space="0"/>
              <w:left w:val="nil"/>
              <w:bottom w:val="single" w:color="auto" w:sz="4" w:space="0"/>
              <w:right w:val="single" w:color="auto" w:sz="4" w:space="0"/>
            </w:tcBorders>
            <w:vAlign w:val="center"/>
          </w:tcPr>
          <w:p w14:paraId="2D3F1301">
            <w:pPr>
              <w:widowControl/>
              <w:jc w:val="center"/>
              <w:rPr>
                <w:b/>
                <w:bCs/>
                <w:kern w:val="0"/>
                <w:sz w:val="24"/>
              </w:rPr>
            </w:pPr>
            <w:r>
              <w:rPr>
                <w:b/>
                <w:bCs/>
                <w:kern w:val="0"/>
                <w:sz w:val="24"/>
              </w:rPr>
              <w:t>　</w:t>
            </w:r>
          </w:p>
        </w:tc>
        <w:tc>
          <w:tcPr>
            <w:tcW w:w="1236" w:type="dxa"/>
            <w:tcBorders>
              <w:top w:val="single" w:color="auto" w:sz="4" w:space="0"/>
              <w:left w:val="nil"/>
              <w:bottom w:val="single" w:color="auto" w:sz="4" w:space="0"/>
              <w:right w:val="single" w:color="auto" w:sz="4" w:space="0"/>
            </w:tcBorders>
            <w:vAlign w:val="center"/>
          </w:tcPr>
          <w:p w14:paraId="67C8DB49">
            <w:pPr>
              <w:widowControl/>
              <w:jc w:val="center"/>
              <w:rPr>
                <w:b/>
                <w:bCs/>
                <w:kern w:val="0"/>
                <w:sz w:val="24"/>
              </w:rPr>
            </w:pPr>
            <w:r>
              <w:rPr>
                <w:b/>
                <w:bCs/>
                <w:kern w:val="0"/>
                <w:sz w:val="24"/>
              </w:rPr>
              <w:t>　</w:t>
            </w:r>
          </w:p>
        </w:tc>
        <w:tc>
          <w:tcPr>
            <w:tcW w:w="1701" w:type="dxa"/>
            <w:tcBorders>
              <w:top w:val="single" w:color="auto" w:sz="4" w:space="0"/>
              <w:left w:val="nil"/>
              <w:bottom w:val="single" w:color="auto" w:sz="4" w:space="0"/>
              <w:right w:val="single" w:color="auto" w:sz="4" w:space="0"/>
            </w:tcBorders>
            <w:vAlign w:val="center"/>
          </w:tcPr>
          <w:p w14:paraId="1F917C21">
            <w:pPr>
              <w:widowControl/>
              <w:jc w:val="center"/>
              <w:rPr>
                <w:b/>
                <w:bCs/>
                <w:kern w:val="0"/>
                <w:sz w:val="24"/>
              </w:rPr>
            </w:pPr>
            <w:r>
              <w:rPr>
                <w:b/>
                <w:bCs/>
                <w:kern w:val="0"/>
                <w:sz w:val="24"/>
              </w:rPr>
              <w:t>5000</w:t>
            </w:r>
          </w:p>
        </w:tc>
        <w:tc>
          <w:tcPr>
            <w:tcW w:w="1559" w:type="dxa"/>
            <w:tcBorders>
              <w:top w:val="single" w:color="auto" w:sz="4" w:space="0"/>
              <w:left w:val="nil"/>
              <w:bottom w:val="single" w:color="auto" w:sz="4" w:space="0"/>
              <w:right w:val="single" w:color="auto" w:sz="4" w:space="0"/>
            </w:tcBorders>
            <w:vAlign w:val="center"/>
          </w:tcPr>
          <w:p w14:paraId="2B53B417">
            <w:pPr>
              <w:widowControl/>
              <w:jc w:val="center"/>
              <w:rPr>
                <w:kern w:val="0"/>
                <w:sz w:val="24"/>
              </w:rPr>
            </w:pPr>
            <w:r>
              <w:rPr>
                <w:kern w:val="0"/>
                <w:sz w:val="24"/>
              </w:rPr>
              <w:t>—</w:t>
            </w:r>
          </w:p>
        </w:tc>
        <w:tc>
          <w:tcPr>
            <w:tcW w:w="1559" w:type="dxa"/>
            <w:tcBorders>
              <w:top w:val="single" w:color="auto" w:sz="4" w:space="0"/>
              <w:left w:val="nil"/>
              <w:bottom w:val="single" w:color="auto" w:sz="4" w:space="0"/>
              <w:right w:val="single" w:color="auto" w:sz="4" w:space="0"/>
            </w:tcBorders>
            <w:vAlign w:val="center"/>
          </w:tcPr>
          <w:p w14:paraId="45308F60">
            <w:pPr>
              <w:widowControl/>
              <w:jc w:val="center"/>
              <w:rPr>
                <w:b/>
                <w:bCs/>
                <w:kern w:val="0"/>
                <w:sz w:val="24"/>
              </w:rPr>
            </w:pPr>
            <w:r>
              <w:rPr>
                <w:b/>
                <w:bCs/>
                <w:kern w:val="0"/>
                <w:sz w:val="24"/>
              </w:rPr>
              <w:t>5000</w:t>
            </w:r>
          </w:p>
        </w:tc>
        <w:tc>
          <w:tcPr>
            <w:tcW w:w="1276" w:type="dxa"/>
            <w:tcBorders>
              <w:top w:val="single" w:color="auto" w:sz="4" w:space="0"/>
              <w:left w:val="nil"/>
              <w:bottom w:val="single" w:color="auto" w:sz="4" w:space="0"/>
              <w:right w:val="single" w:color="auto" w:sz="4" w:space="0"/>
            </w:tcBorders>
            <w:vAlign w:val="center"/>
          </w:tcPr>
          <w:p w14:paraId="72F9387A">
            <w:pPr>
              <w:widowControl/>
              <w:jc w:val="center"/>
              <w:rPr>
                <w:b/>
                <w:bCs/>
                <w:kern w:val="0"/>
                <w:sz w:val="24"/>
              </w:rPr>
            </w:pPr>
            <w:r>
              <w:rPr>
                <w:b/>
                <w:bCs/>
                <w:kern w:val="0"/>
                <w:sz w:val="24"/>
              </w:rPr>
              <w:t>　</w:t>
            </w:r>
          </w:p>
        </w:tc>
        <w:tc>
          <w:tcPr>
            <w:tcW w:w="851" w:type="dxa"/>
            <w:tcBorders>
              <w:top w:val="single" w:color="auto" w:sz="4" w:space="0"/>
              <w:left w:val="nil"/>
              <w:bottom w:val="single" w:color="auto" w:sz="4" w:space="0"/>
              <w:right w:val="single" w:color="auto" w:sz="4" w:space="0"/>
            </w:tcBorders>
            <w:vAlign w:val="center"/>
          </w:tcPr>
          <w:p w14:paraId="5DF8A205">
            <w:pPr>
              <w:widowControl/>
              <w:jc w:val="center"/>
              <w:rPr>
                <w:b/>
                <w:bCs/>
                <w:kern w:val="0"/>
                <w:sz w:val="24"/>
              </w:rPr>
            </w:pPr>
            <w:r>
              <w:rPr>
                <w:b/>
                <w:bCs/>
                <w:kern w:val="0"/>
                <w:sz w:val="24"/>
              </w:rPr>
              <w:t>　</w:t>
            </w:r>
          </w:p>
        </w:tc>
      </w:tr>
      <w:tr w14:paraId="6B469C45">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2C0AA9C5">
            <w:pPr>
              <w:widowControl/>
              <w:jc w:val="center"/>
              <w:rPr>
                <w:kern w:val="0"/>
                <w:sz w:val="24"/>
              </w:rPr>
            </w:pPr>
            <w:r>
              <w:rPr>
                <w:kern w:val="0"/>
                <w:sz w:val="24"/>
              </w:rPr>
              <w:t>3.3.1</w:t>
            </w:r>
          </w:p>
        </w:tc>
        <w:tc>
          <w:tcPr>
            <w:tcW w:w="3128" w:type="dxa"/>
            <w:tcBorders>
              <w:top w:val="nil"/>
              <w:left w:val="nil"/>
              <w:bottom w:val="single" w:color="auto" w:sz="4" w:space="0"/>
              <w:right w:val="single" w:color="auto" w:sz="4" w:space="0"/>
            </w:tcBorders>
            <w:vAlign w:val="center"/>
          </w:tcPr>
          <w:p w14:paraId="301FBC2A">
            <w:pPr>
              <w:widowControl/>
              <w:jc w:val="left"/>
              <w:rPr>
                <w:kern w:val="0"/>
                <w:sz w:val="24"/>
              </w:rPr>
            </w:pPr>
            <w:r>
              <w:rPr>
                <w:rFonts w:hint="eastAsia" w:ascii="宋体" w:hAnsi="宋体"/>
                <w:kern w:val="0"/>
                <w:sz w:val="24"/>
              </w:rPr>
              <w:t>用材林科技示范园</w:t>
            </w:r>
          </w:p>
        </w:tc>
        <w:tc>
          <w:tcPr>
            <w:tcW w:w="1984" w:type="dxa"/>
            <w:tcBorders>
              <w:top w:val="nil"/>
              <w:left w:val="nil"/>
              <w:bottom w:val="single" w:color="auto" w:sz="4" w:space="0"/>
              <w:right w:val="single" w:color="auto" w:sz="4" w:space="0"/>
            </w:tcBorders>
            <w:vAlign w:val="center"/>
          </w:tcPr>
          <w:p w14:paraId="4C8269AE">
            <w:pPr>
              <w:widowControl/>
              <w:jc w:val="center"/>
              <w:rPr>
                <w:rFonts w:ascii="宋体" w:hAnsi="宋体" w:cs="宋体"/>
                <w:kern w:val="0"/>
                <w:sz w:val="24"/>
              </w:rPr>
            </w:pPr>
            <w:r>
              <w:rPr>
                <w:rFonts w:hint="eastAsia" w:ascii="宋体" w:hAnsi="宋体" w:cs="宋体"/>
                <w:kern w:val="0"/>
                <w:sz w:val="24"/>
              </w:rPr>
              <w:t>天涯区</w:t>
            </w:r>
          </w:p>
        </w:tc>
        <w:tc>
          <w:tcPr>
            <w:tcW w:w="1236" w:type="dxa"/>
            <w:tcBorders>
              <w:top w:val="nil"/>
              <w:left w:val="nil"/>
              <w:bottom w:val="single" w:color="auto" w:sz="4" w:space="0"/>
              <w:right w:val="single" w:color="auto" w:sz="4" w:space="0"/>
            </w:tcBorders>
            <w:vAlign w:val="center"/>
          </w:tcPr>
          <w:p w14:paraId="421D0A8F">
            <w:pPr>
              <w:widowControl/>
              <w:jc w:val="center"/>
              <w:rPr>
                <w:kern w:val="0"/>
                <w:sz w:val="24"/>
              </w:rPr>
            </w:pPr>
            <w:r>
              <w:rPr>
                <w:kern w:val="0"/>
                <w:sz w:val="24"/>
              </w:rPr>
              <w:t>2</w:t>
            </w:r>
            <w:r>
              <w:rPr>
                <w:rFonts w:hint="eastAsia" w:ascii="宋体" w:hAnsi="宋体"/>
                <w:kern w:val="0"/>
                <w:sz w:val="24"/>
              </w:rPr>
              <w:t>处</w:t>
            </w:r>
          </w:p>
        </w:tc>
        <w:tc>
          <w:tcPr>
            <w:tcW w:w="1701" w:type="dxa"/>
            <w:tcBorders>
              <w:top w:val="nil"/>
              <w:left w:val="nil"/>
              <w:bottom w:val="single" w:color="auto" w:sz="4" w:space="0"/>
              <w:right w:val="single" w:color="auto" w:sz="4" w:space="0"/>
            </w:tcBorders>
            <w:vAlign w:val="center"/>
          </w:tcPr>
          <w:p w14:paraId="6F2ADB53">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5A2CF503">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09C069A8">
            <w:pPr>
              <w:widowControl/>
              <w:jc w:val="center"/>
              <w:rPr>
                <w:kern w:val="0"/>
                <w:sz w:val="24"/>
              </w:rPr>
            </w:pPr>
            <w:r>
              <w:rPr>
                <w:kern w:val="0"/>
                <w:sz w:val="24"/>
              </w:rPr>
              <w:t>5000</w:t>
            </w:r>
          </w:p>
        </w:tc>
        <w:tc>
          <w:tcPr>
            <w:tcW w:w="1276" w:type="dxa"/>
            <w:tcBorders>
              <w:top w:val="nil"/>
              <w:left w:val="nil"/>
              <w:bottom w:val="single" w:color="auto" w:sz="4" w:space="0"/>
              <w:right w:val="single" w:color="auto" w:sz="4" w:space="0"/>
            </w:tcBorders>
            <w:vAlign w:val="center"/>
          </w:tcPr>
          <w:p w14:paraId="35A20548">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23B17E4A">
            <w:pPr>
              <w:widowControl/>
              <w:jc w:val="center"/>
              <w:rPr>
                <w:b/>
                <w:bCs/>
                <w:kern w:val="0"/>
                <w:sz w:val="24"/>
              </w:rPr>
            </w:pPr>
            <w:r>
              <w:rPr>
                <w:b/>
                <w:bCs/>
                <w:kern w:val="0"/>
                <w:sz w:val="24"/>
              </w:rPr>
              <w:t>　</w:t>
            </w:r>
          </w:p>
        </w:tc>
      </w:tr>
      <w:tr w14:paraId="540B0149">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0EE5F689">
            <w:pPr>
              <w:widowControl/>
              <w:jc w:val="center"/>
              <w:rPr>
                <w:b/>
                <w:bCs/>
                <w:kern w:val="0"/>
                <w:sz w:val="24"/>
              </w:rPr>
            </w:pPr>
            <w:r>
              <w:rPr>
                <w:b/>
                <w:bCs/>
                <w:kern w:val="0"/>
                <w:sz w:val="24"/>
              </w:rPr>
              <w:t>3.4</w:t>
            </w:r>
          </w:p>
        </w:tc>
        <w:tc>
          <w:tcPr>
            <w:tcW w:w="3128" w:type="dxa"/>
            <w:tcBorders>
              <w:top w:val="nil"/>
              <w:left w:val="nil"/>
              <w:bottom w:val="single" w:color="auto" w:sz="4" w:space="0"/>
              <w:right w:val="single" w:color="auto" w:sz="4" w:space="0"/>
            </w:tcBorders>
            <w:vAlign w:val="center"/>
          </w:tcPr>
          <w:p w14:paraId="272F95CD">
            <w:pPr>
              <w:widowControl/>
              <w:jc w:val="left"/>
              <w:rPr>
                <w:rFonts w:ascii="宋体" w:hAnsi="宋体" w:cs="宋体"/>
                <w:b/>
                <w:bCs/>
                <w:kern w:val="0"/>
                <w:sz w:val="24"/>
              </w:rPr>
            </w:pPr>
            <w:r>
              <w:rPr>
                <w:rFonts w:hint="eastAsia" w:ascii="宋体" w:hAnsi="宋体" w:cs="宋体"/>
                <w:b/>
                <w:bCs/>
                <w:kern w:val="0"/>
                <w:sz w:val="24"/>
              </w:rPr>
              <w:t>林产品工艺品加工工程</w:t>
            </w:r>
          </w:p>
        </w:tc>
        <w:tc>
          <w:tcPr>
            <w:tcW w:w="1984" w:type="dxa"/>
            <w:tcBorders>
              <w:top w:val="nil"/>
              <w:left w:val="nil"/>
              <w:bottom w:val="single" w:color="auto" w:sz="4" w:space="0"/>
              <w:right w:val="single" w:color="auto" w:sz="4" w:space="0"/>
            </w:tcBorders>
            <w:vAlign w:val="center"/>
          </w:tcPr>
          <w:p w14:paraId="67929D81">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7EB15B5D">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750B0880">
            <w:pPr>
              <w:widowControl/>
              <w:jc w:val="center"/>
              <w:rPr>
                <w:b/>
                <w:bCs/>
                <w:kern w:val="0"/>
                <w:sz w:val="24"/>
              </w:rPr>
            </w:pPr>
            <w:r>
              <w:rPr>
                <w:b/>
                <w:bCs/>
                <w:kern w:val="0"/>
                <w:sz w:val="24"/>
              </w:rPr>
              <w:t>2000</w:t>
            </w:r>
          </w:p>
        </w:tc>
        <w:tc>
          <w:tcPr>
            <w:tcW w:w="1559" w:type="dxa"/>
            <w:tcBorders>
              <w:top w:val="nil"/>
              <w:left w:val="nil"/>
              <w:bottom w:val="single" w:color="auto" w:sz="4" w:space="0"/>
              <w:right w:val="single" w:color="auto" w:sz="4" w:space="0"/>
            </w:tcBorders>
            <w:vAlign w:val="center"/>
          </w:tcPr>
          <w:p w14:paraId="4352114F">
            <w:pPr>
              <w:widowControl/>
              <w:jc w:val="center"/>
              <w:rPr>
                <w:b/>
                <w:bCs/>
                <w:kern w:val="0"/>
                <w:sz w:val="24"/>
              </w:rPr>
            </w:pPr>
            <w:r>
              <w:rPr>
                <w:b/>
                <w:bCs/>
                <w:kern w:val="0"/>
                <w:sz w:val="24"/>
              </w:rPr>
              <w:t>1000</w:t>
            </w:r>
          </w:p>
        </w:tc>
        <w:tc>
          <w:tcPr>
            <w:tcW w:w="1559" w:type="dxa"/>
            <w:tcBorders>
              <w:top w:val="nil"/>
              <w:left w:val="nil"/>
              <w:bottom w:val="single" w:color="auto" w:sz="4" w:space="0"/>
              <w:right w:val="single" w:color="auto" w:sz="4" w:space="0"/>
            </w:tcBorders>
            <w:vAlign w:val="center"/>
          </w:tcPr>
          <w:p w14:paraId="3E6ED273">
            <w:pPr>
              <w:widowControl/>
              <w:jc w:val="center"/>
              <w:rPr>
                <w:b/>
                <w:bCs/>
                <w:kern w:val="0"/>
                <w:sz w:val="24"/>
              </w:rPr>
            </w:pPr>
            <w:r>
              <w:rPr>
                <w:b/>
                <w:bCs/>
                <w:kern w:val="0"/>
                <w:sz w:val="24"/>
              </w:rPr>
              <w:t>1000</w:t>
            </w:r>
          </w:p>
        </w:tc>
        <w:tc>
          <w:tcPr>
            <w:tcW w:w="1276" w:type="dxa"/>
            <w:tcBorders>
              <w:top w:val="nil"/>
              <w:left w:val="nil"/>
              <w:bottom w:val="single" w:color="auto" w:sz="4" w:space="0"/>
              <w:right w:val="single" w:color="auto" w:sz="4" w:space="0"/>
            </w:tcBorders>
            <w:vAlign w:val="center"/>
          </w:tcPr>
          <w:p w14:paraId="3C8C5BF2">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6FB02868">
            <w:pPr>
              <w:widowControl/>
              <w:jc w:val="center"/>
              <w:rPr>
                <w:b/>
                <w:bCs/>
                <w:kern w:val="0"/>
                <w:sz w:val="24"/>
              </w:rPr>
            </w:pPr>
            <w:r>
              <w:rPr>
                <w:b/>
                <w:bCs/>
                <w:kern w:val="0"/>
                <w:sz w:val="24"/>
              </w:rPr>
              <w:t>　</w:t>
            </w:r>
          </w:p>
        </w:tc>
      </w:tr>
      <w:tr w14:paraId="2E76A1D8">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453D2FC0">
            <w:pPr>
              <w:widowControl/>
              <w:jc w:val="center"/>
              <w:rPr>
                <w:kern w:val="0"/>
                <w:sz w:val="24"/>
              </w:rPr>
            </w:pPr>
            <w:r>
              <w:rPr>
                <w:kern w:val="0"/>
                <w:sz w:val="24"/>
              </w:rPr>
              <w:t>3.4.1</w:t>
            </w:r>
          </w:p>
        </w:tc>
        <w:tc>
          <w:tcPr>
            <w:tcW w:w="3128" w:type="dxa"/>
            <w:tcBorders>
              <w:top w:val="nil"/>
              <w:left w:val="nil"/>
              <w:bottom w:val="single" w:color="auto" w:sz="4" w:space="0"/>
              <w:right w:val="single" w:color="auto" w:sz="4" w:space="0"/>
            </w:tcBorders>
            <w:vAlign w:val="center"/>
          </w:tcPr>
          <w:p w14:paraId="575DB79C">
            <w:pPr>
              <w:widowControl/>
              <w:jc w:val="left"/>
              <w:rPr>
                <w:kern w:val="0"/>
                <w:sz w:val="24"/>
              </w:rPr>
            </w:pPr>
            <w:r>
              <w:rPr>
                <w:rFonts w:hint="eastAsia" w:ascii="宋体" w:hAnsi="宋体"/>
                <w:kern w:val="0"/>
                <w:sz w:val="24"/>
              </w:rPr>
              <w:t>培育林产品加工企业</w:t>
            </w:r>
          </w:p>
        </w:tc>
        <w:tc>
          <w:tcPr>
            <w:tcW w:w="1984" w:type="dxa"/>
            <w:tcBorders>
              <w:top w:val="nil"/>
              <w:left w:val="nil"/>
              <w:bottom w:val="single" w:color="auto" w:sz="4" w:space="0"/>
              <w:right w:val="single" w:color="auto" w:sz="4" w:space="0"/>
            </w:tcBorders>
            <w:vAlign w:val="center"/>
          </w:tcPr>
          <w:p w14:paraId="4159B3DD">
            <w:pPr>
              <w:widowControl/>
              <w:jc w:val="center"/>
              <w:rPr>
                <w:rFonts w:ascii="宋体" w:hAnsi="宋体" w:cs="宋体"/>
                <w:kern w:val="0"/>
                <w:sz w:val="24"/>
              </w:rPr>
            </w:pPr>
            <w:r>
              <w:rPr>
                <w:rFonts w:hint="eastAsia" w:ascii="宋体" w:hAnsi="宋体" w:cs="宋体"/>
                <w:kern w:val="0"/>
                <w:sz w:val="24"/>
              </w:rPr>
              <w:t>崖州区</w:t>
            </w:r>
          </w:p>
        </w:tc>
        <w:tc>
          <w:tcPr>
            <w:tcW w:w="1236" w:type="dxa"/>
            <w:tcBorders>
              <w:top w:val="nil"/>
              <w:left w:val="nil"/>
              <w:bottom w:val="single" w:color="auto" w:sz="4" w:space="0"/>
              <w:right w:val="single" w:color="auto" w:sz="4" w:space="0"/>
            </w:tcBorders>
            <w:vAlign w:val="center"/>
          </w:tcPr>
          <w:p w14:paraId="2955F71C">
            <w:pPr>
              <w:widowControl/>
              <w:jc w:val="center"/>
              <w:rPr>
                <w:kern w:val="0"/>
                <w:sz w:val="24"/>
              </w:rPr>
            </w:pPr>
            <w:r>
              <w:rPr>
                <w:kern w:val="0"/>
                <w:sz w:val="24"/>
              </w:rPr>
              <w:t>2</w:t>
            </w:r>
            <w:r>
              <w:rPr>
                <w:rFonts w:hint="eastAsia" w:ascii="宋体" w:hAnsi="宋体"/>
                <w:kern w:val="0"/>
                <w:sz w:val="24"/>
              </w:rPr>
              <w:t>家</w:t>
            </w:r>
          </w:p>
        </w:tc>
        <w:tc>
          <w:tcPr>
            <w:tcW w:w="1701" w:type="dxa"/>
            <w:tcBorders>
              <w:top w:val="nil"/>
              <w:left w:val="nil"/>
              <w:bottom w:val="single" w:color="auto" w:sz="4" w:space="0"/>
              <w:right w:val="single" w:color="auto" w:sz="4" w:space="0"/>
            </w:tcBorders>
            <w:vAlign w:val="center"/>
          </w:tcPr>
          <w:p w14:paraId="61F5AE22">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29263AB3">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3AA6B188">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27F57358">
            <w:pPr>
              <w:widowControl/>
              <w:jc w:val="center"/>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0E56AEA5">
            <w:pPr>
              <w:widowControl/>
              <w:jc w:val="center"/>
              <w:rPr>
                <w:b/>
                <w:bCs/>
                <w:kern w:val="0"/>
                <w:sz w:val="24"/>
              </w:rPr>
            </w:pPr>
            <w:r>
              <w:rPr>
                <w:b/>
                <w:bCs/>
                <w:kern w:val="0"/>
                <w:sz w:val="24"/>
              </w:rPr>
              <w:t>　</w:t>
            </w:r>
          </w:p>
        </w:tc>
      </w:tr>
      <w:tr w14:paraId="55C25556">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182BB443">
            <w:pPr>
              <w:widowControl/>
              <w:jc w:val="center"/>
              <w:rPr>
                <w:rFonts w:ascii="宋体" w:hAnsi="宋体" w:cs="宋体"/>
                <w:b/>
                <w:bCs/>
                <w:kern w:val="0"/>
                <w:sz w:val="24"/>
              </w:rPr>
            </w:pPr>
            <w:r>
              <w:rPr>
                <w:rFonts w:hint="eastAsia" w:ascii="宋体" w:hAnsi="宋体" w:cs="宋体"/>
                <w:b/>
                <w:bCs/>
                <w:kern w:val="0"/>
                <w:sz w:val="24"/>
              </w:rPr>
              <w:t>四</w:t>
            </w:r>
          </w:p>
        </w:tc>
        <w:tc>
          <w:tcPr>
            <w:tcW w:w="3128" w:type="dxa"/>
            <w:tcBorders>
              <w:top w:val="nil"/>
              <w:left w:val="nil"/>
              <w:bottom w:val="single" w:color="auto" w:sz="4" w:space="0"/>
              <w:right w:val="single" w:color="auto" w:sz="4" w:space="0"/>
            </w:tcBorders>
            <w:vAlign w:val="center"/>
          </w:tcPr>
          <w:p w14:paraId="5FAF2B2E">
            <w:pPr>
              <w:widowControl/>
              <w:jc w:val="left"/>
              <w:rPr>
                <w:rFonts w:ascii="宋体" w:hAnsi="宋体" w:cs="宋体"/>
                <w:b/>
                <w:bCs/>
                <w:kern w:val="0"/>
                <w:sz w:val="24"/>
              </w:rPr>
            </w:pPr>
            <w:r>
              <w:rPr>
                <w:rFonts w:hint="eastAsia" w:ascii="宋体" w:hAnsi="宋体" w:cs="宋体"/>
                <w:b/>
                <w:bCs/>
                <w:kern w:val="0"/>
                <w:sz w:val="24"/>
              </w:rPr>
              <w:t>经济林产业</w:t>
            </w:r>
          </w:p>
        </w:tc>
        <w:tc>
          <w:tcPr>
            <w:tcW w:w="1984" w:type="dxa"/>
            <w:tcBorders>
              <w:top w:val="nil"/>
              <w:left w:val="nil"/>
              <w:bottom w:val="single" w:color="auto" w:sz="4" w:space="0"/>
              <w:right w:val="single" w:color="auto" w:sz="4" w:space="0"/>
            </w:tcBorders>
            <w:vAlign w:val="center"/>
          </w:tcPr>
          <w:p w14:paraId="5E18706E">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6A9E1B4D">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4E8A5607">
            <w:pPr>
              <w:widowControl/>
              <w:jc w:val="center"/>
              <w:rPr>
                <w:b/>
                <w:bCs/>
                <w:kern w:val="0"/>
                <w:sz w:val="24"/>
              </w:rPr>
            </w:pPr>
            <w:r>
              <w:rPr>
                <w:b/>
                <w:bCs/>
                <w:kern w:val="0"/>
                <w:sz w:val="24"/>
              </w:rPr>
              <w:t>123500</w:t>
            </w:r>
          </w:p>
        </w:tc>
        <w:tc>
          <w:tcPr>
            <w:tcW w:w="1559" w:type="dxa"/>
            <w:tcBorders>
              <w:top w:val="nil"/>
              <w:left w:val="nil"/>
              <w:bottom w:val="single" w:color="auto" w:sz="4" w:space="0"/>
              <w:right w:val="single" w:color="auto" w:sz="4" w:space="0"/>
            </w:tcBorders>
            <w:vAlign w:val="center"/>
          </w:tcPr>
          <w:p w14:paraId="2C132A74">
            <w:pPr>
              <w:widowControl/>
              <w:jc w:val="center"/>
              <w:rPr>
                <w:b/>
                <w:bCs/>
                <w:kern w:val="0"/>
                <w:sz w:val="24"/>
              </w:rPr>
            </w:pPr>
            <w:r>
              <w:rPr>
                <w:b/>
                <w:bCs/>
                <w:kern w:val="0"/>
                <w:sz w:val="24"/>
              </w:rPr>
              <w:t>63750</w:t>
            </w:r>
          </w:p>
        </w:tc>
        <w:tc>
          <w:tcPr>
            <w:tcW w:w="1559" w:type="dxa"/>
            <w:tcBorders>
              <w:top w:val="nil"/>
              <w:left w:val="nil"/>
              <w:bottom w:val="single" w:color="auto" w:sz="4" w:space="0"/>
              <w:right w:val="single" w:color="auto" w:sz="4" w:space="0"/>
            </w:tcBorders>
            <w:vAlign w:val="center"/>
          </w:tcPr>
          <w:p w14:paraId="76506ACC">
            <w:pPr>
              <w:widowControl/>
              <w:jc w:val="center"/>
              <w:rPr>
                <w:b/>
                <w:bCs/>
                <w:kern w:val="0"/>
                <w:sz w:val="24"/>
              </w:rPr>
            </w:pPr>
            <w:r>
              <w:rPr>
                <w:b/>
                <w:bCs/>
                <w:kern w:val="0"/>
                <w:sz w:val="24"/>
              </w:rPr>
              <w:t>59750</w:t>
            </w:r>
          </w:p>
        </w:tc>
        <w:tc>
          <w:tcPr>
            <w:tcW w:w="1276" w:type="dxa"/>
            <w:tcBorders>
              <w:top w:val="nil"/>
              <w:left w:val="nil"/>
              <w:bottom w:val="single" w:color="auto" w:sz="4" w:space="0"/>
              <w:right w:val="single" w:color="auto" w:sz="4" w:space="0"/>
            </w:tcBorders>
            <w:vAlign w:val="center"/>
          </w:tcPr>
          <w:p w14:paraId="061DF8F7">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noWrap/>
            <w:vAlign w:val="center"/>
          </w:tcPr>
          <w:p w14:paraId="46E4E217">
            <w:pPr>
              <w:widowControl/>
              <w:jc w:val="center"/>
              <w:rPr>
                <w:b/>
                <w:bCs/>
                <w:kern w:val="0"/>
                <w:sz w:val="24"/>
              </w:rPr>
            </w:pPr>
            <w:r>
              <w:rPr>
                <w:b/>
                <w:bCs/>
                <w:kern w:val="0"/>
                <w:sz w:val="24"/>
              </w:rPr>
              <w:t>　</w:t>
            </w:r>
          </w:p>
        </w:tc>
      </w:tr>
      <w:tr w14:paraId="0304311F">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1B509AF0">
            <w:pPr>
              <w:widowControl/>
              <w:jc w:val="center"/>
              <w:rPr>
                <w:b/>
                <w:bCs/>
                <w:kern w:val="0"/>
                <w:sz w:val="24"/>
              </w:rPr>
            </w:pPr>
            <w:r>
              <w:rPr>
                <w:b/>
                <w:bCs/>
                <w:kern w:val="0"/>
                <w:sz w:val="24"/>
              </w:rPr>
              <w:t>4.1</w:t>
            </w:r>
          </w:p>
        </w:tc>
        <w:tc>
          <w:tcPr>
            <w:tcW w:w="3128" w:type="dxa"/>
            <w:tcBorders>
              <w:top w:val="nil"/>
              <w:left w:val="nil"/>
              <w:bottom w:val="single" w:color="auto" w:sz="4" w:space="0"/>
              <w:right w:val="single" w:color="auto" w:sz="4" w:space="0"/>
            </w:tcBorders>
            <w:vAlign w:val="center"/>
          </w:tcPr>
          <w:p w14:paraId="7E54A2BB">
            <w:pPr>
              <w:widowControl/>
              <w:jc w:val="left"/>
              <w:rPr>
                <w:rFonts w:ascii="宋体" w:hAnsi="宋体" w:cs="宋体"/>
                <w:b/>
                <w:bCs/>
                <w:kern w:val="0"/>
                <w:sz w:val="24"/>
              </w:rPr>
            </w:pPr>
            <w:r>
              <w:rPr>
                <w:rFonts w:hint="eastAsia" w:ascii="宋体" w:hAnsi="宋体" w:cs="宋体"/>
                <w:b/>
                <w:bCs/>
                <w:kern w:val="0"/>
                <w:sz w:val="24"/>
              </w:rPr>
              <w:t>产学研相结合</w:t>
            </w:r>
          </w:p>
        </w:tc>
        <w:tc>
          <w:tcPr>
            <w:tcW w:w="1984" w:type="dxa"/>
            <w:tcBorders>
              <w:top w:val="nil"/>
              <w:left w:val="nil"/>
              <w:bottom w:val="single" w:color="auto" w:sz="4" w:space="0"/>
              <w:right w:val="single" w:color="auto" w:sz="4" w:space="0"/>
            </w:tcBorders>
            <w:vAlign w:val="center"/>
          </w:tcPr>
          <w:p w14:paraId="0FF3CCF5">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170A9192">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0B7F5B38">
            <w:pPr>
              <w:widowControl/>
              <w:jc w:val="center"/>
              <w:rPr>
                <w:b/>
                <w:bCs/>
                <w:kern w:val="0"/>
                <w:sz w:val="24"/>
              </w:rPr>
            </w:pPr>
            <w:r>
              <w:rPr>
                <w:b/>
                <w:bCs/>
                <w:kern w:val="0"/>
                <w:sz w:val="24"/>
              </w:rPr>
              <w:t>5000</w:t>
            </w:r>
          </w:p>
        </w:tc>
        <w:tc>
          <w:tcPr>
            <w:tcW w:w="1559" w:type="dxa"/>
            <w:tcBorders>
              <w:top w:val="nil"/>
              <w:left w:val="nil"/>
              <w:bottom w:val="single" w:color="auto" w:sz="4" w:space="0"/>
              <w:right w:val="single" w:color="auto" w:sz="4" w:space="0"/>
            </w:tcBorders>
            <w:vAlign w:val="center"/>
          </w:tcPr>
          <w:p w14:paraId="2FDB2A44">
            <w:pPr>
              <w:widowControl/>
              <w:jc w:val="center"/>
              <w:rPr>
                <w:b/>
                <w:bCs/>
                <w:kern w:val="0"/>
                <w:sz w:val="24"/>
              </w:rPr>
            </w:pPr>
            <w:r>
              <w:rPr>
                <w:b/>
                <w:bCs/>
                <w:kern w:val="0"/>
                <w:sz w:val="24"/>
              </w:rPr>
              <w:t>5000</w:t>
            </w:r>
          </w:p>
        </w:tc>
        <w:tc>
          <w:tcPr>
            <w:tcW w:w="1559" w:type="dxa"/>
            <w:tcBorders>
              <w:top w:val="nil"/>
              <w:left w:val="nil"/>
              <w:bottom w:val="single" w:color="auto" w:sz="4" w:space="0"/>
              <w:right w:val="single" w:color="auto" w:sz="4" w:space="0"/>
            </w:tcBorders>
            <w:vAlign w:val="center"/>
          </w:tcPr>
          <w:p w14:paraId="05F15204">
            <w:pPr>
              <w:widowControl/>
              <w:jc w:val="center"/>
              <w:rPr>
                <w:b/>
                <w:bCs/>
                <w:kern w:val="0"/>
                <w:sz w:val="24"/>
              </w:rPr>
            </w:pPr>
            <w:r>
              <w:rPr>
                <w:b/>
                <w:bCs/>
                <w:kern w:val="0"/>
                <w:sz w:val="24"/>
              </w:rPr>
              <w:t>　</w:t>
            </w:r>
          </w:p>
        </w:tc>
        <w:tc>
          <w:tcPr>
            <w:tcW w:w="1276" w:type="dxa"/>
            <w:tcBorders>
              <w:top w:val="nil"/>
              <w:left w:val="nil"/>
              <w:bottom w:val="single" w:color="auto" w:sz="4" w:space="0"/>
              <w:right w:val="single" w:color="auto" w:sz="4" w:space="0"/>
            </w:tcBorders>
            <w:vAlign w:val="center"/>
          </w:tcPr>
          <w:p w14:paraId="15E418BB">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noWrap/>
            <w:vAlign w:val="center"/>
          </w:tcPr>
          <w:p w14:paraId="6A957707">
            <w:pPr>
              <w:widowControl/>
              <w:jc w:val="center"/>
              <w:rPr>
                <w:b/>
                <w:bCs/>
                <w:kern w:val="0"/>
                <w:sz w:val="24"/>
              </w:rPr>
            </w:pPr>
            <w:r>
              <w:rPr>
                <w:b/>
                <w:bCs/>
                <w:kern w:val="0"/>
                <w:sz w:val="24"/>
              </w:rPr>
              <w:t>　</w:t>
            </w:r>
          </w:p>
        </w:tc>
      </w:tr>
      <w:tr w14:paraId="112064B8">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52DD231D">
            <w:pPr>
              <w:widowControl/>
              <w:jc w:val="center"/>
              <w:rPr>
                <w:kern w:val="0"/>
                <w:sz w:val="24"/>
              </w:rPr>
            </w:pPr>
            <w:r>
              <w:rPr>
                <w:kern w:val="0"/>
                <w:sz w:val="24"/>
              </w:rPr>
              <w:t>4.1.1</w:t>
            </w:r>
          </w:p>
        </w:tc>
        <w:tc>
          <w:tcPr>
            <w:tcW w:w="3128" w:type="dxa"/>
            <w:tcBorders>
              <w:top w:val="nil"/>
              <w:left w:val="nil"/>
              <w:bottom w:val="single" w:color="auto" w:sz="4" w:space="0"/>
              <w:right w:val="single" w:color="auto" w:sz="4" w:space="0"/>
            </w:tcBorders>
            <w:vAlign w:val="center"/>
          </w:tcPr>
          <w:p w14:paraId="0898F9DD">
            <w:pPr>
              <w:widowControl/>
              <w:jc w:val="left"/>
              <w:rPr>
                <w:kern w:val="0"/>
                <w:sz w:val="24"/>
              </w:rPr>
            </w:pPr>
            <w:r>
              <w:rPr>
                <w:rFonts w:hint="eastAsia" w:ascii="宋体" w:hAnsi="宋体"/>
                <w:kern w:val="0"/>
                <w:sz w:val="24"/>
              </w:rPr>
              <w:t>提高经济林产品质量和产量</w:t>
            </w:r>
          </w:p>
        </w:tc>
        <w:tc>
          <w:tcPr>
            <w:tcW w:w="1984" w:type="dxa"/>
            <w:tcBorders>
              <w:top w:val="nil"/>
              <w:left w:val="nil"/>
              <w:bottom w:val="single" w:color="auto" w:sz="4" w:space="0"/>
              <w:right w:val="single" w:color="auto" w:sz="4" w:space="0"/>
            </w:tcBorders>
            <w:vAlign w:val="center"/>
          </w:tcPr>
          <w:p w14:paraId="6FB65418">
            <w:pPr>
              <w:widowControl/>
              <w:jc w:val="center"/>
              <w:rPr>
                <w:kern w:val="0"/>
                <w:sz w:val="24"/>
              </w:rPr>
            </w:pPr>
            <w:r>
              <w:rPr>
                <w:rFonts w:hint="eastAsia" w:ascii="宋体" w:hAnsi="宋体"/>
                <w:kern w:val="0"/>
                <w:sz w:val="24"/>
              </w:rPr>
              <w:t>全市范围</w:t>
            </w:r>
          </w:p>
        </w:tc>
        <w:tc>
          <w:tcPr>
            <w:tcW w:w="1236" w:type="dxa"/>
            <w:tcBorders>
              <w:top w:val="nil"/>
              <w:left w:val="nil"/>
              <w:bottom w:val="single" w:color="auto" w:sz="4" w:space="0"/>
              <w:right w:val="single" w:color="auto" w:sz="4" w:space="0"/>
            </w:tcBorders>
            <w:vAlign w:val="center"/>
          </w:tcPr>
          <w:p w14:paraId="40C5217E">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65A2B384">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2DCDB981">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48524894">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17B730E2">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noWrap/>
            <w:vAlign w:val="center"/>
          </w:tcPr>
          <w:p w14:paraId="69DAFCC8">
            <w:pPr>
              <w:widowControl/>
              <w:jc w:val="center"/>
              <w:rPr>
                <w:kern w:val="0"/>
                <w:sz w:val="24"/>
              </w:rPr>
            </w:pPr>
            <w:r>
              <w:rPr>
                <w:kern w:val="0"/>
                <w:sz w:val="24"/>
              </w:rPr>
              <w:t>　</w:t>
            </w:r>
          </w:p>
        </w:tc>
      </w:tr>
      <w:tr w14:paraId="36AA7570">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2C49514">
            <w:pPr>
              <w:widowControl/>
              <w:jc w:val="center"/>
              <w:rPr>
                <w:b/>
                <w:bCs/>
                <w:kern w:val="0"/>
                <w:sz w:val="24"/>
              </w:rPr>
            </w:pPr>
            <w:r>
              <w:rPr>
                <w:b/>
                <w:bCs/>
                <w:kern w:val="0"/>
                <w:sz w:val="24"/>
              </w:rPr>
              <w:t>4.2</w:t>
            </w:r>
          </w:p>
        </w:tc>
        <w:tc>
          <w:tcPr>
            <w:tcW w:w="3128" w:type="dxa"/>
            <w:tcBorders>
              <w:top w:val="nil"/>
              <w:left w:val="nil"/>
              <w:bottom w:val="single" w:color="auto" w:sz="4" w:space="0"/>
              <w:right w:val="single" w:color="auto" w:sz="4" w:space="0"/>
            </w:tcBorders>
            <w:vAlign w:val="center"/>
          </w:tcPr>
          <w:p w14:paraId="6A97D683">
            <w:pPr>
              <w:widowControl/>
              <w:jc w:val="left"/>
              <w:rPr>
                <w:rFonts w:ascii="宋体" w:hAnsi="宋体" w:cs="宋体"/>
                <w:b/>
                <w:bCs/>
                <w:kern w:val="0"/>
                <w:sz w:val="24"/>
              </w:rPr>
            </w:pPr>
            <w:r>
              <w:rPr>
                <w:rFonts w:hint="eastAsia" w:ascii="宋体" w:hAnsi="宋体" w:cs="宋体"/>
                <w:b/>
                <w:bCs/>
                <w:kern w:val="0"/>
                <w:sz w:val="24"/>
              </w:rPr>
              <w:t>改造低产经济林工程</w:t>
            </w:r>
          </w:p>
        </w:tc>
        <w:tc>
          <w:tcPr>
            <w:tcW w:w="1984" w:type="dxa"/>
            <w:tcBorders>
              <w:top w:val="nil"/>
              <w:left w:val="nil"/>
              <w:bottom w:val="single" w:color="auto" w:sz="4" w:space="0"/>
              <w:right w:val="single" w:color="auto" w:sz="4" w:space="0"/>
            </w:tcBorders>
            <w:vAlign w:val="center"/>
          </w:tcPr>
          <w:p w14:paraId="5E0D4CE9">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3F4C6102">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703265D0">
            <w:pPr>
              <w:widowControl/>
              <w:jc w:val="center"/>
              <w:rPr>
                <w:b/>
                <w:bCs/>
                <w:kern w:val="0"/>
                <w:sz w:val="24"/>
              </w:rPr>
            </w:pPr>
            <w:r>
              <w:rPr>
                <w:b/>
                <w:bCs/>
                <w:kern w:val="0"/>
                <w:sz w:val="24"/>
              </w:rPr>
              <w:t>45500</w:t>
            </w:r>
          </w:p>
        </w:tc>
        <w:tc>
          <w:tcPr>
            <w:tcW w:w="1559" w:type="dxa"/>
            <w:tcBorders>
              <w:top w:val="nil"/>
              <w:left w:val="nil"/>
              <w:bottom w:val="single" w:color="auto" w:sz="4" w:space="0"/>
              <w:right w:val="single" w:color="auto" w:sz="4" w:space="0"/>
            </w:tcBorders>
            <w:vAlign w:val="center"/>
          </w:tcPr>
          <w:p w14:paraId="5878BF77">
            <w:pPr>
              <w:widowControl/>
              <w:jc w:val="center"/>
              <w:rPr>
                <w:b/>
                <w:bCs/>
                <w:kern w:val="0"/>
                <w:sz w:val="24"/>
              </w:rPr>
            </w:pPr>
            <w:r>
              <w:rPr>
                <w:b/>
                <w:bCs/>
                <w:kern w:val="0"/>
                <w:sz w:val="24"/>
              </w:rPr>
              <w:t>16000</w:t>
            </w:r>
          </w:p>
        </w:tc>
        <w:tc>
          <w:tcPr>
            <w:tcW w:w="1559" w:type="dxa"/>
            <w:tcBorders>
              <w:top w:val="nil"/>
              <w:left w:val="nil"/>
              <w:bottom w:val="single" w:color="auto" w:sz="4" w:space="0"/>
              <w:right w:val="single" w:color="auto" w:sz="4" w:space="0"/>
            </w:tcBorders>
            <w:vAlign w:val="center"/>
          </w:tcPr>
          <w:p w14:paraId="2B562F71">
            <w:pPr>
              <w:widowControl/>
              <w:jc w:val="center"/>
              <w:rPr>
                <w:b/>
                <w:bCs/>
                <w:kern w:val="0"/>
                <w:sz w:val="24"/>
              </w:rPr>
            </w:pPr>
            <w:r>
              <w:rPr>
                <w:b/>
                <w:bCs/>
                <w:kern w:val="0"/>
                <w:sz w:val="24"/>
              </w:rPr>
              <w:t>29500</w:t>
            </w:r>
          </w:p>
        </w:tc>
        <w:tc>
          <w:tcPr>
            <w:tcW w:w="1276" w:type="dxa"/>
            <w:tcBorders>
              <w:top w:val="nil"/>
              <w:left w:val="nil"/>
              <w:bottom w:val="single" w:color="auto" w:sz="4" w:space="0"/>
              <w:right w:val="single" w:color="auto" w:sz="4" w:space="0"/>
            </w:tcBorders>
            <w:vAlign w:val="center"/>
          </w:tcPr>
          <w:p w14:paraId="2466DB84">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noWrap/>
            <w:vAlign w:val="center"/>
          </w:tcPr>
          <w:p w14:paraId="19002C26">
            <w:pPr>
              <w:widowControl/>
              <w:jc w:val="center"/>
              <w:rPr>
                <w:b/>
                <w:bCs/>
                <w:kern w:val="0"/>
                <w:sz w:val="24"/>
              </w:rPr>
            </w:pPr>
            <w:r>
              <w:rPr>
                <w:b/>
                <w:bCs/>
                <w:kern w:val="0"/>
                <w:sz w:val="24"/>
              </w:rPr>
              <w:t>　</w:t>
            </w:r>
          </w:p>
        </w:tc>
      </w:tr>
      <w:tr w14:paraId="6E911004">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4468160A">
            <w:pPr>
              <w:widowControl/>
              <w:jc w:val="center"/>
              <w:rPr>
                <w:kern w:val="0"/>
                <w:sz w:val="24"/>
              </w:rPr>
            </w:pPr>
            <w:r>
              <w:rPr>
                <w:kern w:val="0"/>
                <w:sz w:val="24"/>
              </w:rPr>
              <w:t>4.2.1</w:t>
            </w:r>
          </w:p>
        </w:tc>
        <w:tc>
          <w:tcPr>
            <w:tcW w:w="3128" w:type="dxa"/>
            <w:tcBorders>
              <w:top w:val="nil"/>
              <w:left w:val="nil"/>
              <w:bottom w:val="single" w:color="auto" w:sz="4" w:space="0"/>
              <w:right w:val="single" w:color="auto" w:sz="4" w:space="0"/>
            </w:tcBorders>
            <w:vAlign w:val="center"/>
          </w:tcPr>
          <w:p w14:paraId="68225AFE">
            <w:pPr>
              <w:widowControl/>
              <w:jc w:val="left"/>
              <w:rPr>
                <w:rFonts w:ascii="宋体" w:hAnsi="宋体" w:cs="宋体"/>
                <w:kern w:val="0"/>
                <w:sz w:val="24"/>
              </w:rPr>
            </w:pPr>
            <w:r>
              <w:rPr>
                <w:rFonts w:hint="eastAsia" w:ascii="宋体" w:hAnsi="宋体" w:cs="宋体"/>
                <w:kern w:val="0"/>
                <w:sz w:val="24"/>
              </w:rPr>
              <w:t>改造低产经济林</w:t>
            </w:r>
          </w:p>
        </w:tc>
        <w:tc>
          <w:tcPr>
            <w:tcW w:w="1984" w:type="dxa"/>
            <w:tcBorders>
              <w:top w:val="nil"/>
              <w:left w:val="nil"/>
              <w:bottom w:val="single" w:color="auto" w:sz="4" w:space="0"/>
              <w:right w:val="single" w:color="auto" w:sz="4" w:space="0"/>
            </w:tcBorders>
            <w:vAlign w:val="center"/>
          </w:tcPr>
          <w:p w14:paraId="0909A88E">
            <w:pPr>
              <w:widowControl/>
              <w:jc w:val="center"/>
              <w:rPr>
                <w:kern w:val="0"/>
                <w:sz w:val="24"/>
              </w:rPr>
            </w:pPr>
            <w:r>
              <w:rPr>
                <w:rFonts w:hint="eastAsia" w:ascii="宋体" w:hAnsi="宋体"/>
                <w:kern w:val="0"/>
                <w:sz w:val="24"/>
              </w:rPr>
              <w:t>全市范围</w:t>
            </w:r>
          </w:p>
        </w:tc>
        <w:tc>
          <w:tcPr>
            <w:tcW w:w="1236" w:type="dxa"/>
            <w:tcBorders>
              <w:top w:val="nil"/>
              <w:left w:val="nil"/>
              <w:bottom w:val="single" w:color="auto" w:sz="4" w:space="0"/>
              <w:right w:val="single" w:color="auto" w:sz="4" w:space="0"/>
            </w:tcBorders>
            <w:vAlign w:val="center"/>
          </w:tcPr>
          <w:p w14:paraId="529400BD">
            <w:pPr>
              <w:widowControl/>
              <w:jc w:val="center"/>
              <w:rPr>
                <w:kern w:val="0"/>
                <w:sz w:val="24"/>
              </w:rPr>
            </w:pPr>
            <w:r>
              <w:rPr>
                <w:kern w:val="0"/>
                <w:sz w:val="24"/>
              </w:rPr>
              <w:t>5400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12ED327F">
            <w:pPr>
              <w:widowControl/>
              <w:jc w:val="center"/>
              <w:rPr>
                <w:kern w:val="0"/>
                <w:sz w:val="24"/>
              </w:rPr>
            </w:pPr>
            <w:r>
              <w:rPr>
                <w:kern w:val="0"/>
                <w:sz w:val="24"/>
              </w:rPr>
              <w:t>41500</w:t>
            </w:r>
          </w:p>
        </w:tc>
        <w:tc>
          <w:tcPr>
            <w:tcW w:w="1559" w:type="dxa"/>
            <w:tcBorders>
              <w:top w:val="nil"/>
              <w:left w:val="nil"/>
              <w:bottom w:val="single" w:color="auto" w:sz="4" w:space="0"/>
              <w:right w:val="single" w:color="auto" w:sz="4" w:space="0"/>
            </w:tcBorders>
            <w:vAlign w:val="center"/>
          </w:tcPr>
          <w:p w14:paraId="30B6F1D4">
            <w:pPr>
              <w:widowControl/>
              <w:jc w:val="center"/>
              <w:rPr>
                <w:kern w:val="0"/>
                <w:sz w:val="24"/>
              </w:rPr>
            </w:pPr>
            <w:r>
              <w:rPr>
                <w:kern w:val="0"/>
                <w:sz w:val="24"/>
              </w:rPr>
              <w:t>14000</w:t>
            </w:r>
          </w:p>
        </w:tc>
        <w:tc>
          <w:tcPr>
            <w:tcW w:w="1559" w:type="dxa"/>
            <w:tcBorders>
              <w:top w:val="nil"/>
              <w:left w:val="nil"/>
              <w:bottom w:val="single" w:color="auto" w:sz="4" w:space="0"/>
              <w:right w:val="single" w:color="auto" w:sz="4" w:space="0"/>
            </w:tcBorders>
            <w:vAlign w:val="center"/>
          </w:tcPr>
          <w:p w14:paraId="756814A0">
            <w:pPr>
              <w:widowControl/>
              <w:jc w:val="center"/>
              <w:rPr>
                <w:kern w:val="0"/>
                <w:sz w:val="24"/>
              </w:rPr>
            </w:pPr>
            <w:r>
              <w:rPr>
                <w:kern w:val="0"/>
                <w:sz w:val="24"/>
              </w:rPr>
              <w:t>27500</w:t>
            </w:r>
          </w:p>
        </w:tc>
        <w:tc>
          <w:tcPr>
            <w:tcW w:w="1276" w:type="dxa"/>
            <w:tcBorders>
              <w:top w:val="nil"/>
              <w:left w:val="nil"/>
              <w:bottom w:val="single" w:color="auto" w:sz="4" w:space="0"/>
              <w:right w:val="single" w:color="auto" w:sz="4" w:space="0"/>
            </w:tcBorders>
            <w:vAlign w:val="center"/>
          </w:tcPr>
          <w:p w14:paraId="34EC2A53">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noWrap/>
            <w:vAlign w:val="center"/>
          </w:tcPr>
          <w:p w14:paraId="632070B7">
            <w:pPr>
              <w:widowControl/>
              <w:jc w:val="center"/>
              <w:rPr>
                <w:kern w:val="0"/>
                <w:sz w:val="24"/>
              </w:rPr>
            </w:pPr>
            <w:r>
              <w:rPr>
                <w:kern w:val="0"/>
                <w:sz w:val="24"/>
              </w:rPr>
              <w:t>　</w:t>
            </w:r>
          </w:p>
        </w:tc>
      </w:tr>
      <w:tr w14:paraId="523586D2">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4E206D1A">
            <w:pPr>
              <w:widowControl/>
              <w:jc w:val="center"/>
              <w:rPr>
                <w:kern w:val="0"/>
                <w:sz w:val="24"/>
              </w:rPr>
            </w:pPr>
            <w:r>
              <w:rPr>
                <w:kern w:val="0"/>
                <w:sz w:val="24"/>
              </w:rPr>
              <w:t>4.2.2</w:t>
            </w:r>
          </w:p>
        </w:tc>
        <w:tc>
          <w:tcPr>
            <w:tcW w:w="3128" w:type="dxa"/>
            <w:tcBorders>
              <w:top w:val="nil"/>
              <w:left w:val="nil"/>
              <w:bottom w:val="single" w:color="auto" w:sz="4" w:space="0"/>
              <w:right w:val="single" w:color="auto" w:sz="4" w:space="0"/>
            </w:tcBorders>
            <w:vAlign w:val="center"/>
          </w:tcPr>
          <w:p w14:paraId="4D065DD4">
            <w:pPr>
              <w:widowControl/>
              <w:jc w:val="left"/>
              <w:rPr>
                <w:kern w:val="0"/>
                <w:sz w:val="24"/>
              </w:rPr>
            </w:pPr>
            <w:r>
              <w:rPr>
                <w:rFonts w:hint="eastAsia" w:ascii="宋体" w:hAnsi="宋体"/>
                <w:kern w:val="0"/>
                <w:sz w:val="24"/>
              </w:rPr>
              <w:t>现代标准化示范胶园</w:t>
            </w:r>
          </w:p>
        </w:tc>
        <w:tc>
          <w:tcPr>
            <w:tcW w:w="1984" w:type="dxa"/>
            <w:tcBorders>
              <w:top w:val="nil"/>
              <w:left w:val="nil"/>
              <w:bottom w:val="single" w:color="auto" w:sz="4" w:space="0"/>
              <w:right w:val="single" w:color="auto" w:sz="4" w:space="0"/>
            </w:tcBorders>
            <w:vAlign w:val="center"/>
          </w:tcPr>
          <w:p w14:paraId="084A70A0">
            <w:pPr>
              <w:widowControl/>
              <w:jc w:val="center"/>
              <w:rPr>
                <w:kern w:val="0"/>
                <w:sz w:val="24"/>
              </w:rPr>
            </w:pPr>
            <w:r>
              <w:rPr>
                <w:rFonts w:hint="eastAsia" w:ascii="宋体" w:hAnsi="宋体"/>
                <w:kern w:val="0"/>
                <w:sz w:val="24"/>
              </w:rPr>
              <w:t>海棠区</w:t>
            </w:r>
          </w:p>
        </w:tc>
        <w:tc>
          <w:tcPr>
            <w:tcW w:w="1236" w:type="dxa"/>
            <w:tcBorders>
              <w:top w:val="nil"/>
              <w:left w:val="nil"/>
              <w:bottom w:val="single" w:color="auto" w:sz="4" w:space="0"/>
              <w:right w:val="single" w:color="auto" w:sz="4" w:space="0"/>
            </w:tcBorders>
            <w:vAlign w:val="center"/>
          </w:tcPr>
          <w:p w14:paraId="2ACF5F1A">
            <w:pPr>
              <w:widowControl/>
              <w:jc w:val="center"/>
              <w:rPr>
                <w:kern w:val="0"/>
                <w:sz w:val="24"/>
              </w:rPr>
            </w:pPr>
            <w:r>
              <w:rPr>
                <w:kern w:val="0"/>
                <w:sz w:val="24"/>
              </w:rPr>
              <w:t>4000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70802C07">
            <w:pPr>
              <w:widowControl/>
              <w:jc w:val="center"/>
              <w:rPr>
                <w:kern w:val="0"/>
                <w:sz w:val="24"/>
              </w:rPr>
            </w:pPr>
            <w:r>
              <w:rPr>
                <w:kern w:val="0"/>
                <w:sz w:val="24"/>
              </w:rPr>
              <w:t>4000</w:t>
            </w:r>
          </w:p>
        </w:tc>
        <w:tc>
          <w:tcPr>
            <w:tcW w:w="1559" w:type="dxa"/>
            <w:tcBorders>
              <w:top w:val="nil"/>
              <w:left w:val="nil"/>
              <w:bottom w:val="single" w:color="auto" w:sz="4" w:space="0"/>
              <w:right w:val="single" w:color="auto" w:sz="4" w:space="0"/>
            </w:tcBorders>
            <w:vAlign w:val="center"/>
          </w:tcPr>
          <w:p w14:paraId="0026029B">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4D3EA3BD">
            <w:pPr>
              <w:widowControl/>
              <w:jc w:val="center"/>
              <w:rPr>
                <w:kern w:val="0"/>
                <w:sz w:val="24"/>
              </w:rPr>
            </w:pPr>
            <w:r>
              <w:rPr>
                <w:kern w:val="0"/>
                <w:sz w:val="24"/>
              </w:rPr>
              <w:t>2000</w:t>
            </w:r>
          </w:p>
        </w:tc>
        <w:tc>
          <w:tcPr>
            <w:tcW w:w="1276" w:type="dxa"/>
            <w:tcBorders>
              <w:top w:val="nil"/>
              <w:left w:val="nil"/>
              <w:bottom w:val="single" w:color="auto" w:sz="4" w:space="0"/>
              <w:right w:val="single" w:color="auto" w:sz="4" w:space="0"/>
            </w:tcBorders>
            <w:vAlign w:val="center"/>
          </w:tcPr>
          <w:p w14:paraId="771C62AC">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170266FC">
            <w:pPr>
              <w:widowControl/>
              <w:jc w:val="center"/>
              <w:rPr>
                <w:b/>
                <w:bCs/>
                <w:kern w:val="0"/>
                <w:sz w:val="24"/>
              </w:rPr>
            </w:pPr>
            <w:r>
              <w:rPr>
                <w:b/>
                <w:bCs/>
                <w:kern w:val="0"/>
                <w:sz w:val="24"/>
              </w:rPr>
              <w:t>　</w:t>
            </w:r>
          </w:p>
        </w:tc>
      </w:tr>
      <w:tr w14:paraId="5171925C">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A8205BF">
            <w:pPr>
              <w:widowControl/>
              <w:jc w:val="center"/>
              <w:rPr>
                <w:b/>
                <w:bCs/>
                <w:kern w:val="0"/>
                <w:sz w:val="24"/>
              </w:rPr>
            </w:pPr>
            <w:r>
              <w:rPr>
                <w:b/>
                <w:bCs/>
                <w:kern w:val="0"/>
                <w:sz w:val="24"/>
              </w:rPr>
              <w:t>4.3</w:t>
            </w:r>
          </w:p>
        </w:tc>
        <w:tc>
          <w:tcPr>
            <w:tcW w:w="3128" w:type="dxa"/>
            <w:tcBorders>
              <w:top w:val="nil"/>
              <w:left w:val="nil"/>
              <w:bottom w:val="single" w:color="auto" w:sz="4" w:space="0"/>
              <w:right w:val="single" w:color="auto" w:sz="4" w:space="0"/>
            </w:tcBorders>
            <w:vAlign w:val="center"/>
          </w:tcPr>
          <w:p w14:paraId="192359F7">
            <w:pPr>
              <w:widowControl/>
              <w:jc w:val="left"/>
              <w:rPr>
                <w:rFonts w:ascii="宋体" w:hAnsi="宋体" w:cs="宋体"/>
                <w:b/>
                <w:bCs/>
                <w:kern w:val="0"/>
                <w:sz w:val="24"/>
              </w:rPr>
            </w:pPr>
            <w:r>
              <w:rPr>
                <w:rFonts w:hint="eastAsia" w:ascii="宋体" w:hAnsi="宋体" w:cs="宋体"/>
                <w:b/>
                <w:bCs/>
                <w:kern w:val="0"/>
                <w:sz w:val="24"/>
              </w:rPr>
              <w:t>经济林改生态林工程</w:t>
            </w:r>
          </w:p>
        </w:tc>
        <w:tc>
          <w:tcPr>
            <w:tcW w:w="1984" w:type="dxa"/>
            <w:tcBorders>
              <w:top w:val="nil"/>
              <w:left w:val="nil"/>
              <w:bottom w:val="single" w:color="auto" w:sz="4" w:space="0"/>
              <w:right w:val="single" w:color="auto" w:sz="4" w:space="0"/>
            </w:tcBorders>
            <w:vAlign w:val="center"/>
          </w:tcPr>
          <w:p w14:paraId="7C3F0995">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195F8374">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0042C965">
            <w:pPr>
              <w:widowControl/>
              <w:jc w:val="center"/>
              <w:rPr>
                <w:b/>
                <w:bCs/>
                <w:kern w:val="0"/>
                <w:sz w:val="24"/>
              </w:rPr>
            </w:pPr>
            <w:r>
              <w:rPr>
                <w:b/>
                <w:bCs/>
                <w:kern w:val="0"/>
                <w:sz w:val="24"/>
              </w:rPr>
              <w:t>42000</w:t>
            </w:r>
          </w:p>
        </w:tc>
        <w:tc>
          <w:tcPr>
            <w:tcW w:w="1559" w:type="dxa"/>
            <w:tcBorders>
              <w:top w:val="nil"/>
              <w:left w:val="nil"/>
              <w:bottom w:val="single" w:color="auto" w:sz="4" w:space="0"/>
              <w:right w:val="single" w:color="auto" w:sz="4" w:space="0"/>
            </w:tcBorders>
            <w:vAlign w:val="center"/>
          </w:tcPr>
          <w:p w14:paraId="1D34C969">
            <w:pPr>
              <w:widowControl/>
              <w:jc w:val="center"/>
              <w:rPr>
                <w:b/>
                <w:bCs/>
                <w:kern w:val="0"/>
                <w:sz w:val="24"/>
              </w:rPr>
            </w:pPr>
            <w:r>
              <w:rPr>
                <w:b/>
                <w:bCs/>
                <w:kern w:val="0"/>
                <w:sz w:val="24"/>
              </w:rPr>
              <w:t>15750</w:t>
            </w:r>
          </w:p>
        </w:tc>
        <w:tc>
          <w:tcPr>
            <w:tcW w:w="1559" w:type="dxa"/>
            <w:tcBorders>
              <w:top w:val="nil"/>
              <w:left w:val="nil"/>
              <w:bottom w:val="single" w:color="auto" w:sz="4" w:space="0"/>
              <w:right w:val="single" w:color="auto" w:sz="4" w:space="0"/>
            </w:tcBorders>
            <w:vAlign w:val="center"/>
          </w:tcPr>
          <w:p w14:paraId="0D1F90F3">
            <w:pPr>
              <w:widowControl/>
              <w:jc w:val="center"/>
              <w:rPr>
                <w:b/>
                <w:bCs/>
                <w:kern w:val="0"/>
                <w:sz w:val="24"/>
              </w:rPr>
            </w:pPr>
            <w:r>
              <w:rPr>
                <w:b/>
                <w:bCs/>
                <w:kern w:val="0"/>
                <w:sz w:val="24"/>
              </w:rPr>
              <w:t>26250</w:t>
            </w:r>
          </w:p>
        </w:tc>
        <w:tc>
          <w:tcPr>
            <w:tcW w:w="1276" w:type="dxa"/>
            <w:tcBorders>
              <w:top w:val="nil"/>
              <w:left w:val="nil"/>
              <w:bottom w:val="single" w:color="auto" w:sz="4" w:space="0"/>
              <w:right w:val="single" w:color="auto" w:sz="4" w:space="0"/>
            </w:tcBorders>
            <w:vAlign w:val="center"/>
          </w:tcPr>
          <w:p w14:paraId="0F0866F0">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5061C28E">
            <w:pPr>
              <w:widowControl/>
              <w:jc w:val="center"/>
              <w:rPr>
                <w:b/>
                <w:bCs/>
                <w:kern w:val="0"/>
                <w:sz w:val="24"/>
              </w:rPr>
            </w:pPr>
            <w:r>
              <w:rPr>
                <w:b/>
                <w:bCs/>
                <w:kern w:val="0"/>
                <w:sz w:val="24"/>
              </w:rPr>
              <w:t>　</w:t>
            </w:r>
          </w:p>
        </w:tc>
      </w:tr>
      <w:tr w14:paraId="47376FCD">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0D08A5EC">
            <w:pPr>
              <w:widowControl/>
              <w:jc w:val="center"/>
              <w:rPr>
                <w:kern w:val="0"/>
                <w:sz w:val="24"/>
              </w:rPr>
            </w:pPr>
            <w:r>
              <w:rPr>
                <w:kern w:val="0"/>
                <w:sz w:val="24"/>
              </w:rPr>
              <w:t>4.3.1</w:t>
            </w:r>
          </w:p>
        </w:tc>
        <w:tc>
          <w:tcPr>
            <w:tcW w:w="3128" w:type="dxa"/>
            <w:tcBorders>
              <w:top w:val="nil"/>
              <w:left w:val="nil"/>
              <w:bottom w:val="single" w:color="auto" w:sz="4" w:space="0"/>
              <w:right w:val="single" w:color="auto" w:sz="4" w:space="0"/>
            </w:tcBorders>
            <w:vAlign w:val="center"/>
          </w:tcPr>
          <w:p w14:paraId="1FD201B0">
            <w:pPr>
              <w:widowControl/>
              <w:jc w:val="left"/>
              <w:rPr>
                <w:kern w:val="0"/>
                <w:sz w:val="24"/>
              </w:rPr>
            </w:pPr>
            <w:r>
              <w:rPr>
                <w:rFonts w:hint="eastAsia" w:ascii="宋体" w:hAnsi="宋体"/>
                <w:kern w:val="0"/>
                <w:sz w:val="24"/>
              </w:rPr>
              <w:t>经济林改生态林</w:t>
            </w:r>
          </w:p>
        </w:tc>
        <w:tc>
          <w:tcPr>
            <w:tcW w:w="1984" w:type="dxa"/>
            <w:tcBorders>
              <w:top w:val="nil"/>
              <w:left w:val="nil"/>
              <w:bottom w:val="single" w:color="auto" w:sz="4" w:space="0"/>
              <w:right w:val="single" w:color="auto" w:sz="4" w:space="0"/>
            </w:tcBorders>
            <w:vAlign w:val="center"/>
          </w:tcPr>
          <w:p w14:paraId="56978431">
            <w:pPr>
              <w:widowControl/>
              <w:jc w:val="center"/>
              <w:rPr>
                <w:kern w:val="0"/>
                <w:sz w:val="24"/>
              </w:rPr>
            </w:pPr>
            <w:r>
              <w:rPr>
                <w:kern w:val="0"/>
                <w:sz w:val="24"/>
              </w:rPr>
              <w:t>—</w:t>
            </w:r>
          </w:p>
        </w:tc>
        <w:tc>
          <w:tcPr>
            <w:tcW w:w="1236" w:type="dxa"/>
            <w:tcBorders>
              <w:top w:val="nil"/>
              <w:left w:val="nil"/>
              <w:bottom w:val="single" w:color="auto" w:sz="4" w:space="0"/>
              <w:right w:val="single" w:color="auto" w:sz="4" w:space="0"/>
            </w:tcBorders>
            <w:vAlign w:val="center"/>
          </w:tcPr>
          <w:p w14:paraId="0DB7420B">
            <w:pPr>
              <w:widowControl/>
              <w:jc w:val="center"/>
              <w:rPr>
                <w:kern w:val="0"/>
                <w:sz w:val="24"/>
              </w:rPr>
            </w:pPr>
            <w:r>
              <w:rPr>
                <w:kern w:val="0"/>
                <w:sz w:val="24"/>
              </w:rPr>
              <w:t>300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4A6D453C">
            <w:pPr>
              <w:widowControl/>
              <w:jc w:val="center"/>
              <w:rPr>
                <w:kern w:val="0"/>
                <w:sz w:val="24"/>
              </w:rPr>
            </w:pPr>
            <w:r>
              <w:rPr>
                <w:kern w:val="0"/>
                <w:sz w:val="24"/>
              </w:rPr>
              <w:t>42000</w:t>
            </w:r>
          </w:p>
        </w:tc>
        <w:tc>
          <w:tcPr>
            <w:tcW w:w="1559" w:type="dxa"/>
            <w:tcBorders>
              <w:top w:val="nil"/>
              <w:left w:val="nil"/>
              <w:bottom w:val="single" w:color="auto" w:sz="4" w:space="0"/>
              <w:right w:val="single" w:color="auto" w:sz="4" w:space="0"/>
            </w:tcBorders>
            <w:vAlign w:val="center"/>
          </w:tcPr>
          <w:p w14:paraId="5D05F333">
            <w:pPr>
              <w:widowControl/>
              <w:jc w:val="center"/>
              <w:rPr>
                <w:kern w:val="0"/>
                <w:sz w:val="24"/>
              </w:rPr>
            </w:pPr>
            <w:r>
              <w:rPr>
                <w:kern w:val="0"/>
                <w:sz w:val="24"/>
              </w:rPr>
              <w:t>15750</w:t>
            </w:r>
          </w:p>
        </w:tc>
        <w:tc>
          <w:tcPr>
            <w:tcW w:w="1559" w:type="dxa"/>
            <w:tcBorders>
              <w:top w:val="nil"/>
              <w:left w:val="nil"/>
              <w:bottom w:val="single" w:color="auto" w:sz="4" w:space="0"/>
              <w:right w:val="single" w:color="auto" w:sz="4" w:space="0"/>
            </w:tcBorders>
            <w:vAlign w:val="center"/>
          </w:tcPr>
          <w:p w14:paraId="484FD4A7">
            <w:pPr>
              <w:widowControl/>
              <w:jc w:val="center"/>
              <w:rPr>
                <w:kern w:val="0"/>
                <w:sz w:val="24"/>
              </w:rPr>
            </w:pPr>
            <w:r>
              <w:rPr>
                <w:kern w:val="0"/>
                <w:sz w:val="24"/>
              </w:rPr>
              <w:t>26250</w:t>
            </w:r>
          </w:p>
        </w:tc>
        <w:tc>
          <w:tcPr>
            <w:tcW w:w="1276" w:type="dxa"/>
            <w:tcBorders>
              <w:top w:val="nil"/>
              <w:left w:val="nil"/>
              <w:bottom w:val="single" w:color="auto" w:sz="4" w:space="0"/>
              <w:right w:val="single" w:color="auto" w:sz="4" w:space="0"/>
            </w:tcBorders>
            <w:vAlign w:val="center"/>
          </w:tcPr>
          <w:p w14:paraId="399DDE70">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786B4B5F">
            <w:pPr>
              <w:widowControl/>
              <w:jc w:val="center"/>
              <w:rPr>
                <w:b/>
                <w:bCs/>
                <w:kern w:val="0"/>
                <w:sz w:val="24"/>
              </w:rPr>
            </w:pPr>
            <w:r>
              <w:rPr>
                <w:b/>
                <w:bCs/>
                <w:kern w:val="0"/>
                <w:sz w:val="24"/>
              </w:rPr>
              <w:t>　</w:t>
            </w:r>
          </w:p>
        </w:tc>
      </w:tr>
      <w:tr w14:paraId="30384D4A">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34C8E1B7">
            <w:pPr>
              <w:widowControl/>
              <w:jc w:val="center"/>
              <w:rPr>
                <w:b/>
                <w:bCs/>
                <w:kern w:val="0"/>
                <w:sz w:val="24"/>
              </w:rPr>
            </w:pPr>
            <w:r>
              <w:rPr>
                <w:b/>
                <w:bCs/>
                <w:kern w:val="0"/>
                <w:sz w:val="24"/>
              </w:rPr>
              <w:t>4.4</w:t>
            </w:r>
          </w:p>
        </w:tc>
        <w:tc>
          <w:tcPr>
            <w:tcW w:w="3128" w:type="dxa"/>
            <w:tcBorders>
              <w:top w:val="nil"/>
              <w:left w:val="nil"/>
              <w:bottom w:val="single" w:color="auto" w:sz="4" w:space="0"/>
              <w:right w:val="single" w:color="auto" w:sz="4" w:space="0"/>
            </w:tcBorders>
            <w:vAlign w:val="center"/>
          </w:tcPr>
          <w:p w14:paraId="198805F2">
            <w:pPr>
              <w:widowControl/>
              <w:jc w:val="left"/>
              <w:rPr>
                <w:rFonts w:ascii="宋体" w:hAnsi="宋体" w:cs="宋体"/>
                <w:b/>
                <w:bCs/>
                <w:kern w:val="0"/>
                <w:sz w:val="24"/>
              </w:rPr>
            </w:pPr>
            <w:r>
              <w:rPr>
                <w:rFonts w:hint="eastAsia" w:ascii="宋体" w:hAnsi="宋体" w:cs="宋体"/>
                <w:b/>
                <w:bCs/>
                <w:kern w:val="0"/>
                <w:sz w:val="24"/>
              </w:rPr>
              <w:t>经济林产品深加工工程</w:t>
            </w:r>
          </w:p>
        </w:tc>
        <w:tc>
          <w:tcPr>
            <w:tcW w:w="1984" w:type="dxa"/>
            <w:tcBorders>
              <w:top w:val="nil"/>
              <w:left w:val="nil"/>
              <w:bottom w:val="single" w:color="auto" w:sz="4" w:space="0"/>
              <w:right w:val="single" w:color="auto" w:sz="4" w:space="0"/>
            </w:tcBorders>
            <w:vAlign w:val="center"/>
          </w:tcPr>
          <w:p w14:paraId="1258CDF0">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73E12C6D">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2072534D">
            <w:pPr>
              <w:widowControl/>
              <w:jc w:val="center"/>
              <w:rPr>
                <w:b/>
                <w:bCs/>
                <w:kern w:val="0"/>
                <w:sz w:val="24"/>
              </w:rPr>
            </w:pPr>
            <w:r>
              <w:rPr>
                <w:b/>
                <w:bCs/>
                <w:kern w:val="0"/>
                <w:sz w:val="24"/>
              </w:rPr>
              <w:t>19000</w:t>
            </w:r>
          </w:p>
        </w:tc>
        <w:tc>
          <w:tcPr>
            <w:tcW w:w="1559" w:type="dxa"/>
            <w:tcBorders>
              <w:top w:val="nil"/>
              <w:left w:val="nil"/>
              <w:bottom w:val="single" w:color="auto" w:sz="4" w:space="0"/>
              <w:right w:val="single" w:color="auto" w:sz="4" w:space="0"/>
            </w:tcBorders>
            <w:vAlign w:val="center"/>
          </w:tcPr>
          <w:p w14:paraId="5CF274A2">
            <w:pPr>
              <w:widowControl/>
              <w:jc w:val="center"/>
              <w:rPr>
                <w:b/>
                <w:bCs/>
                <w:kern w:val="0"/>
                <w:sz w:val="24"/>
              </w:rPr>
            </w:pPr>
            <w:r>
              <w:rPr>
                <w:b/>
                <w:bCs/>
                <w:kern w:val="0"/>
                <w:sz w:val="24"/>
              </w:rPr>
              <w:t>15000</w:t>
            </w:r>
          </w:p>
        </w:tc>
        <w:tc>
          <w:tcPr>
            <w:tcW w:w="1559" w:type="dxa"/>
            <w:tcBorders>
              <w:top w:val="nil"/>
              <w:left w:val="nil"/>
              <w:bottom w:val="single" w:color="auto" w:sz="4" w:space="0"/>
              <w:right w:val="single" w:color="auto" w:sz="4" w:space="0"/>
            </w:tcBorders>
            <w:vAlign w:val="center"/>
          </w:tcPr>
          <w:p w14:paraId="5C714583">
            <w:pPr>
              <w:widowControl/>
              <w:jc w:val="center"/>
              <w:rPr>
                <w:b/>
                <w:bCs/>
                <w:kern w:val="0"/>
                <w:sz w:val="24"/>
              </w:rPr>
            </w:pPr>
            <w:r>
              <w:rPr>
                <w:b/>
                <w:bCs/>
                <w:kern w:val="0"/>
                <w:sz w:val="24"/>
              </w:rPr>
              <w:t>4000</w:t>
            </w:r>
          </w:p>
        </w:tc>
        <w:tc>
          <w:tcPr>
            <w:tcW w:w="1276" w:type="dxa"/>
            <w:tcBorders>
              <w:top w:val="nil"/>
              <w:left w:val="nil"/>
              <w:bottom w:val="single" w:color="auto" w:sz="4" w:space="0"/>
              <w:right w:val="single" w:color="auto" w:sz="4" w:space="0"/>
            </w:tcBorders>
            <w:vAlign w:val="center"/>
          </w:tcPr>
          <w:p w14:paraId="0084AA8E">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7C8FB5A4">
            <w:pPr>
              <w:widowControl/>
              <w:jc w:val="center"/>
              <w:rPr>
                <w:b/>
                <w:bCs/>
                <w:kern w:val="0"/>
                <w:sz w:val="24"/>
              </w:rPr>
            </w:pPr>
            <w:r>
              <w:rPr>
                <w:b/>
                <w:bCs/>
                <w:kern w:val="0"/>
                <w:sz w:val="24"/>
              </w:rPr>
              <w:t>　</w:t>
            </w:r>
          </w:p>
        </w:tc>
      </w:tr>
      <w:tr w14:paraId="0F6EEE61">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7AF9E6DF">
            <w:pPr>
              <w:widowControl/>
              <w:jc w:val="center"/>
              <w:rPr>
                <w:kern w:val="0"/>
                <w:sz w:val="24"/>
              </w:rPr>
            </w:pPr>
            <w:r>
              <w:rPr>
                <w:kern w:val="0"/>
                <w:sz w:val="24"/>
              </w:rPr>
              <w:t>4.4.1</w:t>
            </w:r>
          </w:p>
        </w:tc>
        <w:tc>
          <w:tcPr>
            <w:tcW w:w="3128" w:type="dxa"/>
            <w:tcBorders>
              <w:top w:val="nil"/>
              <w:left w:val="nil"/>
              <w:bottom w:val="single" w:color="auto" w:sz="4" w:space="0"/>
              <w:right w:val="single" w:color="auto" w:sz="4" w:space="0"/>
            </w:tcBorders>
            <w:vAlign w:val="center"/>
          </w:tcPr>
          <w:p w14:paraId="601AF4CB">
            <w:pPr>
              <w:widowControl/>
              <w:jc w:val="left"/>
              <w:rPr>
                <w:kern w:val="0"/>
                <w:sz w:val="24"/>
              </w:rPr>
            </w:pPr>
            <w:r>
              <w:rPr>
                <w:rFonts w:hint="eastAsia" w:ascii="宋体" w:hAnsi="宋体"/>
                <w:kern w:val="0"/>
                <w:sz w:val="24"/>
              </w:rPr>
              <w:t>经济林产品深加工</w:t>
            </w:r>
          </w:p>
        </w:tc>
        <w:tc>
          <w:tcPr>
            <w:tcW w:w="1984" w:type="dxa"/>
            <w:tcBorders>
              <w:top w:val="nil"/>
              <w:left w:val="nil"/>
              <w:bottom w:val="single" w:color="auto" w:sz="4" w:space="0"/>
              <w:right w:val="single" w:color="auto" w:sz="4" w:space="0"/>
            </w:tcBorders>
            <w:vAlign w:val="center"/>
          </w:tcPr>
          <w:p w14:paraId="052DEC49">
            <w:pPr>
              <w:widowControl/>
              <w:jc w:val="center"/>
              <w:rPr>
                <w:kern w:val="0"/>
                <w:sz w:val="24"/>
              </w:rPr>
            </w:pPr>
            <w:r>
              <w:rPr>
                <w:kern w:val="0"/>
                <w:sz w:val="24"/>
              </w:rPr>
              <w:t>—</w:t>
            </w:r>
          </w:p>
        </w:tc>
        <w:tc>
          <w:tcPr>
            <w:tcW w:w="1236" w:type="dxa"/>
            <w:tcBorders>
              <w:top w:val="nil"/>
              <w:left w:val="nil"/>
              <w:bottom w:val="single" w:color="auto" w:sz="4" w:space="0"/>
              <w:right w:val="single" w:color="auto" w:sz="4" w:space="0"/>
            </w:tcBorders>
            <w:vAlign w:val="center"/>
          </w:tcPr>
          <w:p w14:paraId="4DCE6C82">
            <w:pPr>
              <w:widowControl/>
              <w:jc w:val="center"/>
              <w:rPr>
                <w:kern w:val="0"/>
                <w:sz w:val="24"/>
              </w:rPr>
            </w:pPr>
            <w:r>
              <w:rPr>
                <w:kern w:val="0"/>
                <w:sz w:val="24"/>
              </w:rPr>
              <w:t>8</w:t>
            </w:r>
            <w:r>
              <w:rPr>
                <w:rFonts w:hint="eastAsia" w:ascii="宋体" w:hAnsi="宋体"/>
                <w:kern w:val="0"/>
                <w:sz w:val="24"/>
              </w:rPr>
              <w:t>处</w:t>
            </w:r>
          </w:p>
        </w:tc>
        <w:tc>
          <w:tcPr>
            <w:tcW w:w="1701" w:type="dxa"/>
            <w:tcBorders>
              <w:top w:val="nil"/>
              <w:left w:val="nil"/>
              <w:bottom w:val="single" w:color="auto" w:sz="4" w:space="0"/>
              <w:right w:val="single" w:color="auto" w:sz="4" w:space="0"/>
            </w:tcBorders>
            <w:vAlign w:val="center"/>
          </w:tcPr>
          <w:p w14:paraId="032595B7">
            <w:pPr>
              <w:widowControl/>
              <w:jc w:val="center"/>
              <w:rPr>
                <w:kern w:val="0"/>
                <w:sz w:val="24"/>
              </w:rPr>
            </w:pPr>
            <w:r>
              <w:rPr>
                <w:kern w:val="0"/>
                <w:sz w:val="24"/>
              </w:rPr>
              <w:t>19000</w:t>
            </w:r>
          </w:p>
        </w:tc>
        <w:tc>
          <w:tcPr>
            <w:tcW w:w="1559" w:type="dxa"/>
            <w:tcBorders>
              <w:top w:val="nil"/>
              <w:left w:val="nil"/>
              <w:bottom w:val="single" w:color="auto" w:sz="4" w:space="0"/>
              <w:right w:val="single" w:color="auto" w:sz="4" w:space="0"/>
            </w:tcBorders>
            <w:vAlign w:val="center"/>
          </w:tcPr>
          <w:p w14:paraId="53ED42D4">
            <w:pPr>
              <w:widowControl/>
              <w:jc w:val="center"/>
              <w:rPr>
                <w:kern w:val="0"/>
                <w:sz w:val="24"/>
              </w:rPr>
            </w:pPr>
            <w:r>
              <w:rPr>
                <w:kern w:val="0"/>
                <w:sz w:val="24"/>
              </w:rPr>
              <w:t>15000</w:t>
            </w:r>
          </w:p>
        </w:tc>
        <w:tc>
          <w:tcPr>
            <w:tcW w:w="1559" w:type="dxa"/>
            <w:tcBorders>
              <w:top w:val="nil"/>
              <w:left w:val="nil"/>
              <w:bottom w:val="single" w:color="auto" w:sz="4" w:space="0"/>
              <w:right w:val="single" w:color="auto" w:sz="4" w:space="0"/>
            </w:tcBorders>
            <w:vAlign w:val="center"/>
          </w:tcPr>
          <w:p w14:paraId="5029A572">
            <w:pPr>
              <w:widowControl/>
              <w:jc w:val="center"/>
              <w:rPr>
                <w:kern w:val="0"/>
                <w:sz w:val="24"/>
              </w:rPr>
            </w:pPr>
            <w:r>
              <w:rPr>
                <w:kern w:val="0"/>
                <w:sz w:val="24"/>
              </w:rPr>
              <w:t>4000</w:t>
            </w:r>
          </w:p>
        </w:tc>
        <w:tc>
          <w:tcPr>
            <w:tcW w:w="1276" w:type="dxa"/>
            <w:tcBorders>
              <w:top w:val="nil"/>
              <w:left w:val="nil"/>
              <w:bottom w:val="single" w:color="auto" w:sz="4" w:space="0"/>
              <w:right w:val="single" w:color="auto" w:sz="4" w:space="0"/>
            </w:tcBorders>
            <w:vAlign w:val="center"/>
          </w:tcPr>
          <w:p w14:paraId="68BCDC81">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306435C1">
            <w:pPr>
              <w:widowControl/>
              <w:jc w:val="center"/>
              <w:rPr>
                <w:b/>
                <w:bCs/>
                <w:kern w:val="0"/>
                <w:sz w:val="24"/>
              </w:rPr>
            </w:pPr>
            <w:r>
              <w:rPr>
                <w:b/>
                <w:bCs/>
                <w:kern w:val="0"/>
                <w:sz w:val="24"/>
              </w:rPr>
              <w:t>　</w:t>
            </w:r>
          </w:p>
        </w:tc>
      </w:tr>
      <w:tr w14:paraId="67DCB6E6">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DBBBABC">
            <w:pPr>
              <w:widowControl/>
              <w:jc w:val="center"/>
              <w:rPr>
                <w:b/>
                <w:bCs/>
                <w:kern w:val="0"/>
                <w:sz w:val="24"/>
              </w:rPr>
            </w:pPr>
            <w:r>
              <w:rPr>
                <w:b/>
                <w:bCs/>
                <w:kern w:val="0"/>
                <w:sz w:val="24"/>
              </w:rPr>
              <w:t>4.5</w:t>
            </w:r>
          </w:p>
        </w:tc>
        <w:tc>
          <w:tcPr>
            <w:tcW w:w="3128" w:type="dxa"/>
            <w:tcBorders>
              <w:top w:val="nil"/>
              <w:left w:val="nil"/>
              <w:bottom w:val="single" w:color="auto" w:sz="4" w:space="0"/>
              <w:right w:val="single" w:color="auto" w:sz="4" w:space="0"/>
            </w:tcBorders>
            <w:vAlign w:val="center"/>
          </w:tcPr>
          <w:p w14:paraId="15F77A51">
            <w:pPr>
              <w:widowControl/>
              <w:jc w:val="left"/>
              <w:rPr>
                <w:rFonts w:ascii="宋体" w:hAnsi="宋体" w:cs="宋体"/>
                <w:b/>
                <w:bCs/>
                <w:kern w:val="0"/>
                <w:sz w:val="24"/>
              </w:rPr>
            </w:pPr>
            <w:r>
              <w:rPr>
                <w:rFonts w:hint="eastAsia" w:ascii="宋体" w:hAnsi="宋体" w:cs="宋体"/>
                <w:b/>
                <w:bCs/>
                <w:kern w:val="0"/>
                <w:sz w:val="24"/>
              </w:rPr>
              <w:t>特色热带水果示范园建设工程</w:t>
            </w:r>
          </w:p>
        </w:tc>
        <w:tc>
          <w:tcPr>
            <w:tcW w:w="1984" w:type="dxa"/>
            <w:tcBorders>
              <w:top w:val="nil"/>
              <w:left w:val="nil"/>
              <w:bottom w:val="single" w:color="auto" w:sz="4" w:space="0"/>
              <w:right w:val="single" w:color="auto" w:sz="4" w:space="0"/>
            </w:tcBorders>
            <w:vAlign w:val="center"/>
          </w:tcPr>
          <w:p w14:paraId="521C3BDC">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203136DF">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1B12DB96">
            <w:pPr>
              <w:widowControl/>
              <w:jc w:val="center"/>
              <w:rPr>
                <w:b/>
                <w:bCs/>
                <w:kern w:val="0"/>
                <w:sz w:val="24"/>
              </w:rPr>
            </w:pPr>
            <w:r>
              <w:rPr>
                <w:b/>
                <w:bCs/>
                <w:kern w:val="0"/>
                <w:sz w:val="24"/>
              </w:rPr>
              <w:t>5000</w:t>
            </w:r>
          </w:p>
        </w:tc>
        <w:tc>
          <w:tcPr>
            <w:tcW w:w="1559" w:type="dxa"/>
            <w:tcBorders>
              <w:top w:val="nil"/>
              <w:left w:val="nil"/>
              <w:bottom w:val="single" w:color="auto" w:sz="4" w:space="0"/>
              <w:right w:val="single" w:color="auto" w:sz="4" w:space="0"/>
            </w:tcBorders>
            <w:vAlign w:val="center"/>
          </w:tcPr>
          <w:p w14:paraId="3D7EC36A">
            <w:pPr>
              <w:widowControl/>
              <w:jc w:val="center"/>
              <w:rPr>
                <w:b/>
                <w:bCs/>
                <w:kern w:val="0"/>
                <w:sz w:val="24"/>
              </w:rPr>
            </w:pPr>
            <w:r>
              <w:rPr>
                <w:b/>
                <w:bCs/>
                <w:kern w:val="0"/>
                <w:sz w:val="24"/>
              </w:rPr>
              <w:t>5000</w:t>
            </w:r>
          </w:p>
        </w:tc>
        <w:tc>
          <w:tcPr>
            <w:tcW w:w="1559" w:type="dxa"/>
            <w:tcBorders>
              <w:top w:val="nil"/>
              <w:left w:val="nil"/>
              <w:bottom w:val="single" w:color="auto" w:sz="4" w:space="0"/>
              <w:right w:val="single" w:color="auto" w:sz="4" w:space="0"/>
            </w:tcBorders>
            <w:vAlign w:val="center"/>
          </w:tcPr>
          <w:p w14:paraId="431B7CA5">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10899631">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09539DE3">
            <w:pPr>
              <w:widowControl/>
              <w:jc w:val="center"/>
              <w:rPr>
                <w:b/>
                <w:bCs/>
                <w:kern w:val="0"/>
                <w:sz w:val="24"/>
              </w:rPr>
            </w:pPr>
            <w:r>
              <w:rPr>
                <w:b/>
                <w:bCs/>
                <w:kern w:val="0"/>
                <w:sz w:val="24"/>
              </w:rPr>
              <w:t>　</w:t>
            </w:r>
          </w:p>
        </w:tc>
      </w:tr>
      <w:tr w14:paraId="2191B44A">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1961808E">
            <w:pPr>
              <w:widowControl/>
              <w:jc w:val="center"/>
              <w:rPr>
                <w:kern w:val="0"/>
                <w:sz w:val="24"/>
              </w:rPr>
            </w:pPr>
            <w:r>
              <w:rPr>
                <w:kern w:val="0"/>
                <w:sz w:val="24"/>
              </w:rPr>
              <w:t>4.5.1</w:t>
            </w:r>
          </w:p>
        </w:tc>
        <w:tc>
          <w:tcPr>
            <w:tcW w:w="3128" w:type="dxa"/>
            <w:tcBorders>
              <w:top w:val="nil"/>
              <w:left w:val="nil"/>
              <w:bottom w:val="single" w:color="auto" w:sz="4" w:space="0"/>
              <w:right w:val="single" w:color="auto" w:sz="4" w:space="0"/>
            </w:tcBorders>
            <w:vAlign w:val="center"/>
          </w:tcPr>
          <w:p w14:paraId="4C8D89BF">
            <w:pPr>
              <w:widowControl/>
              <w:jc w:val="left"/>
              <w:rPr>
                <w:kern w:val="0"/>
                <w:sz w:val="24"/>
              </w:rPr>
            </w:pPr>
            <w:r>
              <w:rPr>
                <w:rFonts w:hint="eastAsia" w:ascii="宋体" w:hAnsi="宋体"/>
                <w:kern w:val="0"/>
                <w:sz w:val="24"/>
              </w:rPr>
              <w:t>特色热带水果示范园</w:t>
            </w:r>
          </w:p>
        </w:tc>
        <w:tc>
          <w:tcPr>
            <w:tcW w:w="1984" w:type="dxa"/>
            <w:tcBorders>
              <w:top w:val="nil"/>
              <w:left w:val="nil"/>
              <w:bottom w:val="single" w:color="auto" w:sz="4" w:space="0"/>
              <w:right w:val="single" w:color="auto" w:sz="4" w:space="0"/>
            </w:tcBorders>
            <w:vAlign w:val="center"/>
          </w:tcPr>
          <w:p w14:paraId="6CEA4D22">
            <w:pPr>
              <w:widowControl/>
              <w:jc w:val="center"/>
              <w:rPr>
                <w:rFonts w:ascii="宋体" w:hAnsi="宋体" w:cs="宋体"/>
                <w:kern w:val="0"/>
                <w:sz w:val="24"/>
              </w:rPr>
            </w:pPr>
            <w:r>
              <w:rPr>
                <w:rFonts w:hint="eastAsia" w:ascii="宋体" w:hAnsi="宋体" w:cs="宋体"/>
                <w:kern w:val="0"/>
                <w:sz w:val="24"/>
              </w:rPr>
              <w:t>崖州区、天涯区</w:t>
            </w:r>
          </w:p>
        </w:tc>
        <w:tc>
          <w:tcPr>
            <w:tcW w:w="1236" w:type="dxa"/>
            <w:tcBorders>
              <w:top w:val="nil"/>
              <w:left w:val="nil"/>
              <w:bottom w:val="single" w:color="auto" w:sz="4" w:space="0"/>
              <w:right w:val="single" w:color="auto" w:sz="4" w:space="0"/>
            </w:tcBorders>
            <w:vAlign w:val="center"/>
          </w:tcPr>
          <w:p w14:paraId="739E0F01">
            <w:pPr>
              <w:widowControl/>
              <w:jc w:val="center"/>
              <w:rPr>
                <w:kern w:val="0"/>
                <w:sz w:val="24"/>
              </w:rPr>
            </w:pPr>
            <w:r>
              <w:rPr>
                <w:kern w:val="0"/>
                <w:sz w:val="24"/>
              </w:rPr>
              <w:t>2</w:t>
            </w:r>
            <w:r>
              <w:rPr>
                <w:rFonts w:hint="eastAsia" w:ascii="宋体" w:hAnsi="宋体"/>
                <w:kern w:val="0"/>
                <w:sz w:val="24"/>
              </w:rPr>
              <w:t>处</w:t>
            </w:r>
          </w:p>
        </w:tc>
        <w:tc>
          <w:tcPr>
            <w:tcW w:w="1701" w:type="dxa"/>
            <w:tcBorders>
              <w:top w:val="nil"/>
              <w:left w:val="nil"/>
              <w:bottom w:val="single" w:color="auto" w:sz="4" w:space="0"/>
              <w:right w:val="single" w:color="auto" w:sz="4" w:space="0"/>
            </w:tcBorders>
            <w:vAlign w:val="center"/>
          </w:tcPr>
          <w:p w14:paraId="11B28ABC">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0980FB08">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342B263E">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7666E52C">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6472C237">
            <w:pPr>
              <w:widowControl/>
              <w:jc w:val="center"/>
              <w:rPr>
                <w:b/>
                <w:bCs/>
                <w:kern w:val="0"/>
                <w:sz w:val="24"/>
              </w:rPr>
            </w:pPr>
            <w:r>
              <w:rPr>
                <w:b/>
                <w:bCs/>
                <w:kern w:val="0"/>
                <w:sz w:val="24"/>
              </w:rPr>
              <w:t>　</w:t>
            </w:r>
          </w:p>
        </w:tc>
      </w:tr>
      <w:tr w14:paraId="3EEDF2E3">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DBE3B78">
            <w:pPr>
              <w:widowControl/>
              <w:jc w:val="center"/>
              <w:rPr>
                <w:b/>
                <w:bCs/>
                <w:kern w:val="0"/>
                <w:sz w:val="24"/>
              </w:rPr>
            </w:pPr>
            <w:r>
              <w:rPr>
                <w:b/>
                <w:bCs/>
                <w:kern w:val="0"/>
                <w:sz w:val="24"/>
              </w:rPr>
              <w:t>4.6</w:t>
            </w:r>
          </w:p>
        </w:tc>
        <w:tc>
          <w:tcPr>
            <w:tcW w:w="3128" w:type="dxa"/>
            <w:tcBorders>
              <w:top w:val="nil"/>
              <w:left w:val="nil"/>
              <w:bottom w:val="single" w:color="auto" w:sz="4" w:space="0"/>
              <w:right w:val="single" w:color="auto" w:sz="4" w:space="0"/>
            </w:tcBorders>
            <w:vAlign w:val="center"/>
          </w:tcPr>
          <w:p w14:paraId="35FC5A76">
            <w:pPr>
              <w:widowControl/>
              <w:jc w:val="left"/>
              <w:rPr>
                <w:rFonts w:ascii="宋体" w:hAnsi="宋体" w:cs="宋体"/>
                <w:b/>
                <w:bCs/>
                <w:kern w:val="0"/>
                <w:sz w:val="24"/>
              </w:rPr>
            </w:pPr>
            <w:r>
              <w:rPr>
                <w:rFonts w:hint="eastAsia" w:ascii="宋体" w:hAnsi="宋体" w:cs="宋体"/>
                <w:b/>
                <w:bCs/>
                <w:kern w:val="0"/>
                <w:sz w:val="24"/>
              </w:rPr>
              <w:t>深化一二三产业融合工程</w:t>
            </w:r>
          </w:p>
        </w:tc>
        <w:tc>
          <w:tcPr>
            <w:tcW w:w="1984" w:type="dxa"/>
            <w:tcBorders>
              <w:top w:val="nil"/>
              <w:left w:val="nil"/>
              <w:bottom w:val="single" w:color="auto" w:sz="4" w:space="0"/>
              <w:right w:val="single" w:color="auto" w:sz="4" w:space="0"/>
            </w:tcBorders>
            <w:vAlign w:val="center"/>
          </w:tcPr>
          <w:p w14:paraId="2D27420D">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561DB6C0">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4CF8CF46">
            <w:pPr>
              <w:widowControl/>
              <w:jc w:val="center"/>
              <w:rPr>
                <w:b/>
                <w:bCs/>
                <w:kern w:val="0"/>
                <w:sz w:val="24"/>
              </w:rPr>
            </w:pPr>
            <w:r>
              <w:rPr>
                <w:b/>
                <w:bCs/>
                <w:kern w:val="0"/>
                <w:sz w:val="24"/>
              </w:rPr>
              <w:t>7000</w:t>
            </w:r>
          </w:p>
        </w:tc>
        <w:tc>
          <w:tcPr>
            <w:tcW w:w="1559" w:type="dxa"/>
            <w:tcBorders>
              <w:top w:val="nil"/>
              <w:left w:val="nil"/>
              <w:bottom w:val="single" w:color="auto" w:sz="4" w:space="0"/>
              <w:right w:val="single" w:color="auto" w:sz="4" w:space="0"/>
            </w:tcBorders>
            <w:vAlign w:val="center"/>
          </w:tcPr>
          <w:p w14:paraId="00347D03">
            <w:pPr>
              <w:widowControl/>
              <w:jc w:val="center"/>
              <w:rPr>
                <w:b/>
                <w:bCs/>
                <w:kern w:val="0"/>
                <w:sz w:val="24"/>
              </w:rPr>
            </w:pPr>
            <w:r>
              <w:rPr>
                <w:b/>
                <w:bCs/>
                <w:kern w:val="0"/>
                <w:sz w:val="24"/>
              </w:rPr>
              <w:t>7000</w:t>
            </w:r>
          </w:p>
        </w:tc>
        <w:tc>
          <w:tcPr>
            <w:tcW w:w="1559" w:type="dxa"/>
            <w:tcBorders>
              <w:top w:val="nil"/>
              <w:left w:val="nil"/>
              <w:bottom w:val="single" w:color="auto" w:sz="4" w:space="0"/>
              <w:right w:val="single" w:color="auto" w:sz="4" w:space="0"/>
            </w:tcBorders>
            <w:vAlign w:val="center"/>
          </w:tcPr>
          <w:p w14:paraId="78AC81A0">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0CF5D768">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4E557172">
            <w:pPr>
              <w:widowControl/>
              <w:jc w:val="center"/>
              <w:rPr>
                <w:b/>
                <w:bCs/>
                <w:kern w:val="0"/>
                <w:sz w:val="24"/>
              </w:rPr>
            </w:pPr>
            <w:r>
              <w:rPr>
                <w:b/>
                <w:bCs/>
                <w:kern w:val="0"/>
                <w:sz w:val="24"/>
              </w:rPr>
              <w:t>　</w:t>
            </w:r>
          </w:p>
        </w:tc>
      </w:tr>
      <w:tr w14:paraId="4F4CD3C7">
        <w:tblPrEx>
          <w:tblCellMar>
            <w:top w:w="0" w:type="dxa"/>
            <w:left w:w="108" w:type="dxa"/>
            <w:bottom w:w="0" w:type="dxa"/>
            <w:right w:w="108" w:type="dxa"/>
          </w:tblCellMar>
        </w:tblPrEx>
        <w:trPr>
          <w:cantSplit/>
          <w:trHeight w:val="570" w:hRule="atLeast"/>
        </w:trPr>
        <w:tc>
          <w:tcPr>
            <w:tcW w:w="1140" w:type="dxa"/>
            <w:tcBorders>
              <w:top w:val="single" w:color="auto" w:sz="4" w:space="0"/>
              <w:left w:val="single" w:color="auto" w:sz="4" w:space="0"/>
              <w:bottom w:val="single" w:color="auto" w:sz="4" w:space="0"/>
              <w:right w:val="single" w:color="auto" w:sz="4" w:space="0"/>
            </w:tcBorders>
            <w:vAlign w:val="center"/>
          </w:tcPr>
          <w:p w14:paraId="498BCB73">
            <w:pPr>
              <w:widowControl/>
              <w:jc w:val="center"/>
              <w:rPr>
                <w:kern w:val="0"/>
                <w:sz w:val="24"/>
              </w:rPr>
            </w:pPr>
            <w:r>
              <w:rPr>
                <w:kern w:val="0"/>
                <w:sz w:val="24"/>
              </w:rPr>
              <w:t>4.6.1</w:t>
            </w:r>
          </w:p>
        </w:tc>
        <w:tc>
          <w:tcPr>
            <w:tcW w:w="3128" w:type="dxa"/>
            <w:tcBorders>
              <w:top w:val="single" w:color="auto" w:sz="4" w:space="0"/>
              <w:left w:val="nil"/>
              <w:bottom w:val="single" w:color="auto" w:sz="4" w:space="0"/>
              <w:right w:val="single" w:color="auto" w:sz="4" w:space="0"/>
            </w:tcBorders>
            <w:vAlign w:val="center"/>
          </w:tcPr>
          <w:p w14:paraId="1308E494">
            <w:pPr>
              <w:widowControl/>
              <w:jc w:val="left"/>
              <w:rPr>
                <w:kern w:val="0"/>
                <w:sz w:val="24"/>
              </w:rPr>
            </w:pPr>
            <w:r>
              <w:rPr>
                <w:rFonts w:hint="eastAsia" w:ascii="宋体" w:hAnsi="宋体"/>
                <w:kern w:val="0"/>
                <w:sz w:val="24"/>
              </w:rPr>
              <w:t>深化一二三产业融合工程</w:t>
            </w:r>
          </w:p>
        </w:tc>
        <w:tc>
          <w:tcPr>
            <w:tcW w:w="1984" w:type="dxa"/>
            <w:tcBorders>
              <w:top w:val="single" w:color="auto" w:sz="4" w:space="0"/>
              <w:left w:val="nil"/>
              <w:bottom w:val="single" w:color="auto" w:sz="4" w:space="0"/>
              <w:right w:val="single" w:color="auto" w:sz="4" w:space="0"/>
            </w:tcBorders>
            <w:vAlign w:val="center"/>
          </w:tcPr>
          <w:p w14:paraId="5735C786">
            <w:pPr>
              <w:widowControl/>
              <w:jc w:val="center"/>
              <w:rPr>
                <w:kern w:val="0"/>
                <w:sz w:val="24"/>
              </w:rPr>
            </w:pPr>
            <w:r>
              <w:rPr>
                <w:kern w:val="0"/>
                <w:sz w:val="24"/>
              </w:rPr>
              <w:t>—</w:t>
            </w:r>
          </w:p>
        </w:tc>
        <w:tc>
          <w:tcPr>
            <w:tcW w:w="1236" w:type="dxa"/>
            <w:tcBorders>
              <w:top w:val="single" w:color="auto" w:sz="4" w:space="0"/>
              <w:left w:val="nil"/>
              <w:bottom w:val="single" w:color="auto" w:sz="4" w:space="0"/>
              <w:right w:val="single" w:color="auto" w:sz="4" w:space="0"/>
            </w:tcBorders>
            <w:vAlign w:val="center"/>
          </w:tcPr>
          <w:p w14:paraId="45343DA4">
            <w:pPr>
              <w:widowControl/>
              <w:jc w:val="center"/>
              <w:rPr>
                <w:kern w:val="0"/>
                <w:sz w:val="24"/>
              </w:rPr>
            </w:pPr>
            <w:r>
              <w:rPr>
                <w:kern w:val="0"/>
                <w:sz w:val="24"/>
              </w:rPr>
              <w:t>—</w:t>
            </w:r>
          </w:p>
        </w:tc>
        <w:tc>
          <w:tcPr>
            <w:tcW w:w="1701" w:type="dxa"/>
            <w:tcBorders>
              <w:top w:val="single" w:color="auto" w:sz="4" w:space="0"/>
              <w:left w:val="nil"/>
              <w:bottom w:val="single" w:color="auto" w:sz="4" w:space="0"/>
              <w:right w:val="single" w:color="auto" w:sz="4" w:space="0"/>
            </w:tcBorders>
            <w:vAlign w:val="center"/>
          </w:tcPr>
          <w:p w14:paraId="002D8DE1">
            <w:pPr>
              <w:widowControl/>
              <w:jc w:val="center"/>
              <w:rPr>
                <w:kern w:val="0"/>
                <w:sz w:val="24"/>
              </w:rPr>
            </w:pPr>
            <w:r>
              <w:rPr>
                <w:kern w:val="0"/>
                <w:sz w:val="24"/>
              </w:rPr>
              <w:t>7000</w:t>
            </w:r>
          </w:p>
        </w:tc>
        <w:tc>
          <w:tcPr>
            <w:tcW w:w="1559" w:type="dxa"/>
            <w:tcBorders>
              <w:top w:val="single" w:color="auto" w:sz="4" w:space="0"/>
              <w:left w:val="nil"/>
              <w:bottom w:val="single" w:color="auto" w:sz="4" w:space="0"/>
              <w:right w:val="single" w:color="auto" w:sz="4" w:space="0"/>
            </w:tcBorders>
            <w:vAlign w:val="center"/>
          </w:tcPr>
          <w:p w14:paraId="6EA8A749">
            <w:pPr>
              <w:widowControl/>
              <w:jc w:val="center"/>
              <w:rPr>
                <w:kern w:val="0"/>
                <w:sz w:val="24"/>
              </w:rPr>
            </w:pPr>
            <w:r>
              <w:rPr>
                <w:kern w:val="0"/>
                <w:sz w:val="24"/>
              </w:rPr>
              <w:t>7000</w:t>
            </w:r>
          </w:p>
        </w:tc>
        <w:tc>
          <w:tcPr>
            <w:tcW w:w="1559" w:type="dxa"/>
            <w:tcBorders>
              <w:top w:val="single" w:color="auto" w:sz="4" w:space="0"/>
              <w:left w:val="nil"/>
              <w:bottom w:val="single" w:color="auto" w:sz="4" w:space="0"/>
              <w:right w:val="single" w:color="auto" w:sz="4" w:space="0"/>
            </w:tcBorders>
            <w:vAlign w:val="center"/>
          </w:tcPr>
          <w:p w14:paraId="57267E5A">
            <w:pPr>
              <w:widowControl/>
              <w:jc w:val="center"/>
              <w:rPr>
                <w:kern w:val="0"/>
                <w:sz w:val="24"/>
              </w:rPr>
            </w:pPr>
            <w:r>
              <w:rPr>
                <w:kern w:val="0"/>
                <w:sz w:val="24"/>
              </w:rPr>
              <w:t>—</w:t>
            </w:r>
          </w:p>
        </w:tc>
        <w:tc>
          <w:tcPr>
            <w:tcW w:w="1276" w:type="dxa"/>
            <w:tcBorders>
              <w:top w:val="single" w:color="auto" w:sz="4" w:space="0"/>
              <w:left w:val="nil"/>
              <w:bottom w:val="single" w:color="auto" w:sz="4" w:space="0"/>
              <w:right w:val="single" w:color="auto" w:sz="4" w:space="0"/>
            </w:tcBorders>
            <w:vAlign w:val="center"/>
          </w:tcPr>
          <w:p w14:paraId="7ACA1B08">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single" w:color="auto" w:sz="4" w:space="0"/>
              <w:left w:val="nil"/>
              <w:bottom w:val="single" w:color="auto" w:sz="4" w:space="0"/>
              <w:right w:val="single" w:color="auto" w:sz="4" w:space="0"/>
            </w:tcBorders>
            <w:vAlign w:val="center"/>
          </w:tcPr>
          <w:p w14:paraId="367C0807">
            <w:pPr>
              <w:widowControl/>
              <w:jc w:val="center"/>
              <w:rPr>
                <w:b/>
                <w:bCs/>
                <w:kern w:val="0"/>
                <w:sz w:val="24"/>
              </w:rPr>
            </w:pPr>
            <w:r>
              <w:rPr>
                <w:b/>
                <w:bCs/>
                <w:kern w:val="0"/>
                <w:sz w:val="24"/>
              </w:rPr>
              <w:t>　</w:t>
            </w:r>
          </w:p>
        </w:tc>
      </w:tr>
      <w:tr w14:paraId="69ABFF79">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51654DF6">
            <w:pPr>
              <w:widowControl/>
              <w:jc w:val="center"/>
              <w:rPr>
                <w:rFonts w:ascii="宋体" w:hAnsi="宋体" w:cs="宋体"/>
                <w:b/>
                <w:bCs/>
                <w:kern w:val="0"/>
                <w:sz w:val="24"/>
              </w:rPr>
            </w:pPr>
            <w:r>
              <w:rPr>
                <w:rFonts w:hint="eastAsia" w:ascii="宋体" w:hAnsi="宋体" w:cs="宋体"/>
                <w:b/>
                <w:bCs/>
                <w:kern w:val="0"/>
                <w:sz w:val="24"/>
              </w:rPr>
              <w:t>五</w:t>
            </w:r>
          </w:p>
        </w:tc>
        <w:tc>
          <w:tcPr>
            <w:tcW w:w="3128" w:type="dxa"/>
            <w:tcBorders>
              <w:top w:val="nil"/>
              <w:left w:val="nil"/>
              <w:bottom w:val="single" w:color="auto" w:sz="4" w:space="0"/>
              <w:right w:val="single" w:color="auto" w:sz="4" w:space="0"/>
            </w:tcBorders>
            <w:vAlign w:val="center"/>
          </w:tcPr>
          <w:p w14:paraId="366CB9F3">
            <w:pPr>
              <w:widowControl/>
              <w:jc w:val="left"/>
              <w:rPr>
                <w:rFonts w:ascii="宋体" w:hAnsi="宋体" w:cs="宋体"/>
                <w:b/>
                <w:bCs/>
                <w:kern w:val="0"/>
                <w:sz w:val="24"/>
              </w:rPr>
            </w:pPr>
            <w:r>
              <w:rPr>
                <w:rFonts w:hint="eastAsia" w:ascii="宋体" w:hAnsi="宋体" w:cs="宋体"/>
                <w:b/>
                <w:bCs/>
                <w:kern w:val="0"/>
                <w:sz w:val="24"/>
              </w:rPr>
              <w:t>林下经济产业</w:t>
            </w:r>
          </w:p>
        </w:tc>
        <w:tc>
          <w:tcPr>
            <w:tcW w:w="1984" w:type="dxa"/>
            <w:tcBorders>
              <w:top w:val="nil"/>
              <w:left w:val="nil"/>
              <w:bottom w:val="single" w:color="auto" w:sz="4" w:space="0"/>
              <w:right w:val="single" w:color="auto" w:sz="4" w:space="0"/>
            </w:tcBorders>
            <w:vAlign w:val="center"/>
          </w:tcPr>
          <w:p w14:paraId="0426621E">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4F8ECD46">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3465CEFF">
            <w:pPr>
              <w:widowControl/>
              <w:jc w:val="center"/>
              <w:rPr>
                <w:b/>
                <w:bCs/>
                <w:kern w:val="0"/>
                <w:sz w:val="24"/>
              </w:rPr>
            </w:pPr>
            <w:r>
              <w:rPr>
                <w:b/>
                <w:bCs/>
                <w:kern w:val="0"/>
                <w:sz w:val="24"/>
              </w:rPr>
              <w:t>29200</w:t>
            </w:r>
          </w:p>
        </w:tc>
        <w:tc>
          <w:tcPr>
            <w:tcW w:w="1559" w:type="dxa"/>
            <w:tcBorders>
              <w:top w:val="nil"/>
              <w:left w:val="nil"/>
              <w:bottom w:val="single" w:color="auto" w:sz="4" w:space="0"/>
              <w:right w:val="single" w:color="auto" w:sz="4" w:space="0"/>
            </w:tcBorders>
            <w:vAlign w:val="center"/>
          </w:tcPr>
          <w:p w14:paraId="40C2DAF0">
            <w:pPr>
              <w:widowControl/>
              <w:jc w:val="center"/>
              <w:rPr>
                <w:b/>
                <w:bCs/>
                <w:kern w:val="0"/>
                <w:sz w:val="24"/>
              </w:rPr>
            </w:pPr>
            <w:r>
              <w:rPr>
                <w:b/>
                <w:bCs/>
                <w:kern w:val="0"/>
                <w:sz w:val="24"/>
              </w:rPr>
              <w:t>9000</w:t>
            </w:r>
          </w:p>
        </w:tc>
        <w:tc>
          <w:tcPr>
            <w:tcW w:w="1559" w:type="dxa"/>
            <w:tcBorders>
              <w:top w:val="nil"/>
              <w:left w:val="nil"/>
              <w:bottom w:val="single" w:color="auto" w:sz="4" w:space="0"/>
              <w:right w:val="single" w:color="auto" w:sz="4" w:space="0"/>
            </w:tcBorders>
            <w:vAlign w:val="center"/>
          </w:tcPr>
          <w:p w14:paraId="0E55FBE9">
            <w:pPr>
              <w:widowControl/>
              <w:jc w:val="center"/>
              <w:rPr>
                <w:b/>
                <w:bCs/>
                <w:kern w:val="0"/>
                <w:sz w:val="24"/>
              </w:rPr>
            </w:pPr>
            <w:r>
              <w:rPr>
                <w:b/>
                <w:bCs/>
                <w:kern w:val="0"/>
                <w:sz w:val="24"/>
              </w:rPr>
              <w:t>20200</w:t>
            </w:r>
          </w:p>
        </w:tc>
        <w:tc>
          <w:tcPr>
            <w:tcW w:w="1276" w:type="dxa"/>
            <w:tcBorders>
              <w:top w:val="nil"/>
              <w:left w:val="nil"/>
              <w:bottom w:val="single" w:color="auto" w:sz="4" w:space="0"/>
              <w:right w:val="single" w:color="auto" w:sz="4" w:space="0"/>
            </w:tcBorders>
            <w:vAlign w:val="center"/>
          </w:tcPr>
          <w:p w14:paraId="13ADE181">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10B0CCC3">
            <w:pPr>
              <w:widowControl/>
              <w:jc w:val="center"/>
              <w:rPr>
                <w:b/>
                <w:bCs/>
                <w:kern w:val="0"/>
                <w:sz w:val="24"/>
              </w:rPr>
            </w:pPr>
            <w:r>
              <w:rPr>
                <w:b/>
                <w:bCs/>
                <w:kern w:val="0"/>
                <w:sz w:val="24"/>
              </w:rPr>
              <w:t>　</w:t>
            </w:r>
          </w:p>
        </w:tc>
      </w:tr>
      <w:tr w14:paraId="0DEAD33F">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0674AC5D">
            <w:pPr>
              <w:widowControl/>
              <w:jc w:val="center"/>
              <w:rPr>
                <w:b/>
                <w:bCs/>
                <w:kern w:val="0"/>
                <w:sz w:val="24"/>
              </w:rPr>
            </w:pPr>
            <w:r>
              <w:rPr>
                <w:b/>
                <w:bCs/>
                <w:kern w:val="0"/>
                <w:sz w:val="24"/>
              </w:rPr>
              <w:t>5.1</w:t>
            </w:r>
          </w:p>
        </w:tc>
        <w:tc>
          <w:tcPr>
            <w:tcW w:w="3128" w:type="dxa"/>
            <w:tcBorders>
              <w:top w:val="nil"/>
              <w:left w:val="nil"/>
              <w:bottom w:val="single" w:color="auto" w:sz="4" w:space="0"/>
              <w:right w:val="single" w:color="auto" w:sz="4" w:space="0"/>
            </w:tcBorders>
            <w:vAlign w:val="center"/>
          </w:tcPr>
          <w:p w14:paraId="45051260">
            <w:pPr>
              <w:widowControl/>
              <w:jc w:val="left"/>
              <w:rPr>
                <w:rFonts w:ascii="宋体" w:hAnsi="宋体" w:cs="宋体"/>
                <w:b/>
                <w:bCs/>
                <w:kern w:val="0"/>
                <w:sz w:val="24"/>
              </w:rPr>
            </w:pPr>
            <w:r>
              <w:rPr>
                <w:rFonts w:hint="eastAsia" w:ascii="宋体" w:hAnsi="宋体" w:cs="宋体"/>
                <w:b/>
                <w:bCs/>
                <w:kern w:val="0"/>
                <w:sz w:val="24"/>
              </w:rPr>
              <w:t>林下经济研究中心建设工程</w:t>
            </w:r>
          </w:p>
        </w:tc>
        <w:tc>
          <w:tcPr>
            <w:tcW w:w="1984" w:type="dxa"/>
            <w:tcBorders>
              <w:top w:val="nil"/>
              <w:left w:val="nil"/>
              <w:bottom w:val="single" w:color="auto" w:sz="4" w:space="0"/>
              <w:right w:val="single" w:color="auto" w:sz="4" w:space="0"/>
            </w:tcBorders>
            <w:vAlign w:val="center"/>
          </w:tcPr>
          <w:p w14:paraId="6E9EB541">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599C6A49">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60A64D1B">
            <w:pPr>
              <w:widowControl/>
              <w:jc w:val="center"/>
              <w:rPr>
                <w:b/>
                <w:bCs/>
                <w:kern w:val="0"/>
                <w:sz w:val="24"/>
              </w:rPr>
            </w:pPr>
            <w:r>
              <w:rPr>
                <w:b/>
                <w:bCs/>
                <w:kern w:val="0"/>
                <w:sz w:val="24"/>
              </w:rPr>
              <w:t>4000</w:t>
            </w:r>
          </w:p>
        </w:tc>
        <w:tc>
          <w:tcPr>
            <w:tcW w:w="1559" w:type="dxa"/>
            <w:tcBorders>
              <w:top w:val="nil"/>
              <w:left w:val="nil"/>
              <w:bottom w:val="single" w:color="auto" w:sz="4" w:space="0"/>
              <w:right w:val="single" w:color="auto" w:sz="4" w:space="0"/>
            </w:tcBorders>
            <w:vAlign w:val="center"/>
          </w:tcPr>
          <w:p w14:paraId="66E8F5CC">
            <w:pPr>
              <w:widowControl/>
              <w:jc w:val="center"/>
              <w:rPr>
                <w:b/>
                <w:bCs/>
                <w:kern w:val="0"/>
                <w:sz w:val="24"/>
              </w:rPr>
            </w:pPr>
            <w:r>
              <w:rPr>
                <w:b/>
                <w:bCs/>
                <w:kern w:val="0"/>
                <w:sz w:val="24"/>
              </w:rPr>
              <w:t>1000</w:t>
            </w:r>
          </w:p>
        </w:tc>
        <w:tc>
          <w:tcPr>
            <w:tcW w:w="1559" w:type="dxa"/>
            <w:tcBorders>
              <w:top w:val="nil"/>
              <w:left w:val="nil"/>
              <w:bottom w:val="single" w:color="auto" w:sz="4" w:space="0"/>
              <w:right w:val="single" w:color="auto" w:sz="4" w:space="0"/>
            </w:tcBorders>
            <w:vAlign w:val="center"/>
          </w:tcPr>
          <w:p w14:paraId="122A9005">
            <w:pPr>
              <w:widowControl/>
              <w:jc w:val="center"/>
              <w:rPr>
                <w:b/>
                <w:bCs/>
                <w:kern w:val="0"/>
                <w:sz w:val="24"/>
              </w:rPr>
            </w:pPr>
            <w:r>
              <w:rPr>
                <w:b/>
                <w:bCs/>
                <w:kern w:val="0"/>
                <w:sz w:val="24"/>
              </w:rPr>
              <w:t>3000</w:t>
            </w:r>
          </w:p>
        </w:tc>
        <w:tc>
          <w:tcPr>
            <w:tcW w:w="1276" w:type="dxa"/>
            <w:tcBorders>
              <w:top w:val="nil"/>
              <w:left w:val="nil"/>
              <w:bottom w:val="single" w:color="auto" w:sz="4" w:space="0"/>
              <w:right w:val="single" w:color="auto" w:sz="4" w:space="0"/>
            </w:tcBorders>
            <w:vAlign w:val="center"/>
          </w:tcPr>
          <w:p w14:paraId="05E3BB6E">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0C9A1380">
            <w:pPr>
              <w:widowControl/>
              <w:jc w:val="center"/>
              <w:rPr>
                <w:b/>
                <w:bCs/>
                <w:kern w:val="0"/>
                <w:sz w:val="24"/>
              </w:rPr>
            </w:pPr>
            <w:r>
              <w:rPr>
                <w:b/>
                <w:bCs/>
                <w:kern w:val="0"/>
                <w:sz w:val="24"/>
              </w:rPr>
              <w:t>　</w:t>
            </w:r>
          </w:p>
        </w:tc>
      </w:tr>
      <w:tr w14:paraId="7200B9A5">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04B6BEC7">
            <w:pPr>
              <w:widowControl/>
              <w:jc w:val="center"/>
              <w:rPr>
                <w:kern w:val="0"/>
                <w:sz w:val="24"/>
              </w:rPr>
            </w:pPr>
            <w:r>
              <w:rPr>
                <w:kern w:val="0"/>
                <w:sz w:val="24"/>
              </w:rPr>
              <w:t>5.1.1</w:t>
            </w:r>
          </w:p>
        </w:tc>
        <w:tc>
          <w:tcPr>
            <w:tcW w:w="3128" w:type="dxa"/>
            <w:tcBorders>
              <w:top w:val="nil"/>
              <w:left w:val="nil"/>
              <w:bottom w:val="single" w:color="auto" w:sz="4" w:space="0"/>
              <w:right w:val="single" w:color="auto" w:sz="4" w:space="0"/>
            </w:tcBorders>
            <w:vAlign w:val="center"/>
          </w:tcPr>
          <w:p w14:paraId="71C1962E">
            <w:pPr>
              <w:widowControl/>
              <w:jc w:val="left"/>
              <w:rPr>
                <w:kern w:val="0"/>
                <w:sz w:val="24"/>
              </w:rPr>
            </w:pPr>
            <w:r>
              <w:rPr>
                <w:rFonts w:hint="eastAsia" w:ascii="宋体" w:hAnsi="宋体"/>
                <w:kern w:val="0"/>
                <w:sz w:val="24"/>
              </w:rPr>
              <w:t>林下经济研究中心</w:t>
            </w:r>
          </w:p>
        </w:tc>
        <w:tc>
          <w:tcPr>
            <w:tcW w:w="1984" w:type="dxa"/>
            <w:tcBorders>
              <w:top w:val="nil"/>
              <w:left w:val="nil"/>
              <w:bottom w:val="single" w:color="auto" w:sz="4" w:space="0"/>
              <w:right w:val="single" w:color="auto" w:sz="4" w:space="0"/>
            </w:tcBorders>
            <w:vAlign w:val="center"/>
          </w:tcPr>
          <w:p w14:paraId="2AAB6443">
            <w:pPr>
              <w:widowControl/>
              <w:jc w:val="center"/>
              <w:rPr>
                <w:kern w:val="0"/>
                <w:sz w:val="24"/>
              </w:rPr>
            </w:pPr>
            <w:r>
              <w:rPr>
                <w:rFonts w:hint="eastAsia" w:ascii="宋体" w:hAnsi="宋体"/>
                <w:kern w:val="0"/>
                <w:sz w:val="24"/>
              </w:rPr>
              <w:t>市林科院</w:t>
            </w:r>
          </w:p>
        </w:tc>
        <w:tc>
          <w:tcPr>
            <w:tcW w:w="1236" w:type="dxa"/>
            <w:tcBorders>
              <w:top w:val="nil"/>
              <w:left w:val="nil"/>
              <w:bottom w:val="single" w:color="auto" w:sz="4" w:space="0"/>
              <w:right w:val="single" w:color="auto" w:sz="4" w:space="0"/>
            </w:tcBorders>
            <w:vAlign w:val="center"/>
          </w:tcPr>
          <w:p w14:paraId="0C323A6E">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7DF84A80">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394F07B6">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27E7AAA9">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7D8ACB31">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50A200AC">
            <w:pPr>
              <w:widowControl/>
              <w:jc w:val="center"/>
              <w:rPr>
                <w:b/>
                <w:bCs/>
                <w:kern w:val="0"/>
                <w:sz w:val="24"/>
              </w:rPr>
            </w:pPr>
            <w:r>
              <w:rPr>
                <w:b/>
                <w:bCs/>
                <w:kern w:val="0"/>
                <w:sz w:val="24"/>
              </w:rPr>
              <w:t>　</w:t>
            </w:r>
          </w:p>
        </w:tc>
      </w:tr>
      <w:tr w14:paraId="7C5D07DE">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0DEF61D">
            <w:pPr>
              <w:widowControl/>
              <w:jc w:val="center"/>
              <w:rPr>
                <w:kern w:val="0"/>
                <w:sz w:val="24"/>
              </w:rPr>
            </w:pPr>
            <w:r>
              <w:rPr>
                <w:kern w:val="0"/>
                <w:sz w:val="24"/>
              </w:rPr>
              <w:t>5.1.2</w:t>
            </w:r>
          </w:p>
        </w:tc>
        <w:tc>
          <w:tcPr>
            <w:tcW w:w="3128" w:type="dxa"/>
            <w:tcBorders>
              <w:top w:val="nil"/>
              <w:left w:val="nil"/>
              <w:bottom w:val="single" w:color="auto" w:sz="4" w:space="0"/>
              <w:right w:val="single" w:color="auto" w:sz="4" w:space="0"/>
            </w:tcBorders>
            <w:vAlign w:val="center"/>
          </w:tcPr>
          <w:p w14:paraId="24948417">
            <w:pPr>
              <w:widowControl/>
              <w:jc w:val="left"/>
              <w:rPr>
                <w:kern w:val="0"/>
                <w:sz w:val="24"/>
              </w:rPr>
            </w:pPr>
            <w:r>
              <w:rPr>
                <w:rFonts w:hint="eastAsia" w:ascii="宋体" w:hAnsi="宋体"/>
                <w:kern w:val="0"/>
                <w:sz w:val="24"/>
              </w:rPr>
              <w:t>国家农村产业融合发展示范园</w:t>
            </w:r>
          </w:p>
        </w:tc>
        <w:tc>
          <w:tcPr>
            <w:tcW w:w="1984" w:type="dxa"/>
            <w:tcBorders>
              <w:top w:val="nil"/>
              <w:left w:val="nil"/>
              <w:bottom w:val="single" w:color="auto" w:sz="4" w:space="0"/>
              <w:right w:val="single" w:color="auto" w:sz="4" w:space="0"/>
            </w:tcBorders>
            <w:vAlign w:val="center"/>
          </w:tcPr>
          <w:p w14:paraId="709C19C1">
            <w:pPr>
              <w:widowControl/>
              <w:jc w:val="center"/>
              <w:rPr>
                <w:kern w:val="0"/>
                <w:sz w:val="24"/>
              </w:rPr>
            </w:pPr>
            <w:r>
              <w:rPr>
                <w:rFonts w:hint="eastAsia" w:ascii="宋体" w:hAnsi="宋体"/>
                <w:kern w:val="0"/>
                <w:sz w:val="24"/>
              </w:rPr>
              <w:t>育才生态区</w:t>
            </w:r>
          </w:p>
        </w:tc>
        <w:tc>
          <w:tcPr>
            <w:tcW w:w="1236" w:type="dxa"/>
            <w:tcBorders>
              <w:top w:val="nil"/>
              <w:left w:val="nil"/>
              <w:bottom w:val="single" w:color="auto" w:sz="4" w:space="0"/>
              <w:right w:val="single" w:color="auto" w:sz="4" w:space="0"/>
            </w:tcBorders>
            <w:vAlign w:val="center"/>
          </w:tcPr>
          <w:p w14:paraId="2F94F22E">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001BAC4D">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40ADB46E">
            <w:pPr>
              <w:widowControl/>
              <w:jc w:val="center"/>
              <w:rPr>
                <w:kern w:val="0"/>
                <w:sz w:val="24"/>
              </w:rPr>
            </w:pPr>
            <w:r>
              <w:rPr>
                <w:kern w:val="0"/>
                <w:sz w:val="24"/>
              </w:rPr>
              <w:t>—</w:t>
            </w:r>
          </w:p>
        </w:tc>
        <w:tc>
          <w:tcPr>
            <w:tcW w:w="1559" w:type="dxa"/>
            <w:tcBorders>
              <w:top w:val="nil"/>
              <w:left w:val="nil"/>
              <w:bottom w:val="single" w:color="auto" w:sz="4" w:space="0"/>
              <w:right w:val="single" w:color="auto" w:sz="4" w:space="0"/>
            </w:tcBorders>
            <w:vAlign w:val="center"/>
          </w:tcPr>
          <w:p w14:paraId="62EFAB1D">
            <w:pPr>
              <w:widowControl/>
              <w:jc w:val="center"/>
              <w:rPr>
                <w:kern w:val="0"/>
                <w:sz w:val="24"/>
              </w:rPr>
            </w:pPr>
            <w:r>
              <w:rPr>
                <w:kern w:val="0"/>
                <w:sz w:val="24"/>
              </w:rPr>
              <w:t>3000</w:t>
            </w:r>
          </w:p>
        </w:tc>
        <w:tc>
          <w:tcPr>
            <w:tcW w:w="1276" w:type="dxa"/>
            <w:tcBorders>
              <w:top w:val="nil"/>
              <w:left w:val="nil"/>
              <w:bottom w:val="single" w:color="auto" w:sz="4" w:space="0"/>
              <w:right w:val="single" w:color="auto" w:sz="4" w:space="0"/>
            </w:tcBorders>
            <w:vAlign w:val="center"/>
          </w:tcPr>
          <w:p w14:paraId="1F8466E2">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356B9C6E">
            <w:pPr>
              <w:widowControl/>
              <w:jc w:val="center"/>
              <w:rPr>
                <w:b/>
                <w:bCs/>
                <w:kern w:val="0"/>
                <w:sz w:val="24"/>
              </w:rPr>
            </w:pPr>
            <w:r>
              <w:rPr>
                <w:b/>
                <w:bCs/>
                <w:kern w:val="0"/>
                <w:sz w:val="24"/>
              </w:rPr>
              <w:t>　</w:t>
            </w:r>
          </w:p>
        </w:tc>
      </w:tr>
      <w:tr w14:paraId="471EFE6B">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1803BCAC">
            <w:pPr>
              <w:widowControl/>
              <w:jc w:val="center"/>
              <w:rPr>
                <w:b/>
                <w:bCs/>
                <w:kern w:val="0"/>
                <w:sz w:val="24"/>
              </w:rPr>
            </w:pPr>
            <w:r>
              <w:rPr>
                <w:b/>
                <w:bCs/>
                <w:kern w:val="0"/>
                <w:sz w:val="24"/>
              </w:rPr>
              <w:t>5.2</w:t>
            </w:r>
          </w:p>
        </w:tc>
        <w:tc>
          <w:tcPr>
            <w:tcW w:w="3128" w:type="dxa"/>
            <w:tcBorders>
              <w:top w:val="nil"/>
              <w:left w:val="nil"/>
              <w:bottom w:val="single" w:color="auto" w:sz="4" w:space="0"/>
              <w:right w:val="single" w:color="auto" w:sz="4" w:space="0"/>
            </w:tcBorders>
            <w:vAlign w:val="center"/>
          </w:tcPr>
          <w:p w14:paraId="6269D10C">
            <w:pPr>
              <w:widowControl/>
              <w:jc w:val="left"/>
              <w:rPr>
                <w:rFonts w:ascii="宋体" w:hAnsi="宋体" w:cs="宋体"/>
                <w:b/>
                <w:bCs/>
                <w:kern w:val="0"/>
                <w:sz w:val="24"/>
              </w:rPr>
            </w:pPr>
            <w:r>
              <w:rPr>
                <w:rFonts w:hint="eastAsia" w:ascii="宋体" w:hAnsi="宋体" w:cs="宋体"/>
                <w:b/>
                <w:bCs/>
                <w:kern w:val="0"/>
                <w:sz w:val="24"/>
              </w:rPr>
              <w:t>现代林下经济产业示范基地建设工程</w:t>
            </w:r>
          </w:p>
        </w:tc>
        <w:tc>
          <w:tcPr>
            <w:tcW w:w="1984" w:type="dxa"/>
            <w:tcBorders>
              <w:top w:val="nil"/>
              <w:left w:val="nil"/>
              <w:bottom w:val="single" w:color="auto" w:sz="4" w:space="0"/>
              <w:right w:val="single" w:color="auto" w:sz="4" w:space="0"/>
            </w:tcBorders>
            <w:vAlign w:val="center"/>
          </w:tcPr>
          <w:p w14:paraId="1085ACE7">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7346D0D6">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7EC6A769">
            <w:pPr>
              <w:widowControl/>
              <w:jc w:val="center"/>
              <w:rPr>
                <w:b/>
                <w:bCs/>
                <w:kern w:val="0"/>
                <w:sz w:val="24"/>
              </w:rPr>
            </w:pPr>
            <w:r>
              <w:rPr>
                <w:b/>
                <w:bCs/>
                <w:kern w:val="0"/>
                <w:sz w:val="24"/>
              </w:rPr>
              <w:t>13400</w:t>
            </w:r>
          </w:p>
        </w:tc>
        <w:tc>
          <w:tcPr>
            <w:tcW w:w="1559" w:type="dxa"/>
            <w:tcBorders>
              <w:top w:val="nil"/>
              <w:left w:val="nil"/>
              <w:bottom w:val="single" w:color="auto" w:sz="4" w:space="0"/>
              <w:right w:val="single" w:color="auto" w:sz="4" w:space="0"/>
            </w:tcBorders>
            <w:vAlign w:val="center"/>
          </w:tcPr>
          <w:p w14:paraId="26116926">
            <w:pPr>
              <w:widowControl/>
              <w:jc w:val="center"/>
              <w:rPr>
                <w:b/>
                <w:bCs/>
                <w:kern w:val="0"/>
                <w:sz w:val="24"/>
              </w:rPr>
            </w:pPr>
            <w:r>
              <w:rPr>
                <w:b/>
                <w:bCs/>
                <w:kern w:val="0"/>
                <w:sz w:val="24"/>
              </w:rPr>
              <w:t>1200</w:t>
            </w:r>
          </w:p>
        </w:tc>
        <w:tc>
          <w:tcPr>
            <w:tcW w:w="1559" w:type="dxa"/>
            <w:tcBorders>
              <w:top w:val="nil"/>
              <w:left w:val="nil"/>
              <w:bottom w:val="single" w:color="auto" w:sz="4" w:space="0"/>
              <w:right w:val="single" w:color="auto" w:sz="4" w:space="0"/>
            </w:tcBorders>
            <w:vAlign w:val="center"/>
          </w:tcPr>
          <w:p w14:paraId="04FB8FFB">
            <w:pPr>
              <w:widowControl/>
              <w:jc w:val="center"/>
              <w:rPr>
                <w:b/>
                <w:bCs/>
                <w:kern w:val="0"/>
                <w:sz w:val="24"/>
              </w:rPr>
            </w:pPr>
            <w:r>
              <w:rPr>
                <w:b/>
                <w:bCs/>
                <w:kern w:val="0"/>
                <w:sz w:val="24"/>
              </w:rPr>
              <w:t>12200</w:t>
            </w:r>
          </w:p>
        </w:tc>
        <w:tc>
          <w:tcPr>
            <w:tcW w:w="1276" w:type="dxa"/>
            <w:tcBorders>
              <w:top w:val="nil"/>
              <w:left w:val="nil"/>
              <w:bottom w:val="single" w:color="auto" w:sz="4" w:space="0"/>
              <w:right w:val="single" w:color="auto" w:sz="4" w:space="0"/>
            </w:tcBorders>
            <w:vAlign w:val="center"/>
          </w:tcPr>
          <w:p w14:paraId="41CF3400">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450AB718">
            <w:pPr>
              <w:widowControl/>
              <w:jc w:val="center"/>
              <w:rPr>
                <w:b/>
                <w:bCs/>
                <w:kern w:val="0"/>
                <w:sz w:val="24"/>
              </w:rPr>
            </w:pPr>
            <w:r>
              <w:rPr>
                <w:b/>
                <w:bCs/>
                <w:kern w:val="0"/>
                <w:sz w:val="24"/>
              </w:rPr>
              <w:t>　</w:t>
            </w:r>
          </w:p>
        </w:tc>
      </w:tr>
      <w:tr w14:paraId="18EF7207">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0B131B87">
            <w:pPr>
              <w:widowControl/>
              <w:jc w:val="center"/>
              <w:rPr>
                <w:kern w:val="0"/>
                <w:sz w:val="24"/>
              </w:rPr>
            </w:pPr>
            <w:r>
              <w:rPr>
                <w:kern w:val="0"/>
                <w:sz w:val="24"/>
              </w:rPr>
              <w:t>5.2.1</w:t>
            </w:r>
          </w:p>
        </w:tc>
        <w:tc>
          <w:tcPr>
            <w:tcW w:w="3128" w:type="dxa"/>
            <w:tcBorders>
              <w:top w:val="nil"/>
              <w:left w:val="nil"/>
              <w:bottom w:val="single" w:color="auto" w:sz="4" w:space="0"/>
              <w:right w:val="single" w:color="auto" w:sz="4" w:space="0"/>
            </w:tcBorders>
            <w:vAlign w:val="center"/>
          </w:tcPr>
          <w:p w14:paraId="7713B68C">
            <w:pPr>
              <w:widowControl/>
              <w:jc w:val="left"/>
              <w:rPr>
                <w:rFonts w:ascii="宋体" w:hAnsi="宋体" w:cs="宋体"/>
                <w:kern w:val="0"/>
                <w:sz w:val="24"/>
              </w:rPr>
            </w:pPr>
            <w:r>
              <w:rPr>
                <w:rFonts w:hint="eastAsia" w:ascii="宋体" w:hAnsi="宋体" w:cs="宋体"/>
                <w:kern w:val="0"/>
                <w:sz w:val="24"/>
              </w:rPr>
              <w:t>现代林下经济产业示范基地</w:t>
            </w:r>
          </w:p>
        </w:tc>
        <w:tc>
          <w:tcPr>
            <w:tcW w:w="1984" w:type="dxa"/>
            <w:tcBorders>
              <w:top w:val="nil"/>
              <w:left w:val="nil"/>
              <w:bottom w:val="single" w:color="auto" w:sz="4" w:space="0"/>
              <w:right w:val="single" w:color="auto" w:sz="4" w:space="0"/>
            </w:tcBorders>
            <w:vAlign w:val="center"/>
          </w:tcPr>
          <w:p w14:paraId="4A4F1504">
            <w:pPr>
              <w:widowControl/>
              <w:jc w:val="center"/>
              <w:rPr>
                <w:kern w:val="0"/>
                <w:sz w:val="24"/>
              </w:rPr>
            </w:pPr>
            <w:r>
              <w:rPr>
                <w:rFonts w:hint="eastAsia" w:ascii="宋体" w:hAnsi="宋体"/>
                <w:kern w:val="0"/>
                <w:sz w:val="24"/>
              </w:rPr>
              <w:t>全市范围</w:t>
            </w:r>
          </w:p>
        </w:tc>
        <w:tc>
          <w:tcPr>
            <w:tcW w:w="1236" w:type="dxa"/>
            <w:tcBorders>
              <w:top w:val="nil"/>
              <w:left w:val="nil"/>
              <w:bottom w:val="single" w:color="auto" w:sz="4" w:space="0"/>
              <w:right w:val="single" w:color="auto" w:sz="4" w:space="0"/>
            </w:tcBorders>
            <w:vAlign w:val="center"/>
          </w:tcPr>
          <w:p w14:paraId="56E6138B">
            <w:pPr>
              <w:widowControl/>
              <w:jc w:val="center"/>
              <w:rPr>
                <w:kern w:val="0"/>
                <w:sz w:val="24"/>
              </w:rPr>
            </w:pPr>
            <w:r>
              <w:rPr>
                <w:kern w:val="0"/>
                <w:sz w:val="24"/>
              </w:rPr>
              <w:t>466.7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53889436">
            <w:pPr>
              <w:widowControl/>
              <w:jc w:val="center"/>
              <w:rPr>
                <w:kern w:val="0"/>
                <w:sz w:val="24"/>
              </w:rPr>
            </w:pPr>
            <w:r>
              <w:rPr>
                <w:kern w:val="0"/>
                <w:sz w:val="24"/>
              </w:rPr>
              <w:t>13400</w:t>
            </w:r>
          </w:p>
        </w:tc>
        <w:tc>
          <w:tcPr>
            <w:tcW w:w="1559" w:type="dxa"/>
            <w:tcBorders>
              <w:top w:val="nil"/>
              <w:left w:val="nil"/>
              <w:bottom w:val="single" w:color="auto" w:sz="4" w:space="0"/>
              <w:right w:val="single" w:color="auto" w:sz="4" w:space="0"/>
            </w:tcBorders>
            <w:vAlign w:val="center"/>
          </w:tcPr>
          <w:p w14:paraId="39AAB7DB">
            <w:pPr>
              <w:widowControl/>
              <w:jc w:val="center"/>
              <w:rPr>
                <w:kern w:val="0"/>
                <w:sz w:val="24"/>
              </w:rPr>
            </w:pPr>
            <w:r>
              <w:rPr>
                <w:kern w:val="0"/>
                <w:sz w:val="24"/>
              </w:rPr>
              <w:t>1200</w:t>
            </w:r>
          </w:p>
        </w:tc>
        <w:tc>
          <w:tcPr>
            <w:tcW w:w="1559" w:type="dxa"/>
            <w:tcBorders>
              <w:top w:val="nil"/>
              <w:left w:val="nil"/>
              <w:bottom w:val="single" w:color="auto" w:sz="4" w:space="0"/>
              <w:right w:val="single" w:color="auto" w:sz="4" w:space="0"/>
            </w:tcBorders>
            <w:vAlign w:val="center"/>
          </w:tcPr>
          <w:p w14:paraId="655C1709">
            <w:pPr>
              <w:widowControl/>
              <w:jc w:val="center"/>
              <w:rPr>
                <w:kern w:val="0"/>
                <w:sz w:val="24"/>
              </w:rPr>
            </w:pPr>
            <w:r>
              <w:rPr>
                <w:kern w:val="0"/>
                <w:sz w:val="24"/>
              </w:rPr>
              <w:t>12200</w:t>
            </w:r>
          </w:p>
        </w:tc>
        <w:tc>
          <w:tcPr>
            <w:tcW w:w="1276" w:type="dxa"/>
            <w:tcBorders>
              <w:top w:val="nil"/>
              <w:left w:val="nil"/>
              <w:bottom w:val="single" w:color="auto" w:sz="4" w:space="0"/>
              <w:right w:val="single" w:color="auto" w:sz="4" w:space="0"/>
            </w:tcBorders>
            <w:vAlign w:val="center"/>
          </w:tcPr>
          <w:p w14:paraId="18ECA33E">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493F3560">
            <w:pPr>
              <w:widowControl/>
              <w:jc w:val="center"/>
              <w:rPr>
                <w:kern w:val="0"/>
                <w:sz w:val="24"/>
              </w:rPr>
            </w:pPr>
            <w:r>
              <w:rPr>
                <w:kern w:val="0"/>
                <w:sz w:val="24"/>
              </w:rPr>
              <w:t>　</w:t>
            </w:r>
          </w:p>
        </w:tc>
      </w:tr>
      <w:tr w14:paraId="7D9052EF">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34F63B54">
            <w:pPr>
              <w:widowControl/>
              <w:jc w:val="center"/>
              <w:rPr>
                <w:b/>
                <w:bCs/>
                <w:kern w:val="0"/>
                <w:sz w:val="24"/>
              </w:rPr>
            </w:pPr>
            <w:r>
              <w:rPr>
                <w:b/>
                <w:bCs/>
                <w:kern w:val="0"/>
                <w:sz w:val="24"/>
              </w:rPr>
              <w:t>5.3</w:t>
            </w:r>
          </w:p>
        </w:tc>
        <w:tc>
          <w:tcPr>
            <w:tcW w:w="3128" w:type="dxa"/>
            <w:tcBorders>
              <w:top w:val="nil"/>
              <w:left w:val="nil"/>
              <w:bottom w:val="single" w:color="auto" w:sz="4" w:space="0"/>
              <w:right w:val="single" w:color="auto" w:sz="4" w:space="0"/>
            </w:tcBorders>
            <w:vAlign w:val="center"/>
          </w:tcPr>
          <w:p w14:paraId="654ED59D">
            <w:pPr>
              <w:widowControl/>
              <w:jc w:val="left"/>
              <w:rPr>
                <w:rFonts w:ascii="宋体" w:hAnsi="宋体" w:cs="宋体"/>
                <w:b/>
                <w:bCs/>
                <w:kern w:val="0"/>
                <w:sz w:val="24"/>
              </w:rPr>
            </w:pPr>
            <w:r>
              <w:rPr>
                <w:rFonts w:hint="eastAsia" w:ascii="宋体" w:hAnsi="宋体" w:cs="宋体"/>
                <w:b/>
                <w:bCs/>
                <w:kern w:val="0"/>
                <w:sz w:val="24"/>
              </w:rPr>
              <w:t>发展林下经济旅游产业</w:t>
            </w:r>
          </w:p>
        </w:tc>
        <w:tc>
          <w:tcPr>
            <w:tcW w:w="1984" w:type="dxa"/>
            <w:tcBorders>
              <w:top w:val="nil"/>
              <w:left w:val="nil"/>
              <w:bottom w:val="single" w:color="auto" w:sz="4" w:space="0"/>
              <w:right w:val="single" w:color="auto" w:sz="4" w:space="0"/>
            </w:tcBorders>
            <w:vAlign w:val="center"/>
          </w:tcPr>
          <w:p w14:paraId="1C65C88C">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07CB548A">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1E76F605">
            <w:pPr>
              <w:widowControl/>
              <w:jc w:val="center"/>
              <w:rPr>
                <w:b/>
                <w:bCs/>
                <w:kern w:val="0"/>
                <w:sz w:val="24"/>
              </w:rPr>
            </w:pPr>
            <w:r>
              <w:rPr>
                <w:b/>
                <w:bCs/>
                <w:kern w:val="0"/>
                <w:sz w:val="24"/>
              </w:rPr>
              <w:t>1000</w:t>
            </w:r>
          </w:p>
        </w:tc>
        <w:tc>
          <w:tcPr>
            <w:tcW w:w="1559" w:type="dxa"/>
            <w:tcBorders>
              <w:top w:val="nil"/>
              <w:left w:val="nil"/>
              <w:bottom w:val="single" w:color="auto" w:sz="4" w:space="0"/>
              <w:right w:val="single" w:color="auto" w:sz="4" w:space="0"/>
            </w:tcBorders>
            <w:vAlign w:val="center"/>
          </w:tcPr>
          <w:p w14:paraId="54C8E705">
            <w:pPr>
              <w:widowControl/>
              <w:jc w:val="center"/>
              <w:rPr>
                <w:b/>
                <w:bCs/>
                <w:kern w:val="0"/>
                <w:sz w:val="24"/>
              </w:rPr>
            </w:pPr>
            <w:r>
              <w:rPr>
                <w:b/>
                <w:bCs/>
                <w:kern w:val="0"/>
                <w:sz w:val="24"/>
              </w:rPr>
              <w:t>1000</w:t>
            </w:r>
          </w:p>
        </w:tc>
        <w:tc>
          <w:tcPr>
            <w:tcW w:w="1559" w:type="dxa"/>
            <w:tcBorders>
              <w:top w:val="nil"/>
              <w:left w:val="nil"/>
              <w:bottom w:val="single" w:color="auto" w:sz="4" w:space="0"/>
              <w:right w:val="single" w:color="auto" w:sz="4" w:space="0"/>
            </w:tcBorders>
            <w:vAlign w:val="center"/>
          </w:tcPr>
          <w:p w14:paraId="3A53966A">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33BE340E">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22DFC4DF">
            <w:pPr>
              <w:widowControl/>
              <w:jc w:val="center"/>
              <w:rPr>
                <w:b/>
                <w:bCs/>
                <w:kern w:val="0"/>
                <w:sz w:val="24"/>
              </w:rPr>
            </w:pPr>
            <w:r>
              <w:rPr>
                <w:b/>
                <w:bCs/>
                <w:kern w:val="0"/>
                <w:sz w:val="24"/>
              </w:rPr>
              <w:t>　</w:t>
            </w:r>
          </w:p>
        </w:tc>
      </w:tr>
      <w:tr w14:paraId="63F4200C">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24CA964F">
            <w:pPr>
              <w:widowControl/>
              <w:jc w:val="center"/>
              <w:rPr>
                <w:kern w:val="0"/>
                <w:sz w:val="24"/>
              </w:rPr>
            </w:pPr>
            <w:r>
              <w:rPr>
                <w:kern w:val="0"/>
                <w:sz w:val="24"/>
              </w:rPr>
              <w:t>5.3.1</w:t>
            </w:r>
          </w:p>
        </w:tc>
        <w:tc>
          <w:tcPr>
            <w:tcW w:w="3128" w:type="dxa"/>
            <w:tcBorders>
              <w:top w:val="nil"/>
              <w:left w:val="nil"/>
              <w:bottom w:val="single" w:color="auto" w:sz="4" w:space="0"/>
              <w:right w:val="single" w:color="auto" w:sz="4" w:space="0"/>
            </w:tcBorders>
            <w:vAlign w:val="center"/>
          </w:tcPr>
          <w:p w14:paraId="0AF5155E">
            <w:pPr>
              <w:widowControl/>
              <w:jc w:val="left"/>
              <w:rPr>
                <w:kern w:val="0"/>
                <w:sz w:val="24"/>
              </w:rPr>
            </w:pPr>
            <w:r>
              <w:rPr>
                <w:rFonts w:hint="eastAsia" w:ascii="宋体" w:hAnsi="宋体"/>
                <w:kern w:val="0"/>
                <w:sz w:val="24"/>
              </w:rPr>
              <w:t>发展林下经济旅游</w:t>
            </w:r>
          </w:p>
        </w:tc>
        <w:tc>
          <w:tcPr>
            <w:tcW w:w="1984" w:type="dxa"/>
            <w:tcBorders>
              <w:top w:val="nil"/>
              <w:left w:val="nil"/>
              <w:bottom w:val="single" w:color="auto" w:sz="4" w:space="0"/>
              <w:right w:val="single" w:color="auto" w:sz="4" w:space="0"/>
            </w:tcBorders>
            <w:vAlign w:val="center"/>
          </w:tcPr>
          <w:p w14:paraId="77416141">
            <w:pPr>
              <w:widowControl/>
              <w:jc w:val="center"/>
              <w:rPr>
                <w:kern w:val="0"/>
                <w:sz w:val="24"/>
              </w:rPr>
            </w:pPr>
            <w:r>
              <w:rPr>
                <w:rFonts w:hint="eastAsia" w:ascii="宋体" w:hAnsi="宋体"/>
                <w:kern w:val="0"/>
                <w:sz w:val="24"/>
              </w:rPr>
              <w:t>全市范围</w:t>
            </w:r>
          </w:p>
        </w:tc>
        <w:tc>
          <w:tcPr>
            <w:tcW w:w="1236" w:type="dxa"/>
            <w:tcBorders>
              <w:top w:val="nil"/>
              <w:left w:val="nil"/>
              <w:bottom w:val="single" w:color="auto" w:sz="4" w:space="0"/>
              <w:right w:val="single" w:color="auto" w:sz="4" w:space="0"/>
            </w:tcBorders>
            <w:vAlign w:val="center"/>
          </w:tcPr>
          <w:p w14:paraId="223CFDF7">
            <w:pPr>
              <w:widowControl/>
              <w:jc w:val="center"/>
              <w:rPr>
                <w:kern w:val="0"/>
                <w:sz w:val="24"/>
              </w:rPr>
            </w:pPr>
            <w:r>
              <w:rPr>
                <w:kern w:val="0"/>
                <w:sz w:val="24"/>
              </w:rPr>
              <w:t>13.3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18E7B03E">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0B610741">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245FFC17">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1156D008">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4A7775EF">
            <w:pPr>
              <w:widowControl/>
              <w:jc w:val="center"/>
              <w:rPr>
                <w:b/>
                <w:bCs/>
                <w:kern w:val="0"/>
                <w:sz w:val="24"/>
              </w:rPr>
            </w:pPr>
            <w:r>
              <w:rPr>
                <w:b/>
                <w:bCs/>
                <w:kern w:val="0"/>
                <w:sz w:val="24"/>
              </w:rPr>
              <w:t>　</w:t>
            </w:r>
          </w:p>
        </w:tc>
      </w:tr>
      <w:tr w14:paraId="4AF6F3E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77E5E7A">
            <w:pPr>
              <w:widowControl/>
              <w:jc w:val="center"/>
              <w:rPr>
                <w:b/>
                <w:bCs/>
                <w:kern w:val="0"/>
                <w:sz w:val="24"/>
              </w:rPr>
            </w:pPr>
            <w:r>
              <w:rPr>
                <w:b/>
                <w:bCs/>
                <w:kern w:val="0"/>
                <w:sz w:val="24"/>
              </w:rPr>
              <w:t>5.4</w:t>
            </w:r>
          </w:p>
        </w:tc>
        <w:tc>
          <w:tcPr>
            <w:tcW w:w="3128" w:type="dxa"/>
            <w:tcBorders>
              <w:top w:val="nil"/>
              <w:left w:val="nil"/>
              <w:bottom w:val="single" w:color="auto" w:sz="4" w:space="0"/>
              <w:right w:val="single" w:color="auto" w:sz="4" w:space="0"/>
            </w:tcBorders>
            <w:vAlign w:val="center"/>
          </w:tcPr>
          <w:p w14:paraId="35FB3A4C">
            <w:pPr>
              <w:widowControl/>
              <w:jc w:val="left"/>
              <w:rPr>
                <w:rFonts w:ascii="宋体" w:hAnsi="宋体" w:cs="宋体"/>
                <w:b/>
                <w:bCs/>
                <w:kern w:val="0"/>
                <w:sz w:val="24"/>
              </w:rPr>
            </w:pPr>
            <w:r>
              <w:rPr>
                <w:rFonts w:hint="eastAsia" w:ascii="宋体" w:hAnsi="宋体" w:cs="宋体"/>
                <w:b/>
                <w:bCs/>
                <w:kern w:val="0"/>
                <w:sz w:val="24"/>
              </w:rPr>
              <w:t>培育新型林业经营主体</w:t>
            </w:r>
          </w:p>
        </w:tc>
        <w:tc>
          <w:tcPr>
            <w:tcW w:w="1984" w:type="dxa"/>
            <w:tcBorders>
              <w:top w:val="nil"/>
              <w:left w:val="nil"/>
              <w:bottom w:val="single" w:color="auto" w:sz="4" w:space="0"/>
              <w:right w:val="single" w:color="auto" w:sz="4" w:space="0"/>
            </w:tcBorders>
            <w:vAlign w:val="center"/>
          </w:tcPr>
          <w:p w14:paraId="01F8567F">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2F1AF44B">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381AB6E4">
            <w:pPr>
              <w:widowControl/>
              <w:jc w:val="center"/>
              <w:rPr>
                <w:b/>
                <w:bCs/>
                <w:kern w:val="0"/>
                <w:sz w:val="24"/>
              </w:rPr>
            </w:pPr>
            <w:r>
              <w:rPr>
                <w:b/>
                <w:bCs/>
                <w:kern w:val="0"/>
                <w:sz w:val="24"/>
              </w:rPr>
              <w:t>5000</w:t>
            </w:r>
          </w:p>
        </w:tc>
        <w:tc>
          <w:tcPr>
            <w:tcW w:w="1559" w:type="dxa"/>
            <w:tcBorders>
              <w:top w:val="nil"/>
              <w:left w:val="nil"/>
              <w:bottom w:val="single" w:color="auto" w:sz="4" w:space="0"/>
              <w:right w:val="single" w:color="auto" w:sz="4" w:space="0"/>
            </w:tcBorders>
            <w:vAlign w:val="center"/>
          </w:tcPr>
          <w:p w14:paraId="73E72AE8">
            <w:pPr>
              <w:widowControl/>
              <w:jc w:val="center"/>
              <w:rPr>
                <w:b/>
                <w:bCs/>
                <w:kern w:val="0"/>
                <w:sz w:val="24"/>
              </w:rPr>
            </w:pPr>
            <w:r>
              <w:rPr>
                <w:b/>
                <w:bCs/>
                <w:kern w:val="0"/>
                <w:sz w:val="24"/>
              </w:rPr>
              <w:t>2000</w:t>
            </w:r>
          </w:p>
        </w:tc>
        <w:tc>
          <w:tcPr>
            <w:tcW w:w="1559" w:type="dxa"/>
            <w:tcBorders>
              <w:top w:val="nil"/>
              <w:left w:val="nil"/>
              <w:bottom w:val="single" w:color="auto" w:sz="4" w:space="0"/>
              <w:right w:val="single" w:color="auto" w:sz="4" w:space="0"/>
            </w:tcBorders>
            <w:vAlign w:val="center"/>
          </w:tcPr>
          <w:p w14:paraId="0665FD92">
            <w:pPr>
              <w:widowControl/>
              <w:jc w:val="center"/>
              <w:rPr>
                <w:b/>
                <w:bCs/>
                <w:kern w:val="0"/>
                <w:sz w:val="24"/>
              </w:rPr>
            </w:pPr>
            <w:r>
              <w:rPr>
                <w:b/>
                <w:bCs/>
                <w:kern w:val="0"/>
                <w:sz w:val="24"/>
              </w:rPr>
              <w:t>3000</w:t>
            </w:r>
          </w:p>
        </w:tc>
        <w:tc>
          <w:tcPr>
            <w:tcW w:w="1276" w:type="dxa"/>
            <w:tcBorders>
              <w:top w:val="nil"/>
              <w:left w:val="nil"/>
              <w:bottom w:val="single" w:color="auto" w:sz="4" w:space="0"/>
              <w:right w:val="single" w:color="auto" w:sz="4" w:space="0"/>
            </w:tcBorders>
            <w:vAlign w:val="center"/>
          </w:tcPr>
          <w:p w14:paraId="11BD841D">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2E81F73F">
            <w:pPr>
              <w:widowControl/>
              <w:jc w:val="center"/>
              <w:rPr>
                <w:b/>
                <w:bCs/>
                <w:kern w:val="0"/>
                <w:sz w:val="24"/>
              </w:rPr>
            </w:pPr>
            <w:r>
              <w:rPr>
                <w:b/>
                <w:bCs/>
                <w:kern w:val="0"/>
                <w:sz w:val="24"/>
              </w:rPr>
              <w:t>　</w:t>
            </w:r>
          </w:p>
        </w:tc>
      </w:tr>
      <w:tr w14:paraId="473BDFBE">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7EF76105">
            <w:pPr>
              <w:widowControl/>
              <w:jc w:val="center"/>
              <w:rPr>
                <w:kern w:val="0"/>
                <w:sz w:val="24"/>
              </w:rPr>
            </w:pPr>
            <w:r>
              <w:rPr>
                <w:kern w:val="0"/>
                <w:sz w:val="24"/>
              </w:rPr>
              <w:t>5.4.1</w:t>
            </w:r>
          </w:p>
        </w:tc>
        <w:tc>
          <w:tcPr>
            <w:tcW w:w="3128" w:type="dxa"/>
            <w:tcBorders>
              <w:top w:val="nil"/>
              <w:left w:val="nil"/>
              <w:bottom w:val="single" w:color="auto" w:sz="4" w:space="0"/>
              <w:right w:val="single" w:color="auto" w:sz="4" w:space="0"/>
            </w:tcBorders>
            <w:vAlign w:val="center"/>
          </w:tcPr>
          <w:p w14:paraId="7351EBEF">
            <w:pPr>
              <w:widowControl/>
              <w:jc w:val="left"/>
              <w:rPr>
                <w:kern w:val="0"/>
                <w:sz w:val="24"/>
              </w:rPr>
            </w:pPr>
            <w:r>
              <w:rPr>
                <w:rFonts w:hint="eastAsia" w:ascii="宋体" w:hAnsi="宋体"/>
                <w:kern w:val="0"/>
                <w:sz w:val="24"/>
              </w:rPr>
              <w:t>培育新型林业经营主体</w:t>
            </w:r>
          </w:p>
        </w:tc>
        <w:tc>
          <w:tcPr>
            <w:tcW w:w="1984" w:type="dxa"/>
            <w:tcBorders>
              <w:top w:val="nil"/>
              <w:left w:val="nil"/>
              <w:bottom w:val="single" w:color="auto" w:sz="4" w:space="0"/>
              <w:right w:val="single" w:color="auto" w:sz="4" w:space="0"/>
            </w:tcBorders>
            <w:vAlign w:val="center"/>
          </w:tcPr>
          <w:p w14:paraId="28D5180D">
            <w:pPr>
              <w:widowControl/>
              <w:jc w:val="center"/>
              <w:rPr>
                <w:rFonts w:ascii="宋体" w:hAnsi="宋体" w:cs="宋体"/>
                <w:kern w:val="0"/>
                <w:sz w:val="24"/>
              </w:rPr>
            </w:pPr>
            <w:r>
              <w:rPr>
                <w:rFonts w:hint="eastAsia" w:ascii="宋体" w:hAnsi="宋体" w:cs="宋体"/>
                <w:kern w:val="0"/>
                <w:sz w:val="24"/>
              </w:rPr>
              <w:t>育才生态区</w:t>
            </w:r>
          </w:p>
        </w:tc>
        <w:tc>
          <w:tcPr>
            <w:tcW w:w="1236" w:type="dxa"/>
            <w:tcBorders>
              <w:top w:val="nil"/>
              <w:left w:val="nil"/>
              <w:bottom w:val="single" w:color="auto" w:sz="4" w:space="0"/>
              <w:right w:val="single" w:color="auto" w:sz="4" w:space="0"/>
            </w:tcBorders>
            <w:vAlign w:val="center"/>
          </w:tcPr>
          <w:p w14:paraId="120877AD">
            <w:pPr>
              <w:widowControl/>
              <w:jc w:val="center"/>
              <w:rPr>
                <w:kern w:val="0"/>
                <w:sz w:val="24"/>
              </w:rPr>
            </w:pPr>
            <w:r>
              <w:rPr>
                <w:rFonts w:hint="eastAsia" w:ascii="宋体" w:hAnsi="宋体"/>
                <w:kern w:val="0"/>
                <w:sz w:val="24"/>
              </w:rPr>
              <w:t>≥</w:t>
            </w:r>
            <w:r>
              <w:rPr>
                <w:kern w:val="0"/>
                <w:sz w:val="24"/>
              </w:rPr>
              <w:t>50</w:t>
            </w:r>
            <w:r>
              <w:rPr>
                <w:rFonts w:hint="eastAsia" w:ascii="宋体" w:hAnsi="宋体"/>
                <w:kern w:val="0"/>
                <w:sz w:val="24"/>
              </w:rPr>
              <w:t>家</w:t>
            </w:r>
          </w:p>
        </w:tc>
        <w:tc>
          <w:tcPr>
            <w:tcW w:w="1701" w:type="dxa"/>
            <w:tcBorders>
              <w:top w:val="nil"/>
              <w:left w:val="nil"/>
              <w:bottom w:val="single" w:color="auto" w:sz="4" w:space="0"/>
              <w:right w:val="single" w:color="auto" w:sz="4" w:space="0"/>
            </w:tcBorders>
            <w:vAlign w:val="center"/>
          </w:tcPr>
          <w:p w14:paraId="69E3F03A">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6883CCBD">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23526F8A">
            <w:pPr>
              <w:widowControl/>
              <w:jc w:val="center"/>
              <w:rPr>
                <w:kern w:val="0"/>
                <w:sz w:val="24"/>
              </w:rPr>
            </w:pPr>
            <w:r>
              <w:rPr>
                <w:kern w:val="0"/>
                <w:sz w:val="24"/>
              </w:rPr>
              <w:t>3000</w:t>
            </w:r>
          </w:p>
        </w:tc>
        <w:tc>
          <w:tcPr>
            <w:tcW w:w="1276" w:type="dxa"/>
            <w:tcBorders>
              <w:top w:val="nil"/>
              <w:left w:val="nil"/>
              <w:bottom w:val="single" w:color="auto" w:sz="4" w:space="0"/>
              <w:right w:val="single" w:color="auto" w:sz="4" w:space="0"/>
            </w:tcBorders>
            <w:vAlign w:val="center"/>
          </w:tcPr>
          <w:p w14:paraId="2C8DC4CB">
            <w:pPr>
              <w:widowControl/>
              <w:jc w:val="center"/>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55C37A69">
            <w:pPr>
              <w:widowControl/>
              <w:jc w:val="center"/>
              <w:rPr>
                <w:b/>
                <w:bCs/>
                <w:kern w:val="0"/>
                <w:sz w:val="24"/>
              </w:rPr>
            </w:pPr>
            <w:r>
              <w:rPr>
                <w:b/>
                <w:bCs/>
                <w:kern w:val="0"/>
                <w:sz w:val="24"/>
              </w:rPr>
              <w:t>　</w:t>
            </w:r>
          </w:p>
        </w:tc>
      </w:tr>
      <w:tr w14:paraId="7AF9668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5F034E71">
            <w:pPr>
              <w:widowControl/>
              <w:jc w:val="center"/>
              <w:rPr>
                <w:b/>
                <w:bCs/>
                <w:kern w:val="0"/>
                <w:sz w:val="24"/>
              </w:rPr>
            </w:pPr>
            <w:r>
              <w:rPr>
                <w:b/>
                <w:bCs/>
                <w:kern w:val="0"/>
                <w:sz w:val="24"/>
              </w:rPr>
              <w:t>5.5</w:t>
            </w:r>
          </w:p>
        </w:tc>
        <w:tc>
          <w:tcPr>
            <w:tcW w:w="3128" w:type="dxa"/>
            <w:tcBorders>
              <w:top w:val="nil"/>
              <w:left w:val="nil"/>
              <w:bottom w:val="single" w:color="auto" w:sz="4" w:space="0"/>
              <w:right w:val="single" w:color="auto" w:sz="4" w:space="0"/>
            </w:tcBorders>
            <w:vAlign w:val="center"/>
          </w:tcPr>
          <w:p w14:paraId="1CE53DC3">
            <w:pPr>
              <w:widowControl/>
              <w:jc w:val="left"/>
              <w:rPr>
                <w:rFonts w:ascii="宋体" w:hAnsi="宋体" w:cs="宋体"/>
                <w:b/>
                <w:bCs/>
                <w:kern w:val="0"/>
                <w:sz w:val="24"/>
              </w:rPr>
            </w:pPr>
            <w:r>
              <w:rPr>
                <w:rFonts w:hint="eastAsia" w:ascii="宋体" w:hAnsi="宋体" w:cs="宋体"/>
                <w:b/>
                <w:bCs/>
                <w:kern w:val="0"/>
                <w:sz w:val="24"/>
              </w:rPr>
              <w:t>培育壮大林业龙头企业</w:t>
            </w:r>
          </w:p>
        </w:tc>
        <w:tc>
          <w:tcPr>
            <w:tcW w:w="1984" w:type="dxa"/>
            <w:tcBorders>
              <w:top w:val="nil"/>
              <w:left w:val="nil"/>
              <w:bottom w:val="single" w:color="auto" w:sz="4" w:space="0"/>
              <w:right w:val="single" w:color="auto" w:sz="4" w:space="0"/>
            </w:tcBorders>
            <w:vAlign w:val="center"/>
          </w:tcPr>
          <w:p w14:paraId="217F2D38">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26F68CD8">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5B860997">
            <w:pPr>
              <w:widowControl/>
              <w:jc w:val="center"/>
              <w:rPr>
                <w:b/>
                <w:bCs/>
                <w:kern w:val="0"/>
                <w:sz w:val="24"/>
              </w:rPr>
            </w:pPr>
            <w:r>
              <w:rPr>
                <w:b/>
                <w:bCs/>
                <w:kern w:val="0"/>
                <w:sz w:val="24"/>
              </w:rPr>
              <w:t>4000</w:t>
            </w:r>
          </w:p>
        </w:tc>
        <w:tc>
          <w:tcPr>
            <w:tcW w:w="1559" w:type="dxa"/>
            <w:tcBorders>
              <w:top w:val="nil"/>
              <w:left w:val="nil"/>
              <w:bottom w:val="single" w:color="auto" w:sz="4" w:space="0"/>
              <w:right w:val="single" w:color="auto" w:sz="4" w:space="0"/>
            </w:tcBorders>
            <w:vAlign w:val="center"/>
          </w:tcPr>
          <w:p w14:paraId="402ADEDD">
            <w:pPr>
              <w:widowControl/>
              <w:jc w:val="center"/>
              <w:rPr>
                <w:b/>
                <w:bCs/>
                <w:kern w:val="0"/>
                <w:sz w:val="24"/>
              </w:rPr>
            </w:pPr>
            <w:r>
              <w:rPr>
                <w:b/>
                <w:bCs/>
                <w:kern w:val="0"/>
                <w:sz w:val="24"/>
              </w:rPr>
              <w:t>2000</w:t>
            </w:r>
          </w:p>
        </w:tc>
        <w:tc>
          <w:tcPr>
            <w:tcW w:w="1559" w:type="dxa"/>
            <w:tcBorders>
              <w:top w:val="nil"/>
              <w:left w:val="nil"/>
              <w:bottom w:val="single" w:color="auto" w:sz="4" w:space="0"/>
              <w:right w:val="single" w:color="auto" w:sz="4" w:space="0"/>
            </w:tcBorders>
            <w:vAlign w:val="center"/>
          </w:tcPr>
          <w:p w14:paraId="47B4AB89">
            <w:pPr>
              <w:widowControl/>
              <w:jc w:val="center"/>
              <w:rPr>
                <w:b/>
                <w:bCs/>
                <w:kern w:val="0"/>
                <w:sz w:val="24"/>
              </w:rPr>
            </w:pPr>
            <w:r>
              <w:rPr>
                <w:b/>
                <w:bCs/>
                <w:kern w:val="0"/>
                <w:sz w:val="24"/>
              </w:rPr>
              <w:t>2000</w:t>
            </w:r>
          </w:p>
        </w:tc>
        <w:tc>
          <w:tcPr>
            <w:tcW w:w="1276" w:type="dxa"/>
            <w:tcBorders>
              <w:top w:val="nil"/>
              <w:left w:val="nil"/>
              <w:bottom w:val="single" w:color="auto" w:sz="4" w:space="0"/>
              <w:right w:val="single" w:color="auto" w:sz="4" w:space="0"/>
            </w:tcBorders>
            <w:vAlign w:val="center"/>
          </w:tcPr>
          <w:p w14:paraId="79258C25">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307E5E6E">
            <w:pPr>
              <w:widowControl/>
              <w:jc w:val="center"/>
              <w:rPr>
                <w:b/>
                <w:bCs/>
                <w:kern w:val="0"/>
                <w:sz w:val="24"/>
              </w:rPr>
            </w:pPr>
            <w:r>
              <w:rPr>
                <w:b/>
                <w:bCs/>
                <w:kern w:val="0"/>
                <w:sz w:val="24"/>
              </w:rPr>
              <w:t>　</w:t>
            </w:r>
          </w:p>
        </w:tc>
      </w:tr>
      <w:tr w14:paraId="56976589">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4CDEDDDF">
            <w:pPr>
              <w:widowControl/>
              <w:jc w:val="center"/>
              <w:rPr>
                <w:kern w:val="0"/>
                <w:sz w:val="24"/>
              </w:rPr>
            </w:pPr>
            <w:r>
              <w:rPr>
                <w:kern w:val="0"/>
                <w:sz w:val="24"/>
              </w:rPr>
              <w:t>5.5.1</w:t>
            </w:r>
          </w:p>
        </w:tc>
        <w:tc>
          <w:tcPr>
            <w:tcW w:w="3128" w:type="dxa"/>
            <w:tcBorders>
              <w:top w:val="nil"/>
              <w:left w:val="nil"/>
              <w:bottom w:val="single" w:color="auto" w:sz="4" w:space="0"/>
              <w:right w:val="single" w:color="auto" w:sz="4" w:space="0"/>
            </w:tcBorders>
            <w:vAlign w:val="center"/>
          </w:tcPr>
          <w:p w14:paraId="1CF2A109">
            <w:pPr>
              <w:widowControl/>
              <w:jc w:val="left"/>
              <w:rPr>
                <w:kern w:val="0"/>
                <w:sz w:val="24"/>
              </w:rPr>
            </w:pPr>
            <w:r>
              <w:rPr>
                <w:rFonts w:hint="eastAsia" w:ascii="宋体" w:hAnsi="宋体"/>
                <w:kern w:val="0"/>
                <w:sz w:val="24"/>
              </w:rPr>
              <w:t>培育壮大林业龙头企业</w:t>
            </w:r>
          </w:p>
        </w:tc>
        <w:tc>
          <w:tcPr>
            <w:tcW w:w="1984" w:type="dxa"/>
            <w:tcBorders>
              <w:top w:val="nil"/>
              <w:left w:val="nil"/>
              <w:bottom w:val="single" w:color="auto" w:sz="4" w:space="0"/>
              <w:right w:val="single" w:color="auto" w:sz="4" w:space="0"/>
            </w:tcBorders>
            <w:vAlign w:val="center"/>
          </w:tcPr>
          <w:p w14:paraId="231894C3">
            <w:pPr>
              <w:widowControl/>
              <w:jc w:val="center"/>
              <w:rPr>
                <w:rFonts w:ascii="宋体" w:hAnsi="宋体" w:cs="宋体"/>
                <w:kern w:val="0"/>
                <w:sz w:val="24"/>
              </w:rPr>
            </w:pPr>
            <w:r>
              <w:rPr>
                <w:rFonts w:hint="eastAsia" w:ascii="宋体" w:hAnsi="宋体" w:cs="宋体"/>
                <w:kern w:val="0"/>
                <w:sz w:val="24"/>
              </w:rPr>
              <w:t>育才生态区、天涯区</w:t>
            </w:r>
          </w:p>
        </w:tc>
        <w:tc>
          <w:tcPr>
            <w:tcW w:w="1236" w:type="dxa"/>
            <w:tcBorders>
              <w:top w:val="nil"/>
              <w:left w:val="nil"/>
              <w:bottom w:val="single" w:color="auto" w:sz="4" w:space="0"/>
              <w:right w:val="single" w:color="auto" w:sz="4" w:space="0"/>
            </w:tcBorders>
            <w:vAlign w:val="center"/>
          </w:tcPr>
          <w:p w14:paraId="010FC30D">
            <w:pPr>
              <w:widowControl/>
              <w:jc w:val="center"/>
              <w:rPr>
                <w:kern w:val="0"/>
                <w:sz w:val="24"/>
              </w:rPr>
            </w:pPr>
            <w:r>
              <w:rPr>
                <w:kern w:val="0"/>
                <w:sz w:val="24"/>
              </w:rPr>
              <w:t>4</w:t>
            </w:r>
            <w:r>
              <w:rPr>
                <w:rFonts w:hint="eastAsia" w:ascii="宋体" w:hAnsi="宋体"/>
                <w:kern w:val="0"/>
                <w:sz w:val="24"/>
              </w:rPr>
              <w:t>家</w:t>
            </w:r>
          </w:p>
        </w:tc>
        <w:tc>
          <w:tcPr>
            <w:tcW w:w="1701" w:type="dxa"/>
            <w:tcBorders>
              <w:top w:val="nil"/>
              <w:left w:val="nil"/>
              <w:bottom w:val="single" w:color="auto" w:sz="4" w:space="0"/>
              <w:right w:val="single" w:color="auto" w:sz="4" w:space="0"/>
            </w:tcBorders>
            <w:vAlign w:val="center"/>
          </w:tcPr>
          <w:p w14:paraId="54BA84C4">
            <w:pPr>
              <w:widowControl/>
              <w:jc w:val="center"/>
              <w:rPr>
                <w:kern w:val="0"/>
                <w:sz w:val="24"/>
              </w:rPr>
            </w:pPr>
            <w:r>
              <w:rPr>
                <w:kern w:val="0"/>
                <w:sz w:val="24"/>
              </w:rPr>
              <w:t>4000</w:t>
            </w:r>
          </w:p>
        </w:tc>
        <w:tc>
          <w:tcPr>
            <w:tcW w:w="1559" w:type="dxa"/>
            <w:tcBorders>
              <w:top w:val="nil"/>
              <w:left w:val="nil"/>
              <w:bottom w:val="single" w:color="auto" w:sz="4" w:space="0"/>
              <w:right w:val="single" w:color="auto" w:sz="4" w:space="0"/>
            </w:tcBorders>
            <w:vAlign w:val="center"/>
          </w:tcPr>
          <w:p w14:paraId="12843224">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74845356">
            <w:pPr>
              <w:widowControl/>
              <w:jc w:val="center"/>
              <w:rPr>
                <w:kern w:val="0"/>
                <w:sz w:val="24"/>
              </w:rPr>
            </w:pPr>
            <w:r>
              <w:rPr>
                <w:kern w:val="0"/>
                <w:sz w:val="24"/>
              </w:rPr>
              <w:t>2000</w:t>
            </w:r>
          </w:p>
        </w:tc>
        <w:tc>
          <w:tcPr>
            <w:tcW w:w="1276" w:type="dxa"/>
            <w:tcBorders>
              <w:top w:val="nil"/>
              <w:left w:val="nil"/>
              <w:bottom w:val="single" w:color="auto" w:sz="4" w:space="0"/>
              <w:right w:val="single" w:color="auto" w:sz="4" w:space="0"/>
            </w:tcBorders>
            <w:vAlign w:val="center"/>
          </w:tcPr>
          <w:p w14:paraId="137DF64B">
            <w:pPr>
              <w:widowControl/>
              <w:jc w:val="center"/>
              <w:rPr>
                <w:kern w:val="0"/>
                <w:sz w:val="24"/>
              </w:rPr>
            </w:pPr>
            <w:r>
              <w:rPr>
                <w:rFonts w:hint="eastAsia" w:ascii="宋体" w:hAnsi="宋体"/>
                <w:kern w:val="0"/>
                <w:sz w:val="24"/>
              </w:rPr>
              <w:t>社会投资</w:t>
            </w:r>
          </w:p>
        </w:tc>
        <w:tc>
          <w:tcPr>
            <w:tcW w:w="851" w:type="dxa"/>
            <w:tcBorders>
              <w:top w:val="nil"/>
              <w:left w:val="nil"/>
              <w:bottom w:val="single" w:color="auto" w:sz="4" w:space="0"/>
              <w:right w:val="single" w:color="auto" w:sz="4" w:space="0"/>
            </w:tcBorders>
            <w:vAlign w:val="center"/>
          </w:tcPr>
          <w:p w14:paraId="625E4C06">
            <w:pPr>
              <w:widowControl/>
              <w:jc w:val="center"/>
              <w:rPr>
                <w:b/>
                <w:bCs/>
                <w:kern w:val="0"/>
                <w:sz w:val="24"/>
              </w:rPr>
            </w:pPr>
            <w:r>
              <w:rPr>
                <w:b/>
                <w:bCs/>
                <w:kern w:val="0"/>
                <w:sz w:val="24"/>
              </w:rPr>
              <w:t>　</w:t>
            </w:r>
          </w:p>
        </w:tc>
      </w:tr>
      <w:tr w14:paraId="297C20A2">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091F0D11">
            <w:pPr>
              <w:widowControl/>
              <w:jc w:val="center"/>
              <w:rPr>
                <w:b/>
                <w:bCs/>
                <w:kern w:val="0"/>
                <w:sz w:val="24"/>
              </w:rPr>
            </w:pPr>
            <w:r>
              <w:rPr>
                <w:b/>
                <w:bCs/>
                <w:kern w:val="0"/>
                <w:sz w:val="24"/>
              </w:rPr>
              <w:t>5.6</w:t>
            </w:r>
          </w:p>
        </w:tc>
        <w:tc>
          <w:tcPr>
            <w:tcW w:w="3128" w:type="dxa"/>
            <w:tcBorders>
              <w:top w:val="nil"/>
              <w:left w:val="nil"/>
              <w:bottom w:val="single" w:color="auto" w:sz="4" w:space="0"/>
              <w:right w:val="single" w:color="auto" w:sz="4" w:space="0"/>
            </w:tcBorders>
            <w:vAlign w:val="center"/>
          </w:tcPr>
          <w:p w14:paraId="074505EB">
            <w:pPr>
              <w:widowControl/>
              <w:jc w:val="left"/>
              <w:rPr>
                <w:rFonts w:ascii="宋体" w:hAnsi="宋体" w:cs="宋体"/>
                <w:b/>
                <w:bCs/>
                <w:kern w:val="0"/>
                <w:sz w:val="24"/>
              </w:rPr>
            </w:pPr>
            <w:r>
              <w:rPr>
                <w:rFonts w:hint="eastAsia" w:ascii="宋体" w:hAnsi="宋体" w:cs="宋体"/>
                <w:b/>
                <w:bCs/>
                <w:kern w:val="0"/>
                <w:sz w:val="24"/>
              </w:rPr>
              <w:t>建立特色南药、黎药展销中心</w:t>
            </w:r>
          </w:p>
        </w:tc>
        <w:tc>
          <w:tcPr>
            <w:tcW w:w="1984" w:type="dxa"/>
            <w:tcBorders>
              <w:top w:val="nil"/>
              <w:left w:val="nil"/>
              <w:bottom w:val="single" w:color="auto" w:sz="4" w:space="0"/>
              <w:right w:val="single" w:color="auto" w:sz="4" w:space="0"/>
            </w:tcBorders>
            <w:vAlign w:val="center"/>
          </w:tcPr>
          <w:p w14:paraId="7E00B972">
            <w:pPr>
              <w:widowControl/>
              <w:jc w:val="center"/>
              <w:rPr>
                <w:rFonts w:ascii="宋体" w:hAnsi="宋体" w:cs="宋体"/>
                <w:b/>
                <w:bCs/>
                <w:kern w:val="0"/>
                <w:sz w:val="24"/>
              </w:rPr>
            </w:pPr>
            <w:r>
              <w:rPr>
                <w:rFonts w:hint="eastAsia" w:ascii="宋体" w:hAnsi="宋体" w:cs="宋体"/>
                <w:b/>
                <w:bCs/>
                <w:kern w:val="0"/>
                <w:sz w:val="24"/>
              </w:rPr>
              <w:t>　</w:t>
            </w:r>
          </w:p>
        </w:tc>
        <w:tc>
          <w:tcPr>
            <w:tcW w:w="1236" w:type="dxa"/>
            <w:tcBorders>
              <w:top w:val="nil"/>
              <w:left w:val="nil"/>
              <w:bottom w:val="single" w:color="auto" w:sz="4" w:space="0"/>
              <w:right w:val="single" w:color="auto" w:sz="4" w:space="0"/>
            </w:tcBorders>
            <w:vAlign w:val="center"/>
          </w:tcPr>
          <w:p w14:paraId="7CD749A4">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6A3102E6">
            <w:pPr>
              <w:widowControl/>
              <w:jc w:val="center"/>
              <w:rPr>
                <w:b/>
                <w:bCs/>
                <w:kern w:val="0"/>
                <w:sz w:val="24"/>
              </w:rPr>
            </w:pPr>
            <w:r>
              <w:rPr>
                <w:b/>
                <w:bCs/>
                <w:kern w:val="0"/>
                <w:sz w:val="24"/>
              </w:rPr>
              <w:t>1800</w:t>
            </w:r>
          </w:p>
        </w:tc>
        <w:tc>
          <w:tcPr>
            <w:tcW w:w="1559" w:type="dxa"/>
            <w:tcBorders>
              <w:top w:val="nil"/>
              <w:left w:val="nil"/>
              <w:bottom w:val="single" w:color="auto" w:sz="4" w:space="0"/>
              <w:right w:val="single" w:color="auto" w:sz="4" w:space="0"/>
            </w:tcBorders>
            <w:vAlign w:val="center"/>
          </w:tcPr>
          <w:p w14:paraId="7549282A">
            <w:pPr>
              <w:widowControl/>
              <w:jc w:val="center"/>
              <w:rPr>
                <w:b/>
                <w:bCs/>
                <w:kern w:val="0"/>
                <w:sz w:val="24"/>
              </w:rPr>
            </w:pPr>
            <w:r>
              <w:rPr>
                <w:b/>
                <w:bCs/>
                <w:kern w:val="0"/>
                <w:sz w:val="24"/>
              </w:rPr>
              <w:t>1800</w:t>
            </w:r>
          </w:p>
        </w:tc>
        <w:tc>
          <w:tcPr>
            <w:tcW w:w="1559" w:type="dxa"/>
            <w:tcBorders>
              <w:top w:val="nil"/>
              <w:left w:val="nil"/>
              <w:bottom w:val="single" w:color="auto" w:sz="4" w:space="0"/>
              <w:right w:val="single" w:color="auto" w:sz="4" w:space="0"/>
            </w:tcBorders>
            <w:vAlign w:val="center"/>
          </w:tcPr>
          <w:p w14:paraId="1296C1B5">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3C91E657">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443E6A2D">
            <w:pPr>
              <w:widowControl/>
              <w:jc w:val="center"/>
              <w:rPr>
                <w:b/>
                <w:bCs/>
                <w:kern w:val="0"/>
                <w:sz w:val="24"/>
              </w:rPr>
            </w:pPr>
            <w:r>
              <w:rPr>
                <w:b/>
                <w:bCs/>
                <w:kern w:val="0"/>
                <w:sz w:val="24"/>
              </w:rPr>
              <w:t>　</w:t>
            </w:r>
          </w:p>
        </w:tc>
      </w:tr>
      <w:tr w14:paraId="35257F0E">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19FCA9FD">
            <w:pPr>
              <w:widowControl/>
              <w:jc w:val="center"/>
              <w:rPr>
                <w:kern w:val="0"/>
                <w:sz w:val="24"/>
              </w:rPr>
            </w:pPr>
            <w:r>
              <w:rPr>
                <w:kern w:val="0"/>
                <w:sz w:val="24"/>
              </w:rPr>
              <w:t>5.6.1</w:t>
            </w:r>
          </w:p>
        </w:tc>
        <w:tc>
          <w:tcPr>
            <w:tcW w:w="3128" w:type="dxa"/>
            <w:tcBorders>
              <w:top w:val="nil"/>
              <w:left w:val="nil"/>
              <w:bottom w:val="single" w:color="auto" w:sz="4" w:space="0"/>
              <w:right w:val="single" w:color="auto" w:sz="4" w:space="0"/>
            </w:tcBorders>
            <w:vAlign w:val="center"/>
          </w:tcPr>
          <w:p w14:paraId="0D121F29">
            <w:pPr>
              <w:widowControl/>
              <w:jc w:val="left"/>
              <w:rPr>
                <w:kern w:val="0"/>
                <w:sz w:val="24"/>
              </w:rPr>
            </w:pPr>
            <w:r>
              <w:rPr>
                <w:rFonts w:hint="eastAsia" w:ascii="宋体" w:hAnsi="宋体"/>
                <w:kern w:val="0"/>
                <w:sz w:val="24"/>
              </w:rPr>
              <w:t>特色南药、黎药展销中心</w:t>
            </w:r>
          </w:p>
        </w:tc>
        <w:tc>
          <w:tcPr>
            <w:tcW w:w="1984" w:type="dxa"/>
            <w:tcBorders>
              <w:top w:val="nil"/>
              <w:left w:val="nil"/>
              <w:bottom w:val="single" w:color="auto" w:sz="4" w:space="0"/>
              <w:right w:val="single" w:color="auto" w:sz="4" w:space="0"/>
            </w:tcBorders>
            <w:vAlign w:val="center"/>
          </w:tcPr>
          <w:p w14:paraId="0B422FFB">
            <w:pPr>
              <w:widowControl/>
              <w:jc w:val="center"/>
              <w:rPr>
                <w:kern w:val="0"/>
                <w:sz w:val="24"/>
              </w:rPr>
            </w:pPr>
            <w:r>
              <w:rPr>
                <w:rFonts w:hint="eastAsia" w:ascii="宋体" w:hAnsi="宋体"/>
                <w:kern w:val="0"/>
                <w:sz w:val="24"/>
              </w:rPr>
              <w:t>天涯区</w:t>
            </w:r>
          </w:p>
        </w:tc>
        <w:tc>
          <w:tcPr>
            <w:tcW w:w="1236" w:type="dxa"/>
            <w:tcBorders>
              <w:top w:val="nil"/>
              <w:left w:val="nil"/>
              <w:bottom w:val="single" w:color="auto" w:sz="4" w:space="0"/>
              <w:right w:val="single" w:color="auto" w:sz="4" w:space="0"/>
            </w:tcBorders>
            <w:vAlign w:val="center"/>
          </w:tcPr>
          <w:p w14:paraId="0537599F">
            <w:pPr>
              <w:widowControl/>
              <w:jc w:val="center"/>
              <w:rPr>
                <w:kern w:val="0"/>
                <w:sz w:val="24"/>
              </w:rPr>
            </w:pPr>
            <w:r>
              <w:rPr>
                <w:kern w:val="0"/>
                <w:sz w:val="24"/>
              </w:rPr>
              <w:t>0.6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3775ED66">
            <w:pPr>
              <w:widowControl/>
              <w:jc w:val="center"/>
              <w:rPr>
                <w:kern w:val="0"/>
                <w:sz w:val="24"/>
              </w:rPr>
            </w:pPr>
            <w:r>
              <w:rPr>
                <w:kern w:val="0"/>
                <w:sz w:val="24"/>
              </w:rPr>
              <w:t>1800</w:t>
            </w:r>
          </w:p>
        </w:tc>
        <w:tc>
          <w:tcPr>
            <w:tcW w:w="1559" w:type="dxa"/>
            <w:tcBorders>
              <w:top w:val="nil"/>
              <w:left w:val="nil"/>
              <w:bottom w:val="single" w:color="auto" w:sz="4" w:space="0"/>
              <w:right w:val="single" w:color="auto" w:sz="4" w:space="0"/>
            </w:tcBorders>
            <w:vAlign w:val="center"/>
          </w:tcPr>
          <w:p w14:paraId="42212437">
            <w:pPr>
              <w:widowControl/>
              <w:jc w:val="center"/>
              <w:rPr>
                <w:kern w:val="0"/>
                <w:sz w:val="24"/>
              </w:rPr>
            </w:pPr>
            <w:r>
              <w:rPr>
                <w:kern w:val="0"/>
                <w:sz w:val="24"/>
              </w:rPr>
              <w:t>1800</w:t>
            </w:r>
          </w:p>
        </w:tc>
        <w:tc>
          <w:tcPr>
            <w:tcW w:w="1559" w:type="dxa"/>
            <w:tcBorders>
              <w:top w:val="nil"/>
              <w:left w:val="nil"/>
              <w:bottom w:val="single" w:color="auto" w:sz="4" w:space="0"/>
              <w:right w:val="single" w:color="auto" w:sz="4" w:space="0"/>
            </w:tcBorders>
            <w:vAlign w:val="center"/>
          </w:tcPr>
          <w:p w14:paraId="0C773ABC">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5514EF39">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1F2A4F00">
            <w:pPr>
              <w:widowControl/>
              <w:jc w:val="center"/>
              <w:rPr>
                <w:b/>
                <w:bCs/>
                <w:kern w:val="0"/>
                <w:sz w:val="24"/>
              </w:rPr>
            </w:pPr>
            <w:r>
              <w:rPr>
                <w:b/>
                <w:bCs/>
                <w:kern w:val="0"/>
                <w:sz w:val="24"/>
              </w:rPr>
              <w:t>　</w:t>
            </w:r>
          </w:p>
        </w:tc>
      </w:tr>
      <w:tr w14:paraId="51610F8E">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7A87FD92">
            <w:pPr>
              <w:widowControl/>
              <w:jc w:val="center"/>
              <w:rPr>
                <w:rFonts w:ascii="宋体" w:hAnsi="宋体" w:cs="宋体"/>
                <w:b/>
                <w:bCs/>
                <w:kern w:val="0"/>
                <w:sz w:val="24"/>
              </w:rPr>
            </w:pPr>
            <w:r>
              <w:rPr>
                <w:rFonts w:hint="eastAsia" w:ascii="宋体" w:hAnsi="宋体" w:cs="宋体"/>
                <w:b/>
                <w:bCs/>
                <w:kern w:val="0"/>
                <w:sz w:val="24"/>
              </w:rPr>
              <w:t>六</w:t>
            </w:r>
          </w:p>
        </w:tc>
        <w:tc>
          <w:tcPr>
            <w:tcW w:w="3128" w:type="dxa"/>
            <w:tcBorders>
              <w:top w:val="nil"/>
              <w:left w:val="nil"/>
              <w:bottom w:val="single" w:color="auto" w:sz="4" w:space="0"/>
              <w:right w:val="single" w:color="auto" w:sz="4" w:space="0"/>
            </w:tcBorders>
            <w:vAlign w:val="center"/>
          </w:tcPr>
          <w:p w14:paraId="4E17C0CD">
            <w:pPr>
              <w:widowControl/>
              <w:jc w:val="left"/>
              <w:rPr>
                <w:rFonts w:ascii="宋体" w:hAnsi="宋体" w:cs="宋体"/>
                <w:b/>
                <w:bCs/>
                <w:kern w:val="0"/>
                <w:sz w:val="24"/>
              </w:rPr>
            </w:pPr>
            <w:r>
              <w:rPr>
                <w:rFonts w:hint="eastAsia" w:ascii="宋体" w:hAnsi="宋体" w:cs="宋体"/>
                <w:b/>
                <w:bCs/>
                <w:kern w:val="0"/>
                <w:sz w:val="24"/>
              </w:rPr>
              <w:t>生态保护与修复产业</w:t>
            </w:r>
          </w:p>
        </w:tc>
        <w:tc>
          <w:tcPr>
            <w:tcW w:w="1984" w:type="dxa"/>
            <w:tcBorders>
              <w:top w:val="nil"/>
              <w:left w:val="nil"/>
              <w:bottom w:val="single" w:color="auto" w:sz="4" w:space="0"/>
              <w:right w:val="single" w:color="auto" w:sz="4" w:space="0"/>
            </w:tcBorders>
            <w:vAlign w:val="center"/>
          </w:tcPr>
          <w:p w14:paraId="004C4E92">
            <w:pPr>
              <w:widowControl/>
              <w:jc w:val="center"/>
              <w:rPr>
                <w:rFonts w:ascii="宋体" w:hAnsi="宋体" w:cs="宋体"/>
                <w:b/>
                <w:bCs/>
                <w:kern w:val="0"/>
                <w:sz w:val="24"/>
              </w:rPr>
            </w:pPr>
            <w:r>
              <w:rPr>
                <w:rFonts w:hint="eastAsia" w:ascii="宋体" w:hAnsi="宋体" w:cs="宋体"/>
                <w:b/>
                <w:bCs/>
                <w:kern w:val="0"/>
                <w:sz w:val="24"/>
              </w:rPr>
              <w:t>　</w:t>
            </w:r>
          </w:p>
        </w:tc>
        <w:tc>
          <w:tcPr>
            <w:tcW w:w="1236" w:type="dxa"/>
            <w:tcBorders>
              <w:top w:val="nil"/>
              <w:left w:val="nil"/>
              <w:bottom w:val="single" w:color="auto" w:sz="4" w:space="0"/>
              <w:right w:val="single" w:color="auto" w:sz="4" w:space="0"/>
            </w:tcBorders>
            <w:vAlign w:val="center"/>
          </w:tcPr>
          <w:p w14:paraId="0A6EDF34">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5A758F27">
            <w:pPr>
              <w:widowControl/>
              <w:jc w:val="center"/>
              <w:rPr>
                <w:b/>
                <w:bCs/>
                <w:kern w:val="0"/>
                <w:sz w:val="24"/>
              </w:rPr>
            </w:pPr>
            <w:r>
              <w:rPr>
                <w:b/>
                <w:bCs/>
                <w:kern w:val="0"/>
                <w:sz w:val="24"/>
              </w:rPr>
              <w:t>244700</w:t>
            </w:r>
          </w:p>
        </w:tc>
        <w:tc>
          <w:tcPr>
            <w:tcW w:w="1559" w:type="dxa"/>
            <w:tcBorders>
              <w:top w:val="nil"/>
              <w:left w:val="nil"/>
              <w:bottom w:val="single" w:color="auto" w:sz="4" w:space="0"/>
              <w:right w:val="single" w:color="auto" w:sz="4" w:space="0"/>
            </w:tcBorders>
            <w:vAlign w:val="center"/>
          </w:tcPr>
          <w:p w14:paraId="6B01BB66">
            <w:pPr>
              <w:widowControl/>
              <w:jc w:val="center"/>
              <w:rPr>
                <w:b/>
                <w:bCs/>
                <w:kern w:val="0"/>
                <w:sz w:val="24"/>
              </w:rPr>
            </w:pPr>
            <w:r>
              <w:rPr>
                <w:b/>
                <w:bCs/>
                <w:kern w:val="0"/>
                <w:sz w:val="24"/>
              </w:rPr>
              <w:t>103200</w:t>
            </w:r>
          </w:p>
        </w:tc>
        <w:tc>
          <w:tcPr>
            <w:tcW w:w="1559" w:type="dxa"/>
            <w:tcBorders>
              <w:top w:val="nil"/>
              <w:left w:val="nil"/>
              <w:bottom w:val="single" w:color="auto" w:sz="4" w:space="0"/>
              <w:right w:val="single" w:color="auto" w:sz="4" w:space="0"/>
            </w:tcBorders>
            <w:vAlign w:val="center"/>
          </w:tcPr>
          <w:p w14:paraId="3C7F2CB8">
            <w:pPr>
              <w:widowControl/>
              <w:jc w:val="center"/>
              <w:rPr>
                <w:b/>
                <w:bCs/>
                <w:kern w:val="0"/>
                <w:sz w:val="24"/>
              </w:rPr>
            </w:pPr>
            <w:r>
              <w:rPr>
                <w:b/>
                <w:bCs/>
                <w:kern w:val="0"/>
                <w:sz w:val="24"/>
              </w:rPr>
              <w:t>141500</w:t>
            </w:r>
          </w:p>
        </w:tc>
        <w:tc>
          <w:tcPr>
            <w:tcW w:w="1276" w:type="dxa"/>
            <w:tcBorders>
              <w:top w:val="nil"/>
              <w:left w:val="nil"/>
              <w:bottom w:val="single" w:color="auto" w:sz="4" w:space="0"/>
              <w:right w:val="single" w:color="auto" w:sz="4" w:space="0"/>
            </w:tcBorders>
            <w:vAlign w:val="center"/>
          </w:tcPr>
          <w:p w14:paraId="75E361A3">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2F259F67">
            <w:pPr>
              <w:widowControl/>
              <w:jc w:val="center"/>
              <w:rPr>
                <w:b/>
                <w:bCs/>
                <w:kern w:val="0"/>
                <w:sz w:val="24"/>
              </w:rPr>
            </w:pPr>
            <w:r>
              <w:rPr>
                <w:b/>
                <w:bCs/>
                <w:kern w:val="0"/>
                <w:sz w:val="24"/>
              </w:rPr>
              <w:t>　</w:t>
            </w:r>
          </w:p>
        </w:tc>
      </w:tr>
      <w:tr w14:paraId="203208AE">
        <w:tblPrEx>
          <w:tblCellMar>
            <w:top w:w="0" w:type="dxa"/>
            <w:left w:w="108" w:type="dxa"/>
            <w:bottom w:w="0" w:type="dxa"/>
            <w:right w:w="108" w:type="dxa"/>
          </w:tblCellMar>
        </w:tblPrEx>
        <w:trPr>
          <w:cantSplit/>
          <w:trHeight w:val="315" w:hRule="atLeast"/>
        </w:trPr>
        <w:tc>
          <w:tcPr>
            <w:tcW w:w="1140" w:type="dxa"/>
            <w:tcBorders>
              <w:top w:val="single" w:color="auto" w:sz="4" w:space="0"/>
              <w:left w:val="single" w:color="auto" w:sz="4" w:space="0"/>
              <w:bottom w:val="single" w:color="auto" w:sz="4" w:space="0"/>
              <w:right w:val="single" w:color="auto" w:sz="4" w:space="0"/>
            </w:tcBorders>
            <w:vAlign w:val="center"/>
          </w:tcPr>
          <w:p w14:paraId="139E8BF6">
            <w:pPr>
              <w:widowControl/>
              <w:jc w:val="center"/>
              <w:rPr>
                <w:b/>
                <w:bCs/>
                <w:kern w:val="0"/>
                <w:sz w:val="24"/>
              </w:rPr>
            </w:pPr>
            <w:r>
              <w:rPr>
                <w:b/>
                <w:bCs/>
                <w:kern w:val="0"/>
                <w:sz w:val="24"/>
              </w:rPr>
              <w:t>6.1</w:t>
            </w:r>
          </w:p>
        </w:tc>
        <w:tc>
          <w:tcPr>
            <w:tcW w:w="3128" w:type="dxa"/>
            <w:tcBorders>
              <w:top w:val="single" w:color="auto" w:sz="4" w:space="0"/>
              <w:left w:val="nil"/>
              <w:bottom w:val="single" w:color="auto" w:sz="4" w:space="0"/>
              <w:right w:val="single" w:color="auto" w:sz="4" w:space="0"/>
            </w:tcBorders>
            <w:vAlign w:val="center"/>
          </w:tcPr>
          <w:p w14:paraId="446C19E2">
            <w:pPr>
              <w:widowControl/>
              <w:jc w:val="left"/>
              <w:rPr>
                <w:rFonts w:ascii="宋体" w:hAnsi="宋体" w:cs="宋体"/>
                <w:b/>
                <w:bCs/>
                <w:kern w:val="0"/>
                <w:sz w:val="24"/>
              </w:rPr>
            </w:pPr>
            <w:r>
              <w:rPr>
                <w:rFonts w:hint="eastAsia" w:ascii="宋体" w:hAnsi="宋体" w:cs="宋体"/>
                <w:b/>
                <w:bCs/>
                <w:kern w:val="0"/>
                <w:sz w:val="24"/>
              </w:rPr>
              <w:t>湿地保护与修复建设工程</w:t>
            </w:r>
          </w:p>
        </w:tc>
        <w:tc>
          <w:tcPr>
            <w:tcW w:w="1984" w:type="dxa"/>
            <w:tcBorders>
              <w:top w:val="single" w:color="auto" w:sz="4" w:space="0"/>
              <w:left w:val="nil"/>
              <w:bottom w:val="single" w:color="auto" w:sz="4" w:space="0"/>
              <w:right w:val="single" w:color="auto" w:sz="4" w:space="0"/>
            </w:tcBorders>
            <w:vAlign w:val="center"/>
          </w:tcPr>
          <w:p w14:paraId="0229D1D1">
            <w:pPr>
              <w:widowControl/>
              <w:jc w:val="center"/>
              <w:rPr>
                <w:rFonts w:ascii="宋体" w:hAnsi="宋体" w:cs="宋体"/>
                <w:b/>
                <w:bCs/>
                <w:kern w:val="0"/>
                <w:sz w:val="24"/>
              </w:rPr>
            </w:pPr>
            <w:r>
              <w:rPr>
                <w:rFonts w:hint="eastAsia" w:ascii="宋体" w:hAnsi="宋体" w:cs="宋体"/>
                <w:b/>
                <w:bCs/>
                <w:kern w:val="0"/>
                <w:sz w:val="24"/>
              </w:rPr>
              <w:t>　</w:t>
            </w:r>
          </w:p>
        </w:tc>
        <w:tc>
          <w:tcPr>
            <w:tcW w:w="1236" w:type="dxa"/>
            <w:tcBorders>
              <w:top w:val="single" w:color="auto" w:sz="4" w:space="0"/>
              <w:left w:val="nil"/>
              <w:bottom w:val="single" w:color="auto" w:sz="4" w:space="0"/>
              <w:right w:val="single" w:color="auto" w:sz="4" w:space="0"/>
            </w:tcBorders>
            <w:vAlign w:val="center"/>
          </w:tcPr>
          <w:p w14:paraId="1962E2D2">
            <w:pPr>
              <w:widowControl/>
              <w:jc w:val="center"/>
              <w:rPr>
                <w:b/>
                <w:bCs/>
                <w:kern w:val="0"/>
                <w:sz w:val="24"/>
              </w:rPr>
            </w:pPr>
            <w:r>
              <w:rPr>
                <w:b/>
                <w:bCs/>
                <w:kern w:val="0"/>
                <w:sz w:val="24"/>
              </w:rPr>
              <w:t>　</w:t>
            </w:r>
          </w:p>
        </w:tc>
        <w:tc>
          <w:tcPr>
            <w:tcW w:w="1701" w:type="dxa"/>
            <w:tcBorders>
              <w:top w:val="single" w:color="auto" w:sz="4" w:space="0"/>
              <w:left w:val="nil"/>
              <w:bottom w:val="single" w:color="auto" w:sz="4" w:space="0"/>
              <w:right w:val="single" w:color="auto" w:sz="4" w:space="0"/>
            </w:tcBorders>
            <w:vAlign w:val="center"/>
          </w:tcPr>
          <w:p w14:paraId="01A445FF">
            <w:pPr>
              <w:widowControl/>
              <w:jc w:val="center"/>
              <w:rPr>
                <w:b/>
                <w:bCs/>
                <w:kern w:val="0"/>
                <w:sz w:val="24"/>
              </w:rPr>
            </w:pPr>
            <w:r>
              <w:rPr>
                <w:b/>
                <w:bCs/>
                <w:kern w:val="0"/>
                <w:sz w:val="24"/>
              </w:rPr>
              <w:t>30700</w:t>
            </w:r>
          </w:p>
        </w:tc>
        <w:tc>
          <w:tcPr>
            <w:tcW w:w="1559" w:type="dxa"/>
            <w:tcBorders>
              <w:top w:val="single" w:color="auto" w:sz="4" w:space="0"/>
              <w:left w:val="nil"/>
              <w:bottom w:val="single" w:color="auto" w:sz="4" w:space="0"/>
              <w:right w:val="single" w:color="auto" w:sz="4" w:space="0"/>
            </w:tcBorders>
            <w:vAlign w:val="center"/>
          </w:tcPr>
          <w:p w14:paraId="161DF87E">
            <w:pPr>
              <w:widowControl/>
              <w:jc w:val="center"/>
              <w:rPr>
                <w:b/>
                <w:bCs/>
                <w:kern w:val="0"/>
                <w:sz w:val="24"/>
              </w:rPr>
            </w:pPr>
            <w:r>
              <w:rPr>
                <w:b/>
                <w:bCs/>
                <w:kern w:val="0"/>
                <w:sz w:val="24"/>
              </w:rPr>
              <w:t>21700</w:t>
            </w:r>
          </w:p>
        </w:tc>
        <w:tc>
          <w:tcPr>
            <w:tcW w:w="1559" w:type="dxa"/>
            <w:tcBorders>
              <w:top w:val="single" w:color="auto" w:sz="4" w:space="0"/>
              <w:left w:val="nil"/>
              <w:bottom w:val="single" w:color="auto" w:sz="4" w:space="0"/>
              <w:right w:val="single" w:color="auto" w:sz="4" w:space="0"/>
            </w:tcBorders>
            <w:vAlign w:val="center"/>
          </w:tcPr>
          <w:p w14:paraId="16D2BDBD">
            <w:pPr>
              <w:widowControl/>
              <w:jc w:val="center"/>
              <w:rPr>
                <w:b/>
                <w:bCs/>
                <w:kern w:val="0"/>
                <w:sz w:val="24"/>
              </w:rPr>
            </w:pPr>
            <w:r>
              <w:rPr>
                <w:b/>
                <w:bCs/>
                <w:kern w:val="0"/>
                <w:sz w:val="24"/>
              </w:rPr>
              <w:t>9000</w:t>
            </w:r>
          </w:p>
        </w:tc>
        <w:tc>
          <w:tcPr>
            <w:tcW w:w="1276" w:type="dxa"/>
            <w:tcBorders>
              <w:top w:val="single" w:color="auto" w:sz="4" w:space="0"/>
              <w:left w:val="nil"/>
              <w:bottom w:val="single" w:color="auto" w:sz="4" w:space="0"/>
              <w:right w:val="single" w:color="auto" w:sz="4" w:space="0"/>
            </w:tcBorders>
            <w:vAlign w:val="center"/>
          </w:tcPr>
          <w:p w14:paraId="2DC5B0F9">
            <w:pPr>
              <w:widowControl/>
              <w:jc w:val="center"/>
              <w:rPr>
                <w:b/>
                <w:bCs/>
                <w:kern w:val="0"/>
                <w:sz w:val="24"/>
              </w:rPr>
            </w:pPr>
            <w:r>
              <w:rPr>
                <w:b/>
                <w:bCs/>
                <w:kern w:val="0"/>
                <w:sz w:val="24"/>
              </w:rPr>
              <w:t>　</w:t>
            </w:r>
          </w:p>
        </w:tc>
        <w:tc>
          <w:tcPr>
            <w:tcW w:w="851" w:type="dxa"/>
            <w:tcBorders>
              <w:top w:val="single" w:color="auto" w:sz="4" w:space="0"/>
              <w:left w:val="nil"/>
              <w:bottom w:val="single" w:color="auto" w:sz="4" w:space="0"/>
              <w:right w:val="single" w:color="auto" w:sz="4" w:space="0"/>
            </w:tcBorders>
            <w:vAlign w:val="center"/>
          </w:tcPr>
          <w:p w14:paraId="14231039">
            <w:pPr>
              <w:widowControl/>
              <w:jc w:val="center"/>
              <w:rPr>
                <w:b/>
                <w:bCs/>
                <w:kern w:val="0"/>
                <w:sz w:val="24"/>
              </w:rPr>
            </w:pPr>
            <w:r>
              <w:rPr>
                <w:b/>
                <w:bCs/>
                <w:kern w:val="0"/>
                <w:sz w:val="24"/>
              </w:rPr>
              <w:t>　</w:t>
            </w:r>
          </w:p>
        </w:tc>
      </w:tr>
      <w:tr w14:paraId="681ACCB5">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3A83AC41">
            <w:pPr>
              <w:widowControl/>
              <w:jc w:val="center"/>
              <w:rPr>
                <w:kern w:val="0"/>
                <w:sz w:val="24"/>
              </w:rPr>
            </w:pPr>
            <w:r>
              <w:rPr>
                <w:kern w:val="0"/>
                <w:sz w:val="24"/>
              </w:rPr>
              <w:t>6.1.1</w:t>
            </w:r>
          </w:p>
        </w:tc>
        <w:tc>
          <w:tcPr>
            <w:tcW w:w="3128" w:type="dxa"/>
            <w:tcBorders>
              <w:top w:val="nil"/>
              <w:left w:val="nil"/>
              <w:bottom w:val="single" w:color="auto" w:sz="4" w:space="0"/>
              <w:right w:val="single" w:color="auto" w:sz="4" w:space="0"/>
            </w:tcBorders>
            <w:vAlign w:val="center"/>
          </w:tcPr>
          <w:p w14:paraId="6873FBCF">
            <w:pPr>
              <w:widowControl/>
              <w:jc w:val="left"/>
              <w:rPr>
                <w:kern w:val="0"/>
                <w:sz w:val="24"/>
              </w:rPr>
            </w:pPr>
            <w:r>
              <w:rPr>
                <w:rFonts w:hint="eastAsia" w:ascii="宋体" w:hAnsi="宋体"/>
                <w:kern w:val="0"/>
                <w:sz w:val="24"/>
              </w:rPr>
              <w:t>湿地资源调查更新</w:t>
            </w:r>
          </w:p>
        </w:tc>
        <w:tc>
          <w:tcPr>
            <w:tcW w:w="1984" w:type="dxa"/>
            <w:tcBorders>
              <w:top w:val="nil"/>
              <w:left w:val="nil"/>
              <w:bottom w:val="single" w:color="auto" w:sz="4" w:space="0"/>
              <w:right w:val="single" w:color="auto" w:sz="4" w:space="0"/>
            </w:tcBorders>
            <w:vAlign w:val="center"/>
          </w:tcPr>
          <w:p w14:paraId="44903394">
            <w:pPr>
              <w:widowControl/>
              <w:jc w:val="center"/>
              <w:rPr>
                <w:kern w:val="0"/>
                <w:sz w:val="24"/>
              </w:rPr>
            </w:pPr>
            <w:r>
              <w:rPr>
                <w:rFonts w:hint="eastAsia" w:ascii="宋体" w:hAnsi="宋体"/>
                <w:kern w:val="0"/>
                <w:sz w:val="24"/>
              </w:rPr>
              <w:t>全市区域</w:t>
            </w:r>
          </w:p>
        </w:tc>
        <w:tc>
          <w:tcPr>
            <w:tcW w:w="1236" w:type="dxa"/>
            <w:tcBorders>
              <w:top w:val="nil"/>
              <w:left w:val="nil"/>
              <w:bottom w:val="single" w:color="auto" w:sz="4" w:space="0"/>
              <w:right w:val="single" w:color="auto" w:sz="4" w:space="0"/>
            </w:tcBorders>
            <w:vAlign w:val="center"/>
          </w:tcPr>
          <w:p w14:paraId="6B178683">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00902FF4">
            <w:pPr>
              <w:widowControl/>
              <w:jc w:val="center"/>
              <w:rPr>
                <w:kern w:val="0"/>
                <w:sz w:val="24"/>
              </w:rPr>
            </w:pPr>
            <w:r>
              <w:rPr>
                <w:kern w:val="0"/>
                <w:sz w:val="24"/>
              </w:rPr>
              <w:t>500</w:t>
            </w:r>
          </w:p>
        </w:tc>
        <w:tc>
          <w:tcPr>
            <w:tcW w:w="1559" w:type="dxa"/>
            <w:tcBorders>
              <w:top w:val="nil"/>
              <w:left w:val="nil"/>
              <w:bottom w:val="single" w:color="auto" w:sz="4" w:space="0"/>
              <w:right w:val="single" w:color="auto" w:sz="4" w:space="0"/>
            </w:tcBorders>
            <w:vAlign w:val="center"/>
          </w:tcPr>
          <w:p w14:paraId="368C4788">
            <w:pPr>
              <w:widowControl/>
              <w:jc w:val="center"/>
              <w:rPr>
                <w:kern w:val="0"/>
                <w:sz w:val="24"/>
              </w:rPr>
            </w:pPr>
            <w:r>
              <w:rPr>
                <w:kern w:val="0"/>
                <w:sz w:val="24"/>
              </w:rPr>
              <w:t>500</w:t>
            </w:r>
          </w:p>
        </w:tc>
        <w:tc>
          <w:tcPr>
            <w:tcW w:w="1559" w:type="dxa"/>
            <w:tcBorders>
              <w:top w:val="nil"/>
              <w:left w:val="nil"/>
              <w:bottom w:val="single" w:color="auto" w:sz="4" w:space="0"/>
              <w:right w:val="single" w:color="auto" w:sz="4" w:space="0"/>
            </w:tcBorders>
            <w:vAlign w:val="center"/>
          </w:tcPr>
          <w:p w14:paraId="3EA10679">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42821BA3">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146B013A">
            <w:pPr>
              <w:widowControl/>
              <w:jc w:val="center"/>
              <w:rPr>
                <w:b/>
                <w:bCs/>
                <w:kern w:val="0"/>
                <w:sz w:val="24"/>
              </w:rPr>
            </w:pPr>
            <w:r>
              <w:rPr>
                <w:b/>
                <w:bCs/>
                <w:kern w:val="0"/>
                <w:sz w:val="24"/>
              </w:rPr>
              <w:t>　</w:t>
            </w:r>
          </w:p>
        </w:tc>
      </w:tr>
      <w:tr w14:paraId="45575F2C">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72C3642">
            <w:pPr>
              <w:widowControl/>
              <w:jc w:val="center"/>
              <w:rPr>
                <w:kern w:val="0"/>
                <w:sz w:val="24"/>
              </w:rPr>
            </w:pPr>
            <w:r>
              <w:rPr>
                <w:kern w:val="0"/>
                <w:sz w:val="24"/>
              </w:rPr>
              <w:t>6.1.2</w:t>
            </w:r>
          </w:p>
        </w:tc>
        <w:tc>
          <w:tcPr>
            <w:tcW w:w="3128" w:type="dxa"/>
            <w:tcBorders>
              <w:top w:val="nil"/>
              <w:left w:val="nil"/>
              <w:bottom w:val="single" w:color="auto" w:sz="4" w:space="0"/>
              <w:right w:val="single" w:color="auto" w:sz="4" w:space="0"/>
            </w:tcBorders>
            <w:vAlign w:val="center"/>
          </w:tcPr>
          <w:p w14:paraId="262A8182">
            <w:pPr>
              <w:widowControl/>
              <w:jc w:val="left"/>
              <w:rPr>
                <w:kern w:val="0"/>
                <w:sz w:val="24"/>
              </w:rPr>
            </w:pPr>
            <w:r>
              <w:rPr>
                <w:rFonts w:hint="eastAsia" w:ascii="宋体" w:hAnsi="宋体"/>
                <w:kern w:val="0"/>
                <w:sz w:val="24"/>
              </w:rPr>
              <w:t>湿地保护与修复体系建设</w:t>
            </w:r>
          </w:p>
        </w:tc>
        <w:tc>
          <w:tcPr>
            <w:tcW w:w="1984" w:type="dxa"/>
            <w:tcBorders>
              <w:top w:val="nil"/>
              <w:left w:val="nil"/>
              <w:bottom w:val="single" w:color="auto" w:sz="4" w:space="0"/>
              <w:right w:val="single" w:color="auto" w:sz="4" w:space="0"/>
            </w:tcBorders>
            <w:vAlign w:val="center"/>
          </w:tcPr>
          <w:p w14:paraId="47B7118C">
            <w:pPr>
              <w:widowControl/>
              <w:jc w:val="center"/>
              <w:rPr>
                <w:kern w:val="0"/>
                <w:sz w:val="24"/>
              </w:rPr>
            </w:pPr>
            <w:r>
              <w:rPr>
                <w:rFonts w:hint="eastAsia" w:ascii="宋体" w:hAnsi="宋体"/>
                <w:kern w:val="0"/>
                <w:sz w:val="24"/>
              </w:rPr>
              <w:t>全市区域</w:t>
            </w:r>
          </w:p>
        </w:tc>
        <w:tc>
          <w:tcPr>
            <w:tcW w:w="1236" w:type="dxa"/>
            <w:tcBorders>
              <w:top w:val="nil"/>
              <w:left w:val="nil"/>
              <w:bottom w:val="single" w:color="auto" w:sz="4" w:space="0"/>
              <w:right w:val="single" w:color="auto" w:sz="4" w:space="0"/>
            </w:tcBorders>
            <w:vAlign w:val="center"/>
          </w:tcPr>
          <w:p w14:paraId="5528FFF9">
            <w:pPr>
              <w:widowControl/>
              <w:jc w:val="center"/>
              <w:rPr>
                <w:kern w:val="0"/>
                <w:sz w:val="24"/>
              </w:rPr>
            </w:pPr>
            <w:r>
              <w:rPr>
                <w:kern w:val="0"/>
                <w:sz w:val="24"/>
              </w:rPr>
              <w:t>247 hm</w:t>
            </w:r>
            <w:r>
              <w:rPr>
                <w:kern w:val="0"/>
                <w:sz w:val="24"/>
                <w:vertAlign w:val="superscript"/>
              </w:rPr>
              <w:t>2</w:t>
            </w:r>
          </w:p>
        </w:tc>
        <w:tc>
          <w:tcPr>
            <w:tcW w:w="1701" w:type="dxa"/>
            <w:tcBorders>
              <w:top w:val="nil"/>
              <w:left w:val="nil"/>
              <w:bottom w:val="single" w:color="auto" w:sz="4" w:space="0"/>
              <w:right w:val="single" w:color="auto" w:sz="4" w:space="0"/>
            </w:tcBorders>
            <w:vAlign w:val="center"/>
          </w:tcPr>
          <w:p w14:paraId="20F0E4AD">
            <w:pPr>
              <w:widowControl/>
              <w:jc w:val="center"/>
              <w:rPr>
                <w:kern w:val="0"/>
                <w:sz w:val="24"/>
              </w:rPr>
            </w:pPr>
            <w:r>
              <w:rPr>
                <w:kern w:val="0"/>
                <w:sz w:val="24"/>
              </w:rPr>
              <w:t>6000</w:t>
            </w:r>
          </w:p>
        </w:tc>
        <w:tc>
          <w:tcPr>
            <w:tcW w:w="1559" w:type="dxa"/>
            <w:tcBorders>
              <w:top w:val="nil"/>
              <w:left w:val="nil"/>
              <w:bottom w:val="single" w:color="auto" w:sz="4" w:space="0"/>
              <w:right w:val="single" w:color="auto" w:sz="4" w:space="0"/>
            </w:tcBorders>
            <w:vAlign w:val="center"/>
          </w:tcPr>
          <w:p w14:paraId="548185EE">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07FBE770">
            <w:pPr>
              <w:widowControl/>
              <w:jc w:val="center"/>
              <w:rPr>
                <w:kern w:val="0"/>
                <w:sz w:val="24"/>
              </w:rPr>
            </w:pPr>
            <w:r>
              <w:rPr>
                <w:kern w:val="0"/>
                <w:sz w:val="24"/>
              </w:rPr>
              <w:t>3000</w:t>
            </w:r>
          </w:p>
        </w:tc>
        <w:tc>
          <w:tcPr>
            <w:tcW w:w="1276" w:type="dxa"/>
            <w:tcBorders>
              <w:top w:val="nil"/>
              <w:left w:val="nil"/>
              <w:bottom w:val="single" w:color="auto" w:sz="4" w:space="0"/>
              <w:right w:val="single" w:color="auto" w:sz="4" w:space="0"/>
            </w:tcBorders>
            <w:vAlign w:val="center"/>
          </w:tcPr>
          <w:p w14:paraId="65EA5D58">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6B0BF8DE">
            <w:pPr>
              <w:widowControl/>
              <w:jc w:val="center"/>
              <w:rPr>
                <w:b/>
                <w:bCs/>
                <w:kern w:val="0"/>
                <w:sz w:val="24"/>
              </w:rPr>
            </w:pPr>
            <w:r>
              <w:rPr>
                <w:b/>
                <w:bCs/>
                <w:kern w:val="0"/>
                <w:sz w:val="24"/>
              </w:rPr>
              <w:t>　</w:t>
            </w:r>
          </w:p>
        </w:tc>
      </w:tr>
      <w:tr w14:paraId="3F934EDF">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43EB0502">
            <w:pPr>
              <w:widowControl/>
              <w:jc w:val="center"/>
              <w:rPr>
                <w:kern w:val="0"/>
                <w:sz w:val="24"/>
              </w:rPr>
            </w:pPr>
            <w:r>
              <w:rPr>
                <w:kern w:val="0"/>
                <w:sz w:val="24"/>
              </w:rPr>
              <w:t>6.1.3</w:t>
            </w:r>
          </w:p>
        </w:tc>
        <w:tc>
          <w:tcPr>
            <w:tcW w:w="3128" w:type="dxa"/>
            <w:tcBorders>
              <w:top w:val="nil"/>
              <w:left w:val="nil"/>
              <w:bottom w:val="single" w:color="auto" w:sz="4" w:space="0"/>
              <w:right w:val="single" w:color="auto" w:sz="4" w:space="0"/>
            </w:tcBorders>
            <w:vAlign w:val="center"/>
          </w:tcPr>
          <w:p w14:paraId="2A2BF864">
            <w:pPr>
              <w:widowControl/>
              <w:jc w:val="left"/>
              <w:rPr>
                <w:kern w:val="0"/>
                <w:sz w:val="24"/>
              </w:rPr>
            </w:pPr>
            <w:r>
              <w:rPr>
                <w:rFonts w:hint="eastAsia" w:ascii="宋体" w:hAnsi="宋体"/>
                <w:kern w:val="0"/>
                <w:sz w:val="24"/>
              </w:rPr>
              <w:t>红树林保护与修复</w:t>
            </w:r>
            <w:r>
              <w:rPr>
                <w:kern w:val="0"/>
                <w:sz w:val="24"/>
              </w:rPr>
              <w:t>--</w:t>
            </w:r>
            <w:r>
              <w:rPr>
                <w:rFonts w:hint="eastAsia" w:ascii="宋体" w:hAnsi="宋体"/>
                <w:kern w:val="0"/>
                <w:sz w:val="24"/>
              </w:rPr>
              <w:t>管理站等</w:t>
            </w:r>
          </w:p>
        </w:tc>
        <w:tc>
          <w:tcPr>
            <w:tcW w:w="1984" w:type="dxa"/>
            <w:tcBorders>
              <w:top w:val="nil"/>
              <w:left w:val="nil"/>
              <w:bottom w:val="single" w:color="auto" w:sz="4" w:space="0"/>
              <w:right w:val="single" w:color="auto" w:sz="4" w:space="0"/>
            </w:tcBorders>
            <w:vAlign w:val="center"/>
          </w:tcPr>
          <w:p w14:paraId="73E4E5EC">
            <w:pPr>
              <w:widowControl/>
              <w:jc w:val="center"/>
              <w:rPr>
                <w:kern w:val="0"/>
                <w:sz w:val="24"/>
              </w:rPr>
            </w:pPr>
            <w:r>
              <w:rPr>
                <w:rFonts w:hint="eastAsia" w:ascii="宋体" w:hAnsi="宋体"/>
                <w:kern w:val="0"/>
                <w:sz w:val="24"/>
              </w:rPr>
              <w:t>铁炉港、青梅港、三亚河</w:t>
            </w:r>
          </w:p>
        </w:tc>
        <w:tc>
          <w:tcPr>
            <w:tcW w:w="1236" w:type="dxa"/>
            <w:tcBorders>
              <w:top w:val="nil"/>
              <w:left w:val="nil"/>
              <w:bottom w:val="single" w:color="auto" w:sz="4" w:space="0"/>
              <w:right w:val="single" w:color="auto" w:sz="4" w:space="0"/>
            </w:tcBorders>
            <w:vAlign w:val="center"/>
          </w:tcPr>
          <w:p w14:paraId="2F558785">
            <w:pPr>
              <w:widowControl/>
              <w:jc w:val="center"/>
              <w:rPr>
                <w:kern w:val="0"/>
                <w:sz w:val="24"/>
              </w:rPr>
            </w:pPr>
            <w:r>
              <w:rPr>
                <w:kern w:val="0"/>
                <w:sz w:val="24"/>
              </w:rPr>
              <w:t>3</w:t>
            </w:r>
            <w:r>
              <w:rPr>
                <w:rFonts w:hint="eastAsia" w:ascii="宋体" w:hAnsi="宋体"/>
                <w:kern w:val="0"/>
                <w:sz w:val="24"/>
              </w:rPr>
              <w:t>处</w:t>
            </w:r>
          </w:p>
        </w:tc>
        <w:tc>
          <w:tcPr>
            <w:tcW w:w="1701" w:type="dxa"/>
            <w:tcBorders>
              <w:top w:val="nil"/>
              <w:left w:val="nil"/>
              <w:bottom w:val="single" w:color="auto" w:sz="4" w:space="0"/>
              <w:right w:val="single" w:color="auto" w:sz="4" w:space="0"/>
            </w:tcBorders>
            <w:vAlign w:val="center"/>
          </w:tcPr>
          <w:p w14:paraId="7F3CCBA9">
            <w:pPr>
              <w:widowControl/>
              <w:jc w:val="center"/>
              <w:rPr>
                <w:kern w:val="0"/>
                <w:sz w:val="24"/>
              </w:rPr>
            </w:pPr>
            <w:r>
              <w:rPr>
                <w:kern w:val="0"/>
                <w:sz w:val="24"/>
              </w:rPr>
              <w:t>15000</w:t>
            </w:r>
          </w:p>
        </w:tc>
        <w:tc>
          <w:tcPr>
            <w:tcW w:w="1559" w:type="dxa"/>
            <w:tcBorders>
              <w:top w:val="nil"/>
              <w:left w:val="nil"/>
              <w:bottom w:val="single" w:color="auto" w:sz="4" w:space="0"/>
              <w:right w:val="single" w:color="auto" w:sz="4" w:space="0"/>
            </w:tcBorders>
            <w:vAlign w:val="center"/>
          </w:tcPr>
          <w:p w14:paraId="5A5E0422">
            <w:pPr>
              <w:widowControl/>
              <w:jc w:val="center"/>
              <w:rPr>
                <w:kern w:val="0"/>
                <w:sz w:val="24"/>
              </w:rPr>
            </w:pPr>
            <w:r>
              <w:rPr>
                <w:kern w:val="0"/>
                <w:sz w:val="24"/>
              </w:rPr>
              <w:t>10000</w:t>
            </w:r>
          </w:p>
        </w:tc>
        <w:tc>
          <w:tcPr>
            <w:tcW w:w="1559" w:type="dxa"/>
            <w:tcBorders>
              <w:top w:val="nil"/>
              <w:left w:val="nil"/>
              <w:bottom w:val="single" w:color="auto" w:sz="4" w:space="0"/>
              <w:right w:val="single" w:color="auto" w:sz="4" w:space="0"/>
            </w:tcBorders>
            <w:vAlign w:val="center"/>
          </w:tcPr>
          <w:p w14:paraId="63D1825D">
            <w:pPr>
              <w:widowControl/>
              <w:jc w:val="center"/>
              <w:rPr>
                <w:kern w:val="0"/>
                <w:sz w:val="24"/>
              </w:rPr>
            </w:pPr>
            <w:r>
              <w:rPr>
                <w:kern w:val="0"/>
                <w:sz w:val="24"/>
              </w:rPr>
              <w:t>5000</w:t>
            </w:r>
          </w:p>
        </w:tc>
        <w:tc>
          <w:tcPr>
            <w:tcW w:w="1276" w:type="dxa"/>
            <w:tcBorders>
              <w:top w:val="nil"/>
              <w:left w:val="nil"/>
              <w:bottom w:val="single" w:color="auto" w:sz="4" w:space="0"/>
              <w:right w:val="single" w:color="auto" w:sz="4" w:space="0"/>
            </w:tcBorders>
            <w:vAlign w:val="center"/>
          </w:tcPr>
          <w:p w14:paraId="778306D8">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78AA7D3C">
            <w:pPr>
              <w:widowControl/>
              <w:jc w:val="center"/>
              <w:rPr>
                <w:b/>
                <w:bCs/>
                <w:kern w:val="0"/>
                <w:sz w:val="24"/>
              </w:rPr>
            </w:pPr>
            <w:r>
              <w:rPr>
                <w:b/>
                <w:bCs/>
                <w:kern w:val="0"/>
                <w:sz w:val="24"/>
              </w:rPr>
              <w:t>　</w:t>
            </w:r>
          </w:p>
        </w:tc>
      </w:tr>
      <w:tr w14:paraId="58236255">
        <w:tblPrEx>
          <w:tblCellMar>
            <w:top w:w="0" w:type="dxa"/>
            <w:left w:w="108" w:type="dxa"/>
            <w:bottom w:w="0" w:type="dxa"/>
            <w:right w:w="108" w:type="dxa"/>
          </w:tblCellMar>
        </w:tblPrEx>
        <w:trPr>
          <w:cantSplit/>
          <w:trHeight w:val="600" w:hRule="atLeast"/>
        </w:trPr>
        <w:tc>
          <w:tcPr>
            <w:tcW w:w="1140" w:type="dxa"/>
            <w:tcBorders>
              <w:top w:val="nil"/>
              <w:left w:val="single" w:color="auto" w:sz="4" w:space="0"/>
              <w:bottom w:val="single" w:color="auto" w:sz="4" w:space="0"/>
              <w:right w:val="single" w:color="auto" w:sz="4" w:space="0"/>
            </w:tcBorders>
            <w:vAlign w:val="center"/>
          </w:tcPr>
          <w:p w14:paraId="1145A665">
            <w:pPr>
              <w:widowControl/>
              <w:jc w:val="center"/>
              <w:rPr>
                <w:kern w:val="0"/>
                <w:sz w:val="24"/>
              </w:rPr>
            </w:pPr>
            <w:r>
              <w:rPr>
                <w:kern w:val="0"/>
                <w:sz w:val="24"/>
              </w:rPr>
              <w:t>6.1.4</w:t>
            </w:r>
          </w:p>
        </w:tc>
        <w:tc>
          <w:tcPr>
            <w:tcW w:w="3128" w:type="dxa"/>
            <w:tcBorders>
              <w:top w:val="nil"/>
              <w:left w:val="nil"/>
              <w:bottom w:val="single" w:color="auto" w:sz="4" w:space="0"/>
              <w:right w:val="single" w:color="auto" w:sz="4" w:space="0"/>
            </w:tcBorders>
            <w:vAlign w:val="center"/>
          </w:tcPr>
          <w:p w14:paraId="380D1AF4">
            <w:pPr>
              <w:widowControl/>
              <w:jc w:val="left"/>
              <w:rPr>
                <w:kern w:val="0"/>
                <w:sz w:val="24"/>
              </w:rPr>
            </w:pPr>
            <w:r>
              <w:rPr>
                <w:rFonts w:hint="eastAsia" w:ascii="宋体" w:hAnsi="宋体"/>
                <w:kern w:val="0"/>
                <w:sz w:val="24"/>
              </w:rPr>
              <w:t>红树林保护与修复</w:t>
            </w:r>
            <w:r>
              <w:rPr>
                <w:kern w:val="0"/>
                <w:sz w:val="24"/>
              </w:rPr>
              <w:t>--</w:t>
            </w:r>
            <w:r>
              <w:rPr>
                <w:rFonts w:hint="eastAsia" w:ascii="宋体" w:hAnsi="宋体"/>
                <w:kern w:val="0"/>
                <w:sz w:val="24"/>
              </w:rPr>
              <w:t>种苗繁育基地</w:t>
            </w:r>
          </w:p>
        </w:tc>
        <w:tc>
          <w:tcPr>
            <w:tcW w:w="1984" w:type="dxa"/>
            <w:tcBorders>
              <w:top w:val="nil"/>
              <w:left w:val="nil"/>
              <w:bottom w:val="single" w:color="auto" w:sz="4" w:space="0"/>
              <w:right w:val="single" w:color="auto" w:sz="4" w:space="0"/>
            </w:tcBorders>
            <w:vAlign w:val="center"/>
          </w:tcPr>
          <w:p w14:paraId="69CFC733">
            <w:pPr>
              <w:widowControl/>
              <w:jc w:val="center"/>
              <w:rPr>
                <w:kern w:val="0"/>
                <w:sz w:val="24"/>
              </w:rPr>
            </w:pPr>
            <w:r>
              <w:rPr>
                <w:rFonts w:hint="eastAsia" w:ascii="宋体" w:hAnsi="宋体"/>
                <w:kern w:val="0"/>
                <w:sz w:val="24"/>
              </w:rPr>
              <w:t>铁炉港、青梅港、宁远河</w:t>
            </w:r>
          </w:p>
        </w:tc>
        <w:tc>
          <w:tcPr>
            <w:tcW w:w="1236" w:type="dxa"/>
            <w:tcBorders>
              <w:top w:val="nil"/>
              <w:left w:val="nil"/>
              <w:bottom w:val="single" w:color="auto" w:sz="4" w:space="0"/>
              <w:right w:val="single" w:color="auto" w:sz="4" w:space="0"/>
            </w:tcBorders>
            <w:vAlign w:val="center"/>
          </w:tcPr>
          <w:p w14:paraId="6319D115">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7076FF7F">
            <w:pPr>
              <w:widowControl/>
              <w:jc w:val="center"/>
              <w:rPr>
                <w:kern w:val="0"/>
                <w:sz w:val="24"/>
              </w:rPr>
            </w:pPr>
            <w:r>
              <w:rPr>
                <w:kern w:val="0"/>
                <w:sz w:val="24"/>
              </w:rPr>
              <w:t>1200</w:t>
            </w:r>
          </w:p>
        </w:tc>
        <w:tc>
          <w:tcPr>
            <w:tcW w:w="1559" w:type="dxa"/>
            <w:tcBorders>
              <w:top w:val="nil"/>
              <w:left w:val="nil"/>
              <w:bottom w:val="single" w:color="auto" w:sz="4" w:space="0"/>
              <w:right w:val="single" w:color="auto" w:sz="4" w:space="0"/>
            </w:tcBorders>
            <w:vAlign w:val="center"/>
          </w:tcPr>
          <w:p w14:paraId="2034A86B">
            <w:pPr>
              <w:widowControl/>
              <w:jc w:val="center"/>
              <w:rPr>
                <w:kern w:val="0"/>
                <w:sz w:val="24"/>
              </w:rPr>
            </w:pPr>
            <w:r>
              <w:rPr>
                <w:kern w:val="0"/>
                <w:sz w:val="24"/>
              </w:rPr>
              <w:t>200</w:t>
            </w:r>
          </w:p>
        </w:tc>
        <w:tc>
          <w:tcPr>
            <w:tcW w:w="1559" w:type="dxa"/>
            <w:tcBorders>
              <w:top w:val="nil"/>
              <w:left w:val="nil"/>
              <w:bottom w:val="single" w:color="auto" w:sz="4" w:space="0"/>
              <w:right w:val="single" w:color="auto" w:sz="4" w:space="0"/>
            </w:tcBorders>
            <w:vAlign w:val="center"/>
          </w:tcPr>
          <w:p w14:paraId="1F2DDF53">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3DDD2D72">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69255464">
            <w:pPr>
              <w:widowControl/>
              <w:jc w:val="center"/>
              <w:rPr>
                <w:b/>
                <w:bCs/>
                <w:kern w:val="0"/>
                <w:sz w:val="24"/>
              </w:rPr>
            </w:pPr>
            <w:r>
              <w:rPr>
                <w:b/>
                <w:bCs/>
                <w:kern w:val="0"/>
                <w:sz w:val="24"/>
              </w:rPr>
              <w:t>　</w:t>
            </w:r>
          </w:p>
        </w:tc>
      </w:tr>
      <w:tr w14:paraId="0FBD5D4B">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0804732">
            <w:pPr>
              <w:widowControl/>
              <w:jc w:val="center"/>
              <w:rPr>
                <w:kern w:val="0"/>
                <w:sz w:val="24"/>
              </w:rPr>
            </w:pPr>
            <w:r>
              <w:rPr>
                <w:kern w:val="0"/>
                <w:sz w:val="24"/>
              </w:rPr>
              <w:t>6.1.5</w:t>
            </w:r>
          </w:p>
        </w:tc>
        <w:tc>
          <w:tcPr>
            <w:tcW w:w="3128" w:type="dxa"/>
            <w:tcBorders>
              <w:top w:val="nil"/>
              <w:left w:val="nil"/>
              <w:bottom w:val="single" w:color="auto" w:sz="4" w:space="0"/>
              <w:right w:val="single" w:color="auto" w:sz="4" w:space="0"/>
            </w:tcBorders>
            <w:vAlign w:val="center"/>
          </w:tcPr>
          <w:p w14:paraId="34382DB8">
            <w:pPr>
              <w:widowControl/>
              <w:jc w:val="left"/>
              <w:rPr>
                <w:kern w:val="0"/>
                <w:sz w:val="24"/>
              </w:rPr>
            </w:pPr>
            <w:r>
              <w:rPr>
                <w:rFonts w:hint="eastAsia" w:ascii="宋体" w:hAnsi="宋体"/>
                <w:kern w:val="0"/>
                <w:sz w:val="24"/>
              </w:rPr>
              <w:t>红树林保护与修复</w:t>
            </w:r>
            <w:r>
              <w:rPr>
                <w:kern w:val="0"/>
                <w:sz w:val="24"/>
              </w:rPr>
              <w:t>--</w:t>
            </w:r>
            <w:r>
              <w:rPr>
                <w:rFonts w:hint="eastAsia" w:ascii="宋体" w:hAnsi="宋体"/>
                <w:kern w:val="0"/>
                <w:sz w:val="24"/>
              </w:rPr>
              <w:t>生态站</w:t>
            </w:r>
          </w:p>
        </w:tc>
        <w:tc>
          <w:tcPr>
            <w:tcW w:w="1984" w:type="dxa"/>
            <w:tcBorders>
              <w:top w:val="nil"/>
              <w:left w:val="nil"/>
              <w:bottom w:val="single" w:color="auto" w:sz="4" w:space="0"/>
              <w:right w:val="single" w:color="auto" w:sz="4" w:space="0"/>
            </w:tcBorders>
            <w:vAlign w:val="center"/>
          </w:tcPr>
          <w:p w14:paraId="6A3EBC8A">
            <w:pPr>
              <w:widowControl/>
              <w:jc w:val="center"/>
              <w:rPr>
                <w:kern w:val="0"/>
                <w:sz w:val="24"/>
              </w:rPr>
            </w:pPr>
            <w:r>
              <w:rPr>
                <w:rFonts w:hint="eastAsia" w:ascii="宋体" w:hAnsi="宋体"/>
                <w:kern w:val="0"/>
                <w:sz w:val="24"/>
              </w:rPr>
              <w:t>铁炉港</w:t>
            </w:r>
          </w:p>
        </w:tc>
        <w:tc>
          <w:tcPr>
            <w:tcW w:w="1236" w:type="dxa"/>
            <w:tcBorders>
              <w:top w:val="nil"/>
              <w:left w:val="nil"/>
              <w:bottom w:val="single" w:color="auto" w:sz="4" w:space="0"/>
              <w:right w:val="single" w:color="auto" w:sz="4" w:space="0"/>
            </w:tcBorders>
            <w:vAlign w:val="center"/>
          </w:tcPr>
          <w:p w14:paraId="03D3EC07">
            <w:pPr>
              <w:widowControl/>
              <w:jc w:val="center"/>
              <w:rPr>
                <w:kern w:val="0"/>
                <w:sz w:val="24"/>
              </w:rPr>
            </w:pPr>
            <w:r>
              <w:rPr>
                <w:kern w:val="0"/>
                <w:sz w:val="24"/>
              </w:rPr>
              <w:t>1</w:t>
            </w:r>
            <w:r>
              <w:rPr>
                <w:rFonts w:hint="eastAsia" w:ascii="宋体" w:hAnsi="宋体"/>
                <w:kern w:val="0"/>
                <w:sz w:val="24"/>
              </w:rPr>
              <w:t>处</w:t>
            </w:r>
          </w:p>
        </w:tc>
        <w:tc>
          <w:tcPr>
            <w:tcW w:w="1701" w:type="dxa"/>
            <w:tcBorders>
              <w:top w:val="nil"/>
              <w:left w:val="nil"/>
              <w:bottom w:val="single" w:color="auto" w:sz="4" w:space="0"/>
              <w:right w:val="single" w:color="auto" w:sz="4" w:space="0"/>
            </w:tcBorders>
            <w:vAlign w:val="center"/>
          </w:tcPr>
          <w:p w14:paraId="74127F9D">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04B69749">
            <w:pPr>
              <w:widowControl/>
              <w:jc w:val="center"/>
              <w:rPr>
                <w:kern w:val="0"/>
                <w:sz w:val="24"/>
              </w:rPr>
            </w:pPr>
            <w:r>
              <w:rPr>
                <w:kern w:val="0"/>
                <w:sz w:val="24"/>
              </w:rPr>
              <w:t>5000</w:t>
            </w:r>
          </w:p>
        </w:tc>
        <w:tc>
          <w:tcPr>
            <w:tcW w:w="1559" w:type="dxa"/>
            <w:tcBorders>
              <w:top w:val="nil"/>
              <w:left w:val="nil"/>
              <w:bottom w:val="single" w:color="auto" w:sz="4" w:space="0"/>
              <w:right w:val="single" w:color="auto" w:sz="4" w:space="0"/>
            </w:tcBorders>
            <w:vAlign w:val="center"/>
          </w:tcPr>
          <w:p w14:paraId="6BD678B3">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1DE1592D">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6926C76C">
            <w:pPr>
              <w:widowControl/>
              <w:jc w:val="center"/>
              <w:rPr>
                <w:b/>
                <w:bCs/>
                <w:kern w:val="0"/>
                <w:sz w:val="24"/>
              </w:rPr>
            </w:pPr>
            <w:r>
              <w:rPr>
                <w:b/>
                <w:bCs/>
                <w:kern w:val="0"/>
                <w:sz w:val="24"/>
              </w:rPr>
              <w:t>　</w:t>
            </w:r>
          </w:p>
        </w:tc>
      </w:tr>
      <w:tr w14:paraId="4C52FD46">
        <w:tblPrEx>
          <w:tblCellMar>
            <w:top w:w="0" w:type="dxa"/>
            <w:left w:w="108" w:type="dxa"/>
            <w:bottom w:w="0" w:type="dxa"/>
            <w:right w:w="108" w:type="dxa"/>
          </w:tblCellMar>
        </w:tblPrEx>
        <w:trPr>
          <w:cantSplit/>
          <w:trHeight w:val="600" w:hRule="atLeast"/>
        </w:trPr>
        <w:tc>
          <w:tcPr>
            <w:tcW w:w="1140" w:type="dxa"/>
            <w:tcBorders>
              <w:top w:val="nil"/>
              <w:left w:val="single" w:color="auto" w:sz="4" w:space="0"/>
              <w:bottom w:val="single" w:color="auto" w:sz="4" w:space="0"/>
              <w:right w:val="single" w:color="auto" w:sz="4" w:space="0"/>
            </w:tcBorders>
            <w:vAlign w:val="center"/>
          </w:tcPr>
          <w:p w14:paraId="6EB0BEAA">
            <w:pPr>
              <w:widowControl/>
              <w:jc w:val="center"/>
              <w:rPr>
                <w:kern w:val="0"/>
                <w:sz w:val="24"/>
              </w:rPr>
            </w:pPr>
            <w:r>
              <w:rPr>
                <w:kern w:val="0"/>
                <w:sz w:val="24"/>
              </w:rPr>
              <w:t>6.1.6</w:t>
            </w:r>
          </w:p>
        </w:tc>
        <w:tc>
          <w:tcPr>
            <w:tcW w:w="3128" w:type="dxa"/>
            <w:tcBorders>
              <w:top w:val="nil"/>
              <w:left w:val="nil"/>
              <w:bottom w:val="single" w:color="auto" w:sz="4" w:space="0"/>
              <w:right w:val="single" w:color="auto" w:sz="4" w:space="0"/>
            </w:tcBorders>
            <w:vAlign w:val="center"/>
          </w:tcPr>
          <w:p w14:paraId="0D8F7759">
            <w:pPr>
              <w:widowControl/>
              <w:jc w:val="left"/>
              <w:rPr>
                <w:kern w:val="0"/>
                <w:sz w:val="24"/>
              </w:rPr>
            </w:pPr>
            <w:r>
              <w:rPr>
                <w:rFonts w:hint="eastAsia" w:ascii="宋体" w:hAnsi="宋体"/>
                <w:kern w:val="0"/>
                <w:sz w:val="24"/>
              </w:rPr>
              <w:t>红树林保护与修复</w:t>
            </w:r>
            <w:r>
              <w:rPr>
                <w:kern w:val="0"/>
                <w:sz w:val="24"/>
              </w:rPr>
              <w:t>---</w:t>
            </w:r>
            <w:r>
              <w:rPr>
                <w:rFonts w:hint="eastAsia" w:ascii="宋体" w:hAnsi="宋体"/>
                <w:kern w:val="0"/>
                <w:sz w:val="24"/>
              </w:rPr>
              <w:t>科普宣教工程</w:t>
            </w:r>
          </w:p>
        </w:tc>
        <w:tc>
          <w:tcPr>
            <w:tcW w:w="1984" w:type="dxa"/>
            <w:tcBorders>
              <w:top w:val="nil"/>
              <w:left w:val="nil"/>
              <w:bottom w:val="single" w:color="auto" w:sz="4" w:space="0"/>
              <w:right w:val="single" w:color="auto" w:sz="4" w:space="0"/>
            </w:tcBorders>
            <w:vAlign w:val="center"/>
          </w:tcPr>
          <w:p w14:paraId="53E240E9">
            <w:pPr>
              <w:widowControl/>
              <w:jc w:val="center"/>
              <w:rPr>
                <w:kern w:val="0"/>
                <w:sz w:val="24"/>
              </w:rPr>
            </w:pPr>
            <w:r>
              <w:rPr>
                <w:rFonts w:hint="eastAsia" w:ascii="宋体" w:hAnsi="宋体"/>
                <w:kern w:val="0"/>
                <w:sz w:val="24"/>
              </w:rPr>
              <w:t>铁炉港</w:t>
            </w:r>
          </w:p>
        </w:tc>
        <w:tc>
          <w:tcPr>
            <w:tcW w:w="1236" w:type="dxa"/>
            <w:tcBorders>
              <w:top w:val="nil"/>
              <w:left w:val="nil"/>
              <w:bottom w:val="single" w:color="auto" w:sz="4" w:space="0"/>
              <w:right w:val="single" w:color="auto" w:sz="4" w:space="0"/>
            </w:tcBorders>
            <w:vAlign w:val="center"/>
          </w:tcPr>
          <w:p w14:paraId="29E11199">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3A6CE416">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7E770119">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36720582">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4F4A1595">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682AC84C">
            <w:pPr>
              <w:widowControl/>
              <w:jc w:val="center"/>
              <w:rPr>
                <w:b/>
                <w:bCs/>
                <w:kern w:val="0"/>
                <w:sz w:val="24"/>
              </w:rPr>
            </w:pPr>
            <w:r>
              <w:rPr>
                <w:b/>
                <w:bCs/>
                <w:kern w:val="0"/>
                <w:sz w:val="24"/>
              </w:rPr>
              <w:t>　</w:t>
            </w:r>
          </w:p>
        </w:tc>
      </w:tr>
      <w:tr w14:paraId="00CC702A">
        <w:tblPrEx>
          <w:tblCellMar>
            <w:top w:w="0" w:type="dxa"/>
            <w:left w:w="108" w:type="dxa"/>
            <w:bottom w:w="0" w:type="dxa"/>
            <w:right w:w="108" w:type="dxa"/>
          </w:tblCellMar>
        </w:tblPrEx>
        <w:trPr>
          <w:cantSplit/>
          <w:trHeight w:val="570" w:hRule="atLeast"/>
        </w:trPr>
        <w:tc>
          <w:tcPr>
            <w:tcW w:w="1140" w:type="dxa"/>
            <w:tcBorders>
              <w:top w:val="nil"/>
              <w:left w:val="single" w:color="auto" w:sz="4" w:space="0"/>
              <w:bottom w:val="single" w:color="auto" w:sz="4" w:space="0"/>
              <w:right w:val="single" w:color="auto" w:sz="4" w:space="0"/>
            </w:tcBorders>
            <w:vAlign w:val="center"/>
          </w:tcPr>
          <w:p w14:paraId="26CB5553">
            <w:pPr>
              <w:widowControl/>
              <w:jc w:val="center"/>
              <w:rPr>
                <w:b/>
                <w:bCs/>
                <w:kern w:val="0"/>
                <w:sz w:val="24"/>
              </w:rPr>
            </w:pPr>
            <w:r>
              <w:rPr>
                <w:b/>
                <w:bCs/>
                <w:kern w:val="0"/>
                <w:sz w:val="24"/>
              </w:rPr>
              <w:t>6.2</w:t>
            </w:r>
          </w:p>
        </w:tc>
        <w:tc>
          <w:tcPr>
            <w:tcW w:w="3128" w:type="dxa"/>
            <w:tcBorders>
              <w:top w:val="nil"/>
              <w:left w:val="nil"/>
              <w:bottom w:val="single" w:color="auto" w:sz="4" w:space="0"/>
              <w:right w:val="single" w:color="auto" w:sz="4" w:space="0"/>
            </w:tcBorders>
            <w:vAlign w:val="center"/>
          </w:tcPr>
          <w:p w14:paraId="61952465">
            <w:pPr>
              <w:widowControl/>
              <w:jc w:val="left"/>
              <w:rPr>
                <w:rFonts w:ascii="宋体" w:hAnsi="宋体" w:cs="宋体"/>
                <w:b/>
                <w:bCs/>
                <w:kern w:val="0"/>
                <w:sz w:val="24"/>
              </w:rPr>
            </w:pPr>
            <w:r>
              <w:rPr>
                <w:rFonts w:hint="eastAsia" w:ascii="宋体" w:hAnsi="宋体" w:cs="宋体"/>
                <w:b/>
                <w:bCs/>
                <w:kern w:val="0"/>
                <w:sz w:val="24"/>
              </w:rPr>
              <w:t>极小种群植物拯救保护建设工程</w:t>
            </w:r>
          </w:p>
        </w:tc>
        <w:tc>
          <w:tcPr>
            <w:tcW w:w="1984" w:type="dxa"/>
            <w:tcBorders>
              <w:top w:val="nil"/>
              <w:left w:val="nil"/>
              <w:bottom w:val="single" w:color="auto" w:sz="4" w:space="0"/>
              <w:right w:val="single" w:color="auto" w:sz="4" w:space="0"/>
            </w:tcBorders>
            <w:vAlign w:val="center"/>
          </w:tcPr>
          <w:p w14:paraId="31A22F54">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35FE6DED">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7CCBF0B7">
            <w:pPr>
              <w:widowControl/>
              <w:jc w:val="center"/>
              <w:rPr>
                <w:b/>
                <w:bCs/>
                <w:kern w:val="0"/>
                <w:sz w:val="24"/>
              </w:rPr>
            </w:pPr>
            <w:r>
              <w:rPr>
                <w:b/>
                <w:bCs/>
                <w:kern w:val="0"/>
                <w:sz w:val="24"/>
              </w:rPr>
              <w:t>1000</w:t>
            </w:r>
          </w:p>
        </w:tc>
        <w:tc>
          <w:tcPr>
            <w:tcW w:w="1559" w:type="dxa"/>
            <w:tcBorders>
              <w:top w:val="nil"/>
              <w:left w:val="nil"/>
              <w:bottom w:val="single" w:color="auto" w:sz="4" w:space="0"/>
              <w:right w:val="single" w:color="auto" w:sz="4" w:space="0"/>
            </w:tcBorders>
            <w:vAlign w:val="center"/>
          </w:tcPr>
          <w:p w14:paraId="36DE9198">
            <w:pPr>
              <w:widowControl/>
              <w:jc w:val="center"/>
              <w:rPr>
                <w:b/>
                <w:bCs/>
                <w:kern w:val="0"/>
                <w:sz w:val="24"/>
              </w:rPr>
            </w:pPr>
            <w:r>
              <w:rPr>
                <w:b/>
                <w:bCs/>
                <w:kern w:val="0"/>
                <w:sz w:val="24"/>
              </w:rPr>
              <w:t>1000</w:t>
            </w:r>
          </w:p>
        </w:tc>
        <w:tc>
          <w:tcPr>
            <w:tcW w:w="1559" w:type="dxa"/>
            <w:tcBorders>
              <w:top w:val="nil"/>
              <w:left w:val="nil"/>
              <w:bottom w:val="single" w:color="auto" w:sz="4" w:space="0"/>
              <w:right w:val="single" w:color="auto" w:sz="4" w:space="0"/>
            </w:tcBorders>
            <w:vAlign w:val="center"/>
          </w:tcPr>
          <w:p w14:paraId="13844A77">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55296D54">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31540EE7">
            <w:pPr>
              <w:widowControl/>
              <w:jc w:val="center"/>
              <w:rPr>
                <w:b/>
                <w:bCs/>
                <w:kern w:val="0"/>
                <w:sz w:val="24"/>
              </w:rPr>
            </w:pPr>
            <w:r>
              <w:rPr>
                <w:b/>
                <w:bCs/>
                <w:kern w:val="0"/>
                <w:sz w:val="24"/>
              </w:rPr>
              <w:t>　</w:t>
            </w:r>
          </w:p>
        </w:tc>
      </w:tr>
      <w:tr w14:paraId="56BA8769">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3DF7B03C">
            <w:pPr>
              <w:widowControl/>
              <w:jc w:val="center"/>
              <w:rPr>
                <w:kern w:val="0"/>
                <w:sz w:val="24"/>
              </w:rPr>
            </w:pPr>
            <w:r>
              <w:rPr>
                <w:kern w:val="0"/>
                <w:sz w:val="24"/>
              </w:rPr>
              <w:t>6.2.1</w:t>
            </w:r>
          </w:p>
        </w:tc>
        <w:tc>
          <w:tcPr>
            <w:tcW w:w="3128" w:type="dxa"/>
            <w:tcBorders>
              <w:top w:val="nil"/>
              <w:left w:val="nil"/>
              <w:bottom w:val="single" w:color="auto" w:sz="4" w:space="0"/>
              <w:right w:val="single" w:color="auto" w:sz="4" w:space="0"/>
            </w:tcBorders>
            <w:vAlign w:val="center"/>
          </w:tcPr>
          <w:p w14:paraId="6230B162">
            <w:pPr>
              <w:widowControl/>
              <w:jc w:val="left"/>
              <w:rPr>
                <w:kern w:val="0"/>
                <w:sz w:val="24"/>
              </w:rPr>
            </w:pPr>
            <w:r>
              <w:rPr>
                <w:rFonts w:hint="eastAsia" w:ascii="宋体" w:hAnsi="宋体"/>
                <w:kern w:val="0"/>
                <w:sz w:val="24"/>
              </w:rPr>
              <w:t>极小种群植物拯救保护工程</w:t>
            </w:r>
          </w:p>
        </w:tc>
        <w:tc>
          <w:tcPr>
            <w:tcW w:w="1984" w:type="dxa"/>
            <w:tcBorders>
              <w:top w:val="nil"/>
              <w:left w:val="nil"/>
              <w:bottom w:val="single" w:color="auto" w:sz="4" w:space="0"/>
              <w:right w:val="single" w:color="auto" w:sz="4" w:space="0"/>
            </w:tcBorders>
            <w:vAlign w:val="center"/>
          </w:tcPr>
          <w:p w14:paraId="0111DBC4">
            <w:pPr>
              <w:widowControl/>
              <w:jc w:val="center"/>
              <w:rPr>
                <w:kern w:val="0"/>
                <w:sz w:val="24"/>
              </w:rPr>
            </w:pPr>
            <w:r>
              <w:rPr>
                <w:rFonts w:hint="eastAsia" w:ascii="宋体" w:hAnsi="宋体"/>
                <w:kern w:val="0"/>
                <w:sz w:val="24"/>
              </w:rPr>
              <w:t>全市区域</w:t>
            </w:r>
          </w:p>
        </w:tc>
        <w:tc>
          <w:tcPr>
            <w:tcW w:w="1236" w:type="dxa"/>
            <w:tcBorders>
              <w:top w:val="nil"/>
              <w:left w:val="nil"/>
              <w:bottom w:val="single" w:color="auto" w:sz="4" w:space="0"/>
              <w:right w:val="single" w:color="auto" w:sz="4" w:space="0"/>
            </w:tcBorders>
            <w:vAlign w:val="center"/>
          </w:tcPr>
          <w:p w14:paraId="2528958B">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20FDB6D6">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405BFDB5">
            <w:pPr>
              <w:widowControl/>
              <w:jc w:val="center"/>
              <w:rPr>
                <w:kern w:val="0"/>
                <w:sz w:val="24"/>
              </w:rPr>
            </w:pPr>
            <w:r>
              <w:rPr>
                <w:kern w:val="0"/>
                <w:sz w:val="24"/>
              </w:rPr>
              <w:t>1000</w:t>
            </w:r>
          </w:p>
        </w:tc>
        <w:tc>
          <w:tcPr>
            <w:tcW w:w="1559" w:type="dxa"/>
            <w:tcBorders>
              <w:top w:val="nil"/>
              <w:left w:val="nil"/>
              <w:bottom w:val="single" w:color="auto" w:sz="4" w:space="0"/>
              <w:right w:val="single" w:color="auto" w:sz="4" w:space="0"/>
            </w:tcBorders>
            <w:vAlign w:val="center"/>
          </w:tcPr>
          <w:p w14:paraId="2420CF4D">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19BD8428">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1683BB70">
            <w:pPr>
              <w:widowControl/>
              <w:jc w:val="center"/>
              <w:rPr>
                <w:b/>
                <w:bCs/>
                <w:kern w:val="0"/>
                <w:sz w:val="24"/>
              </w:rPr>
            </w:pPr>
            <w:r>
              <w:rPr>
                <w:b/>
                <w:bCs/>
                <w:kern w:val="0"/>
                <w:sz w:val="24"/>
              </w:rPr>
              <w:t>　</w:t>
            </w:r>
          </w:p>
        </w:tc>
      </w:tr>
      <w:tr w14:paraId="4617FC97">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4CE9AB2C">
            <w:pPr>
              <w:widowControl/>
              <w:jc w:val="center"/>
              <w:rPr>
                <w:b/>
                <w:bCs/>
                <w:kern w:val="0"/>
                <w:sz w:val="24"/>
              </w:rPr>
            </w:pPr>
            <w:r>
              <w:rPr>
                <w:b/>
                <w:bCs/>
                <w:kern w:val="0"/>
                <w:sz w:val="24"/>
              </w:rPr>
              <w:t>6.3</w:t>
            </w:r>
          </w:p>
        </w:tc>
        <w:tc>
          <w:tcPr>
            <w:tcW w:w="3128" w:type="dxa"/>
            <w:tcBorders>
              <w:top w:val="nil"/>
              <w:left w:val="nil"/>
              <w:bottom w:val="single" w:color="auto" w:sz="4" w:space="0"/>
              <w:right w:val="single" w:color="auto" w:sz="4" w:space="0"/>
            </w:tcBorders>
            <w:vAlign w:val="center"/>
          </w:tcPr>
          <w:p w14:paraId="3B58A3A2">
            <w:pPr>
              <w:widowControl/>
              <w:jc w:val="left"/>
              <w:rPr>
                <w:rFonts w:ascii="宋体" w:hAnsi="宋体" w:cs="宋体"/>
                <w:b/>
                <w:bCs/>
                <w:kern w:val="0"/>
                <w:sz w:val="24"/>
              </w:rPr>
            </w:pPr>
            <w:r>
              <w:rPr>
                <w:rFonts w:hint="eastAsia" w:ascii="宋体" w:hAnsi="宋体" w:cs="宋体"/>
                <w:b/>
                <w:bCs/>
                <w:kern w:val="0"/>
                <w:sz w:val="24"/>
              </w:rPr>
              <w:t>古树名木保护与复壮工程</w:t>
            </w:r>
          </w:p>
        </w:tc>
        <w:tc>
          <w:tcPr>
            <w:tcW w:w="1984" w:type="dxa"/>
            <w:tcBorders>
              <w:top w:val="nil"/>
              <w:left w:val="nil"/>
              <w:bottom w:val="single" w:color="auto" w:sz="4" w:space="0"/>
              <w:right w:val="single" w:color="auto" w:sz="4" w:space="0"/>
            </w:tcBorders>
            <w:vAlign w:val="center"/>
          </w:tcPr>
          <w:p w14:paraId="528A3FDD">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1CC0DC1A">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2DC88A9E">
            <w:pPr>
              <w:widowControl/>
              <w:jc w:val="center"/>
              <w:rPr>
                <w:b/>
                <w:bCs/>
                <w:kern w:val="0"/>
                <w:sz w:val="24"/>
              </w:rPr>
            </w:pPr>
            <w:r>
              <w:rPr>
                <w:b/>
                <w:bCs/>
                <w:kern w:val="0"/>
                <w:sz w:val="24"/>
              </w:rPr>
              <w:t>8700</w:t>
            </w:r>
          </w:p>
        </w:tc>
        <w:tc>
          <w:tcPr>
            <w:tcW w:w="1559" w:type="dxa"/>
            <w:tcBorders>
              <w:top w:val="nil"/>
              <w:left w:val="nil"/>
              <w:bottom w:val="single" w:color="auto" w:sz="4" w:space="0"/>
              <w:right w:val="single" w:color="auto" w:sz="4" w:space="0"/>
            </w:tcBorders>
            <w:vAlign w:val="center"/>
          </w:tcPr>
          <w:p w14:paraId="017A9995">
            <w:pPr>
              <w:widowControl/>
              <w:jc w:val="center"/>
              <w:rPr>
                <w:b/>
                <w:bCs/>
                <w:kern w:val="0"/>
                <w:sz w:val="24"/>
              </w:rPr>
            </w:pPr>
            <w:r>
              <w:rPr>
                <w:b/>
                <w:bCs/>
                <w:kern w:val="0"/>
                <w:sz w:val="24"/>
              </w:rPr>
              <w:t>2700</w:t>
            </w:r>
          </w:p>
        </w:tc>
        <w:tc>
          <w:tcPr>
            <w:tcW w:w="1559" w:type="dxa"/>
            <w:tcBorders>
              <w:top w:val="nil"/>
              <w:left w:val="nil"/>
              <w:bottom w:val="single" w:color="auto" w:sz="4" w:space="0"/>
              <w:right w:val="single" w:color="auto" w:sz="4" w:space="0"/>
            </w:tcBorders>
            <w:vAlign w:val="center"/>
          </w:tcPr>
          <w:p w14:paraId="576295DC">
            <w:pPr>
              <w:widowControl/>
              <w:jc w:val="center"/>
              <w:rPr>
                <w:b/>
                <w:bCs/>
                <w:kern w:val="0"/>
                <w:sz w:val="24"/>
              </w:rPr>
            </w:pPr>
            <w:r>
              <w:rPr>
                <w:b/>
                <w:bCs/>
                <w:kern w:val="0"/>
                <w:sz w:val="24"/>
              </w:rPr>
              <w:t>6000</w:t>
            </w:r>
          </w:p>
        </w:tc>
        <w:tc>
          <w:tcPr>
            <w:tcW w:w="1276" w:type="dxa"/>
            <w:tcBorders>
              <w:top w:val="nil"/>
              <w:left w:val="nil"/>
              <w:bottom w:val="single" w:color="auto" w:sz="4" w:space="0"/>
              <w:right w:val="single" w:color="auto" w:sz="4" w:space="0"/>
            </w:tcBorders>
            <w:vAlign w:val="center"/>
          </w:tcPr>
          <w:p w14:paraId="7C1C039E">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59C3C2E0">
            <w:pPr>
              <w:widowControl/>
              <w:jc w:val="center"/>
              <w:rPr>
                <w:b/>
                <w:bCs/>
                <w:kern w:val="0"/>
                <w:sz w:val="24"/>
              </w:rPr>
            </w:pPr>
            <w:r>
              <w:rPr>
                <w:b/>
                <w:bCs/>
                <w:kern w:val="0"/>
                <w:sz w:val="24"/>
              </w:rPr>
              <w:t>　</w:t>
            </w:r>
          </w:p>
        </w:tc>
      </w:tr>
      <w:tr w14:paraId="0881AC0E">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142184E">
            <w:pPr>
              <w:widowControl/>
              <w:jc w:val="center"/>
              <w:rPr>
                <w:kern w:val="0"/>
                <w:sz w:val="24"/>
              </w:rPr>
            </w:pPr>
            <w:r>
              <w:rPr>
                <w:kern w:val="0"/>
                <w:sz w:val="24"/>
              </w:rPr>
              <w:t>6.3.1</w:t>
            </w:r>
          </w:p>
        </w:tc>
        <w:tc>
          <w:tcPr>
            <w:tcW w:w="3128" w:type="dxa"/>
            <w:tcBorders>
              <w:top w:val="nil"/>
              <w:left w:val="nil"/>
              <w:bottom w:val="single" w:color="auto" w:sz="4" w:space="0"/>
              <w:right w:val="single" w:color="auto" w:sz="4" w:space="0"/>
            </w:tcBorders>
            <w:vAlign w:val="center"/>
          </w:tcPr>
          <w:p w14:paraId="7FAB2DF1">
            <w:pPr>
              <w:widowControl/>
              <w:jc w:val="left"/>
              <w:rPr>
                <w:kern w:val="0"/>
                <w:sz w:val="24"/>
              </w:rPr>
            </w:pPr>
            <w:r>
              <w:rPr>
                <w:rFonts w:hint="eastAsia" w:ascii="宋体" w:hAnsi="宋体"/>
                <w:kern w:val="0"/>
                <w:sz w:val="24"/>
              </w:rPr>
              <w:t>古树名木保护与复壮</w:t>
            </w:r>
          </w:p>
        </w:tc>
        <w:tc>
          <w:tcPr>
            <w:tcW w:w="1984" w:type="dxa"/>
            <w:tcBorders>
              <w:top w:val="nil"/>
              <w:left w:val="nil"/>
              <w:bottom w:val="single" w:color="auto" w:sz="4" w:space="0"/>
              <w:right w:val="single" w:color="auto" w:sz="4" w:space="0"/>
            </w:tcBorders>
            <w:vAlign w:val="center"/>
          </w:tcPr>
          <w:p w14:paraId="650E6CEF">
            <w:pPr>
              <w:widowControl/>
              <w:jc w:val="center"/>
              <w:rPr>
                <w:kern w:val="0"/>
                <w:sz w:val="24"/>
              </w:rPr>
            </w:pPr>
            <w:r>
              <w:rPr>
                <w:rFonts w:hint="eastAsia" w:ascii="宋体" w:hAnsi="宋体"/>
                <w:kern w:val="0"/>
                <w:sz w:val="24"/>
              </w:rPr>
              <w:t>全市区域</w:t>
            </w:r>
          </w:p>
        </w:tc>
        <w:tc>
          <w:tcPr>
            <w:tcW w:w="1236" w:type="dxa"/>
            <w:tcBorders>
              <w:top w:val="nil"/>
              <w:left w:val="nil"/>
              <w:bottom w:val="single" w:color="auto" w:sz="4" w:space="0"/>
              <w:right w:val="single" w:color="auto" w:sz="4" w:space="0"/>
            </w:tcBorders>
            <w:vAlign w:val="center"/>
          </w:tcPr>
          <w:p w14:paraId="75760CB9">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4CD317BB">
            <w:pPr>
              <w:widowControl/>
              <w:jc w:val="center"/>
              <w:rPr>
                <w:kern w:val="0"/>
                <w:sz w:val="24"/>
              </w:rPr>
            </w:pPr>
            <w:r>
              <w:rPr>
                <w:kern w:val="0"/>
                <w:sz w:val="24"/>
              </w:rPr>
              <w:t>8700</w:t>
            </w:r>
          </w:p>
        </w:tc>
        <w:tc>
          <w:tcPr>
            <w:tcW w:w="1559" w:type="dxa"/>
            <w:tcBorders>
              <w:top w:val="nil"/>
              <w:left w:val="nil"/>
              <w:bottom w:val="single" w:color="auto" w:sz="4" w:space="0"/>
              <w:right w:val="single" w:color="auto" w:sz="4" w:space="0"/>
            </w:tcBorders>
            <w:vAlign w:val="center"/>
          </w:tcPr>
          <w:p w14:paraId="59424AF5">
            <w:pPr>
              <w:widowControl/>
              <w:jc w:val="center"/>
              <w:rPr>
                <w:kern w:val="0"/>
                <w:sz w:val="24"/>
              </w:rPr>
            </w:pPr>
            <w:r>
              <w:rPr>
                <w:kern w:val="0"/>
                <w:sz w:val="24"/>
              </w:rPr>
              <w:t>2700</w:t>
            </w:r>
          </w:p>
        </w:tc>
        <w:tc>
          <w:tcPr>
            <w:tcW w:w="1559" w:type="dxa"/>
            <w:tcBorders>
              <w:top w:val="nil"/>
              <w:left w:val="nil"/>
              <w:bottom w:val="single" w:color="auto" w:sz="4" w:space="0"/>
              <w:right w:val="single" w:color="auto" w:sz="4" w:space="0"/>
            </w:tcBorders>
            <w:vAlign w:val="center"/>
          </w:tcPr>
          <w:p w14:paraId="5F4273AA">
            <w:pPr>
              <w:widowControl/>
              <w:jc w:val="center"/>
              <w:rPr>
                <w:kern w:val="0"/>
                <w:sz w:val="24"/>
              </w:rPr>
            </w:pPr>
            <w:r>
              <w:rPr>
                <w:kern w:val="0"/>
                <w:sz w:val="24"/>
              </w:rPr>
              <w:t>6000</w:t>
            </w:r>
          </w:p>
        </w:tc>
        <w:tc>
          <w:tcPr>
            <w:tcW w:w="1276" w:type="dxa"/>
            <w:tcBorders>
              <w:top w:val="nil"/>
              <w:left w:val="nil"/>
              <w:bottom w:val="single" w:color="auto" w:sz="4" w:space="0"/>
              <w:right w:val="single" w:color="auto" w:sz="4" w:space="0"/>
            </w:tcBorders>
            <w:vAlign w:val="center"/>
          </w:tcPr>
          <w:p w14:paraId="135C38B9">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53F8BD44">
            <w:pPr>
              <w:widowControl/>
              <w:jc w:val="center"/>
              <w:rPr>
                <w:b/>
                <w:bCs/>
                <w:kern w:val="0"/>
                <w:sz w:val="24"/>
              </w:rPr>
            </w:pPr>
            <w:r>
              <w:rPr>
                <w:b/>
                <w:bCs/>
                <w:kern w:val="0"/>
                <w:sz w:val="24"/>
              </w:rPr>
              <w:t>　</w:t>
            </w:r>
          </w:p>
        </w:tc>
      </w:tr>
      <w:tr w14:paraId="7064688F">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71B23A19">
            <w:pPr>
              <w:widowControl/>
              <w:jc w:val="center"/>
              <w:rPr>
                <w:b/>
                <w:bCs/>
                <w:kern w:val="0"/>
                <w:sz w:val="24"/>
              </w:rPr>
            </w:pPr>
            <w:r>
              <w:rPr>
                <w:b/>
                <w:bCs/>
                <w:kern w:val="0"/>
                <w:sz w:val="24"/>
              </w:rPr>
              <w:t>6.4</w:t>
            </w:r>
          </w:p>
        </w:tc>
        <w:tc>
          <w:tcPr>
            <w:tcW w:w="3128" w:type="dxa"/>
            <w:tcBorders>
              <w:top w:val="nil"/>
              <w:left w:val="nil"/>
              <w:bottom w:val="single" w:color="auto" w:sz="4" w:space="0"/>
              <w:right w:val="single" w:color="auto" w:sz="4" w:space="0"/>
            </w:tcBorders>
            <w:vAlign w:val="center"/>
          </w:tcPr>
          <w:p w14:paraId="5D6BC6F1">
            <w:pPr>
              <w:widowControl/>
              <w:jc w:val="left"/>
              <w:rPr>
                <w:rFonts w:ascii="宋体" w:hAnsi="宋体" w:cs="宋体"/>
                <w:b/>
                <w:bCs/>
                <w:kern w:val="0"/>
                <w:sz w:val="24"/>
              </w:rPr>
            </w:pPr>
            <w:r>
              <w:rPr>
                <w:rFonts w:hint="eastAsia" w:ascii="宋体" w:hAnsi="宋体" w:cs="宋体"/>
                <w:b/>
                <w:bCs/>
                <w:kern w:val="0"/>
                <w:sz w:val="24"/>
              </w:rPr>
              <w:t>有害生物防治工程</w:t>
            </w:r>
          </w:p>
        </w:tc>
        <w:tc>
          <w:tcPr>
            <w:tcW w:w="1984" w:type="dxa"/>
            <w:tcBorders>
              <w:top w:val="nil"/>
              <w:left w:val="nil"/>
              <w:bottom w:val="single" w:color="auto" w:sz="4" w:space="0"/>
              <w:right w:val="single" w:color="auto" w:sz="4" w:space="0"/>
            </w:tcBorders>
            <w:vAlign w:val="center"/>
          </w:tcPr>
          <w:p w14:paraId="0ABC011E">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69838F26">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771787EF">
            <w:pPr>
              <w:widowControl/>
              <w:jc w:val="center"/>
              <w:rPr>
                <w:b/>
                <w:bCs/>
                <w:kern w:val="0"/>
                <w:sz w:val="24"/>
              </w:rPr>
            </w:pPr>
            <w:r>
              <w:rPr>
                <w:b/>
                <w:bCs/>
                <w:kern w:val="0"/>
                <w:sz w:val="24"/>
              </w:rPr>
              <w:t>7500</w:t>
            </w:r>
          </w:p>
        </w:tc>
        <w:tc>
          <w:tcPr>
            <w:tcW w:w="1559" w:type="dxa"/>
            <w:tcBorders>
              <w:top w:val="nil"/>
              <w:left w:val="nil"/>
              <w:bottom w:val="single" w:color="auto" w:sz="4" w:space="0"/>
              <w:right w:val="single" w:color="auto" w:sz="4" w:space="0"/>
            </w:tcBorders>
            <w:vAlign w:val="center"/>
          </w:tcPr>
          <w:p w14:paraId="5CC6C193">
            <w:pPr>
              <w:widowControl/>
              <w:jc w:val="center"/>
              <w:rPr>
                <w:b/>
                <w:bCs/>
                <w:kern w:val="0"/>
                <w:sz w:val="24"/>
              </w:rPr>
            </w:pPr>
            <w:r>
              <w:rPr>
                <w:b/>
                <w:bCs/>
                <w:kern w:val="0"/>
                <w:sz w:val="24"/>
              </w:rPr>
              <w:t>3000</w:t>
            </w:r>
          </w:p>
        </w:tc>
        <w:tc>
          <w:tcPr>
            <w:tcW w:w="1559" w:type="dxa"/>
            <w:tcBorders>
              <w:top w:val="nil"/>
              <w:left w:val="nil"/>
              <w:bottom w:val="single" w:color="auto" w:sz="4" w:space="0"/>
              <w:right w:val="single" w:color="auto" w:sz="4" w:space="0"/>
            </w:tcBorders>
            <w:vAlign w:val="center"/>
          </w:tcPr>
          <w:p w14:paraId="4FFD1804">
            <w:pPr>
              <w:widowControl/>
              <w:jc w:val="center"/>
              <w:rPr>
                <w:b/>
                <w:bCs/>
                <w:kern w:val="0"/>
                <w:sz w:val="24"/>
              </w:rPr>
            </w:pPr>
            <w:r>
              <w:rPr>
                <w:b/>
                <w:bCs/>
                <w:kern w:val="0"/>
                <w:sz w:val="24"/>
              </w:rPr>
              <w:t>4500</w:t>
            </w:r>
          </w:p>
        </w:tc>
        <w:tc>
          <w:tcPr>
            <w:tcW w:w="1276" w:type="dxa"/>
            <w:tcBorders>
              <w:top w:val="nil"/>
              <w:left w:val="nil"/>
              <w:bottom w:val="single" w:color="auto" w:sz="4" w:space="0"/>
              <w:right w:val="single" w:color="auto" w:sz="4" w:space="0"/>
            </w:tcBorders>
            <w:vAlign w:val="center"/>
          </w:tcPr>
          <w:p w14:paraId="3B8F35B5">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000C3BF2">
            <w:pPr>
              <w:widowControl/>
              <w:jc w:val="center"/>
              <w:rPr>
                <w:b/>
                <w:bCs/>
                <w:kern w:val="0"/>
                <w:sz w:val="24"/>
              </w:rPr>
            </w:pPr>
            <w:r>
              <w:rPr>
                <w:b/>
                <w:bCs/>
                <w:kern w:val="0"/>
                <w:sz w:val="24"/>
              </w:rPr>
              <w:t>　</w:t>
            </w:r>
          </w:p>
        </w:tc>
      </w:tr>
      <w:tr w14:paraId="2E01D2F1">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570C3840">
            <w:pPr>
              <w:widowControl/>
              <w:jc w:val="center"/>
              <w:rPr>
                <w:kern w:val="0"/>
                <w:sz w:val="24"/>
              </w:rPr>
            </w:pPr>
            <w:r>
              <w:rPr>
                <w:kern w:val="0"/>
                <w:sz w:val="24"/>
              </w:rPr>
              <w:t>6.4.1</w:t>
            </w:r>
          </w:p>
        </w:tc>
        <w:tc>
          <w:tcPr>
            <w:tcW w:w="3128" w:type="dxa"/>
            <w:tcBorders>
              <w:top w:val="nil"/>
              <w:left w:val="nil"/>
              <w:bottom w:val="single" w:color="auto" w:sz="4" w:space="0"/>
              <w:right w:val="single" w:color="auto" w:sz="4" w:space="0"/>
            </w:tcBorders>
            <w:vAlign w:val="center"/>
          </w:tcPr>
          <w:p w14:paraId="0AD6D1EF">
            <w:pPr>
              <w:widowControl/>
              <w:jc w:val="left"/>
              <w:rPr>
                <w:kern w:val="0"/>
                <w:sz w:val="24"/>
              </w:rPr>
            </w:pPr>
            <w:r>
              <w:rPr>
                <w:rFonts w:hint="eastAsia" w:ascii="宋体" w:hAnsi="宋体"/>
                <w:kern w:val="0"/>
                <w:sz w:val="24"/>
              </w:rPr>
              <w:t>有害生物防治工程</w:t>
            </w:r>
          </w:p>
        </w:tc>
        <w:tc>
          <w:tcPr>
            <w:tcW w:w="1984" w:type="dxa"/>
            <w:tcBorders>
              <w:top w:val="nil"/>
              <w:left w:val="nil"/>
              <w:bottom w:val="single" w:color="auto" w:sz="4" w:space="0"/>
              <w:right w:val="single" w:color="auto" w:sz="4" w:space="0"/>
            </w:tcBorders>
            <w:vAlign w:val="center"/>
          </w:tcPr>
          <w:p w14:paraId="6E4079C4">
            <w:pPr>
              <w:widowControl/>
              <w:jc w:val="center"/>
              <w:rPr>
                <w:kern w:val="0"/>
                <w:sz w:val="24"/>
              </w:rPr>
            </w:pPr>
            <w:r>
              <w:rPr>
                <w:rFonts w:hint="eastAsia" w:ascii="宋体" w:hAnsi="宋体"/>
                <w:kern w:val="0"/>
                <w:sz w:val="24"/>
              </w:rPr>
              <w:t>全市区域</w:t>
            </w:r>
          </w:p>
        </w:tc>
        <w:tc>
          <w:tcPr>
            <w:tcW w:w="1236" w:type="dxa"/>
            <w:tcBorders>
              <w:top w:val="nil"/>
              <w:left w:val="nil"/>
              <w:bottom w:val="single" w:color="auto" w:sz="4" w:space="0"/>
              <w:right w:val="single" w:color="auto" w:sz="4" w:space="0"/>
            </w:tcBorders>
            <w:vAlign w:val="center"/>
          </w:tcPr>
          <w:p w14:paraId="3A8C3A08">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309B190D">
            <w:pPr>
              <w:widowControl/>
              <w:jc w:val="center"/>
              <w:rPr>
                <w:kern w:val="0"/>
                <w:sz w:val="24"/>
              </w:rPr>
            </w:pPr>
            <w:r>
              <w:rPr>
                <w:kern w:val="0"/>
                <w:sz w:val="24"/>
              </w:rPr>
              <w:t>7500</w:t>
            </w:r>
          </w:p>
        </w:tc>
        <w:tc>
          <w:tcPr>
            <w:tcW w:w="1559" w:type="dxa"/>
            <w:tcBorders>
              <w:top w:val="nil"/>
              <w:left w:val="nil"/>
              <w:bottom w:val="single" w:color="auto" w:sz="4" w:space="0"/>
              <w:right w:val="single" w:color="auto" w:sz="4" w:space="0"/>
            </w:tcBorders>
            <w:vAlign w:val="center"/>
          </w:tcPr>
          <w:p w14:paraId="491CE0E3">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73EC4425">
            <w:pPr>
              <w:widowControl/>
              <w:jc w:val="center"/>
              <w:rPr>
                <w:kern w:val="0"/>
                <w:sz w:val="24"/>
              </w:rPr>
            </w:pPr>
            <w:r>
              <w:rPr>
                <w:kern w:val="0"/>
                <w:sz w:val="24"/>
              </w:rPr>
              <w:t>4500</w:t>
            </w:r>
          </w:p>
        </w:tc>
        <w:tc>
          <w:tcPr>
            <w:tcW w:w="1276" w:type="dxa"/>
            <w:tcBorders>
              <w:top w:val="nil"/>
              <w:left w:val="nil"/>
              <w:bottom w:val="single" w:color="auto" w:sz="4" w:space="0"/>
              <w:right w:val="single" w:color="auto" w:sz="4" w:space="0"/>
            </w:tcBorders>
            <w:vAlign w:val="center"/>
          </w:tcPr>
          <w:p w14:paraId="49FF3DEC">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5FF75196">
            <w:pPr>
              <w:widowControl/>
              <w:jc w:val="center"/>
              <w:rPr>
                <w:b/>
                <w:bCs/>
                <w:kern w:val="0"/>
                <w:sz w:val="24"/>
              </w:rPr>
            </w:pPr>
            <w:r>
              <w:rPr>
                <w:b/>
                <w:bCs/>
                <w:kern w:val="0"/>
                <w:sz w:val="24"/>
              </w:rPr>
              <w:t>　</w:t>
            </w:r>
          </w:p>
        </w:tc>
      </w:tr>
      <w:tr w14:paraId="00467FF6">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17062D29">
            <w:pPr>
              <w:widowControl/>
              <w:jc w:val="center"/>
              <w:rPr>
                <w:b/>
                <w:bCs/>
                <w:kern w:val="0"/>
                <w:sz w:val="24"/>
              </w:rPr>
            </w:pPr>
            <w:r>
              <w:rPr>
                <w:b/>
                <w:bCs/>
                <w:kern w:val="0"/>
                <w:sz w:val="24"/>
              </w:rPr>
              <w:t>6.5</w:t>
            </w:r>
          </w:p>
        </w:tc>
        <w:tc>
          <w:tcPr>
            <w:tcW w:w="3128" w:type="dxa"/>
            <w:tcBorders>
              <w:top w:val="nil"/>
              <w:left w:val="nil"/>
              <w:bottom w:val="single" w:color="auto" w:sz="4" w:space="0"/>
              <w:right w:val="single" w:color="auto" w:sz="4" w:space="0"/>
            </w:tcBorders>
            <w:vAlign w:val="center"/>
          </w:tcPr>
          <w:p w14:paraId="62FF4DEB">
            <w:pPr>
              <w:widowControl/>
              <w:jc w:val="left"/>
              <w:rPr>
                <w:rFonts w:ascii="宋体" w:hAnsi="宋体" w:cs="宋体"/>
                <w:b/>
                <w:bCs/>
                <w:kern w:val="0"/>
                <w:sz w:val="24"/>
              </w:rPr>
            </w:pPr>
            <w:r>
              <w:rPr>
                <w:rFonts w:hint="eastAsia" w:ascii="宋体" w:hAnsi="宋体" w:cs="宋体"/>
                <w:b/>
                <w:bCs/>
                <w:kern w:val="0"/>
                <w:sz w:val="24"/>
              </w:rPr>
              <w:t>智慧林业建设工程</w:t>
            </w:r>
          </w:p>
        </w:tc>
        <w:tc>
          <w:tcPr>
            <w:tcW w:w="1984" w:type="dxa"/>
            <w:tcBorders>
              <w:top w:val="nil"/>
              <w:left w:val="nil"/>
              <w:bottom w:val="single" w:color="auto" w:sz="4" w:space="0"/>
              <w:right w:val="single" w:color="auto" w:sz="4" w:space="0"/>
            </w:tcBorders>
            <w:vAlign w:val="center"/>
          </w:tcPr>
          <w:p w14:paraId="775D09E8">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47520BCE">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319BC7DC">
            <w:pPr>
              <w:widowControl/>
              <w:jc w:val="center"/>
              <w:rPr>
                <w:b/>
                <w:bCs/>
                <w:kern w:val="0"/>
                <w:sz w:val="24"/>
              </w:rPr>
            </w:pPr>
            <w:r>
              <w:rPr>
                <w:b/>
                <w:bCs/>
                <w:kern w:val="0"/>
                <w:sz w:val="24"/>
              </w:rPr>
              <w:t>12300</w:t>
            </w:r>
          </w:p>
        </w:tc>
        <w:tc>
          <w:tcPr>
            <w:tcW w:w="1559" w:type="dxa"/>
            <w:tcBorders>
              <w:top w:val="nil"/>
              <w:left w:val="nil"/>
              <w:bottom w:val="single" w:color="auto" w:sz="4" w:space="0"/>
              <w:right w:val="single" w:color="auto" w:sz="4" w:space="0"/>
            </w:tcBorders>
            <w:vAlign w:val="center"/>
          </w:tcPr>
          <w:p w14:paraId="404F1D96">
            <w:pPr>
              <w:widowControl/>
              <w:jc w:val="center"/>
              <w:rPr>
                <w:b/>
                <w:bCs/>
                <w:kern w:val="0"/>
                <w:sz w:val="24"/>
              </w:rPr>
            </w:pPr>
            <w:r>
              <w:rPr>
                <w:b/>
                <w:bCs/>
                <w:kern w:val="0"/>
                <w:sz w:val="24"/>
              </w:rPr>
              <w:t>12300</w:t>
            </w:r>
          </w:p>
        </w:tc>
        <w:tc>
          <w:tcPr>
            <w:tcW w:w="1559" w:type="dxa"/>
            <w:tcBorders>
              <w:top w:val="nil"/>
              <w:left w:val="nil"/>
              <w:bottom w:val="single" w:color="auto" w:sz="4" w:space="0"/>
              <w:right w:val="single" w:color="auto" w:sz="4" w:space="0"/>
            </w:tcBorders>
            <w:vAlign w:val="center"/>
          </w:tcPr>
          <w:p w14:paraId="362ED517">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3DB1A5C7">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633195A3">
            <w:pPr>
              <w:widowControl/>
              <w:jc w:val="center"/>
              <w:rPr>
                <w:b/>
                <w:bCs/>
                <w:kern w:val="0"/>
                <w:sz w:val="24"/>
              </w:rPr>
            </w:pPr>
            <w:r>
              <w:rPr>
                <w:b/>
                <w:bCs/>
                <w:kern w:val="0"/>
                <w:sz w:val="24"/>
              </w:rPr>
              <w:t>　</w:t>
            </w:r>
          </w:p>
        </w:tc>
      </w:tr>
      <w:tr w14:paraId="2B9D46AA">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BA7A981">
            <w:pPr>
              <w:widowControl/>
              <w:jc w:val="center"/>
              <w:rPr>
                <w:b/>
                <w:bCs/>
                <w:kern w:val="0"/>
                <w:sz w:val="24"/>
              </w:rPr>
            </w:pPr>
            <w:r>
              <w:rPr>
                <w:b/>
                <w:bCs/>
                <w:kern w:val="0"/>
                <w:sz w:val="24"/>
              </w:rPr>
              <w:t>6.5.1</w:t>
            </w:r>
          </w:p>
        </w:tc>
        <w:tc>
          <w:tcPr>
            <w:tcW w:w="3128" w:type="dxa"/>
            <w:tcBorders>
              <w:top w:val="nil"/>
              <w:left w:val="nil"/>
              <w:bottom w:val="single" w:color="auto" w:sz="4" w:space="0"/>
              <w:right w:val="single" w:color="auto" w:sz="4" w:space="0"/>
            </w:tcBorders>
            <w:vAlign w:val="center"/>
          </w:tcPr>
          <w:p w14:paraId="5A1E88FD">
            <w:pPr>
              <w:widowControl/>
              <w:jc w:val="left"/>
              <w:rPr>
                <w:rFonts w:ascii="宋体" w:hAnsi="宋体" w:cs="宋体"/>
                <w:kern w:val="0"/>
                <w:sz w:val="24"/>
              </w:rPr>
            </w:pPr>
            <w:r>
              <w:rPr>
                <w:rFonts w:hint="eastAsia" w:ascii="宋体" w:hAnsi="宋体" w:cs="宋体"/>
                <w:kern w:val="0"/>
                <w:sz w:val="24"/>
              </w:rPr>
              <w:t>智慧林业</w:t>
            </w:r>
          </w:p>
        </w:tc>
        <w:tc>
          <w:tcPr>
            <w:tcW w:w="1984" w:type="dxa"/>
            <w:tcBorders>
              <w:top w:val="nil"/>
              <w:left w:val="nil"/>
              <w:bottom w:val="single" w:color="auto" w:sz="4" w:space="0"/>
              <w:right w:val="single" w:color="auto" w:sz="4" w:space="0"/>
            </w:tcBorders>
            <w:vAlign w:val="center"/>
          </w:tcPr>
          <w:p w14:paraId="607A32F1">
            <w:pPr>
              <w:widowControl/>
              <w:jc w:val="center"/>
              <w:rPr>
                <w:kern w:val="0"/>
                <w:sz w:val="24"/>
              </w:rPr>
            </w:pPr>
            <w:r>
              <w:rPr>
                <w:rFonts w:hint="eastAsia" w:ascii="宋体" w:hAnsi="宋体"/>
                <w:kern w:val="0"/>
                <w:sz w:val="24"/>
              </w:rPr>
              <w:t>全市区域</w:t>
            </w:r>
          </w:p>
        </w:tc>
        <w:tc>
          <w:tcPr>
            <w:tcW w:w="1236" w:type="dxa"/>
            <w:tcBorders>
              <w:top w:val="nil"/>
              <w:left w:val="nil"/>
              <w:bottom w:val="single" w:color="auto" w:sz="4" w:space="0"/>
              <w:right w:val="single" w:color="auto" w:sz="4" w:space="0"/>
            </w:tcBorders>
            <w:vAlign w:val="center"/>
          </w:tcPr>
          <w:p w14:paraId="4B012A02">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06B55C22">
            <w:pPr>
              <w:widowControl/>
              <w:jc w:val="center"/>
              <w:rPr>
                <w:kern w:val="0"/>
                <w:sz w:val="24"/>
              </w:rPr>
            </w:pPr>
            <w:r>
              <w:rPr>
                <w:kern w:val="0"/>
                <w:sz w:val="24"/>
              </w:rPr>
              <w:t>12300</w:t>
            </w:r>
          </w:p>
        </w:tc>
        <w:tc>
          <w:tcPr>
            <w:tcW w:w="1559" w:type="dxa"/>
            <w:tcBorders>
              <w:top w:val="nil"/>
              <w:left w:val="nil"/>
              <w:bottom w:val="single" w:color="auto" w:sz="4" w:space="0"/>
              <w:right w:val="single" w:color="auto" w:sz="4" w:space="0"/>
            </w:tcBorders>
            <w:vAlign w:val="center"/>
          </w:tcPr>
          <w:p w14:paraId="769C29D0">
            <w:pPr>
              <w:widowControl/>
              <w:jc w:val="center"/>
              <w:rPr>
                <w:kern w:val="0"/>
                <w:sz w:val="24"/>
              </w:rPr>
            </w:pPr>
            <w:r>
              <w:rPr>
                <w:kern w:val="0"/>
                <w:sz w:val="24"/>
              </w:rPr>
              <w:t>12300</w:t>
            </w:r>
          </w:p>
        </w:tc>
        <w:tc>
          <w:tcPr>
            <w:tcW w:w="1559" w:type="dxa"/>
            <w:tcBorders>
              <w:top w:val="nil"/>
              <w:left w:val="nil"/>
              <w:bottom w:val="single" w:color="auto" w:sz="4" w:space="0"/>
              <w:right w:val="single" w:color="auto" w:sz="4" w:space="0"/>
            </w:tcBorders>
            <w:vAlign w:val="center"/>
          </w:tcPr>
          <w:p w14:paraId="5FFD09DF">
            <w:pPr>
              <w:widowControl/>
              <w:jc w:val="center"/>
              <w:rPr>
                <w:kern w:val="0"/>
                <w:sz w:val="24"/>
              </w:rPr>
            </w:pPr>
            <w:r>
              <w:rPr>
                <w:kern w:val="0"/>
                <w:sz w:val="24"/>
              </w:rPr>
              <w:t>—</w:t>
            </w:r>
          </w:p>
        </w:tc>
        <w:tc>
          <w:tcPr>
            <w:tcW w:w="1276" w:type="dxa"/>
            <w:tcBorders>
              <w:top w:val="nil"/>
              <w:left w:val="nil"/>
              <w:bottom w:val="single" w:color="auto" w:sz="4" w:space="0"/>
              <w:right w:val="single" w:color="auto" w:sz="4" w:space="0"/>
            </w:tcBorders>
            <w:vAlign w:val="center"/>
          </w:tcPr>
          <w:p w14:paraId="09708CDA">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3DD83CB2">
            <w:pPr>
              <w:widowControl/>
              <w:jc w:val="center"/>
              <w:rPr>
                <w:b/>
                <w:bCs/>
                <w:kern w:val="0"/>
                <w:sz w:val="24"/>
              </w:rPr>
            </w:pPr>
            <w:r>
              <w:rPr>
                <w:b/>
                <w:bCs/>
                <w:kern w:val="0"/>
                <w:sz w:val="24"/>
              </w:rPr>
              <w:t>　</w:t>
            </w:r>
          </w:p>
        </w:tc>
      </w:tr>
      <w:tr w14:paraId="08F45FE0">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4BACC4F8">
            <w:pPr>
              <w:widowControl/>
              <w:jc w:val="center"/>
              <w:rPr>
                <w:b/>
                <w:bCs/>
                <w:kern w:val="0"/>
                <w:sz w:val="24"/>
              </w:rPr>
            </w:pPr>
            <w:r>
              <w:rPr>
                <w:b/>
                <w:bCs/>
                <w:kern w:val="0"/>
                <w:sz w:val="24"/>
              </w:rPr>
              <w:t>6.6</w:t>
            </w:r>
          </w:p>
        </w:tc>
        <w:tc>
          <w:tcPr>
            <w:tcW w:w="3128" w:type="dxa"/>
            <w:tcBorders>
              <w:top w:val="nil"/>
              <w:left w:val="nil"/>
              <w:bottom w:val="single" w:color="auto" w:sz="4" w:space="0"/>
              <w:right w:val="single" w:color="auto" w:sz="4" w:space="0"/>
            </w:tcBorders>
            <w:vAlign w:val="center"/>
          </w:tcPr>
          <w:p w14:paraId="3E0D366F">
            <w:pPr>
              <w:widowControl/>
              <w:jc w:val="left"/>
              <w:rPr>
                <w:rFonts w:ascii="宋体" w:hAnsi="宋体" w:cs="宋体"/>
                <w:b/>
                <w:bCs/>
                <w:kern w:val="0"/>
                <w:sz w:val="24"/>
              </w:rPr>
            </w:pPr>
            <w:r>
              <w:rPr>
                <w:rFonts w:hint="eastAsia" w:ascii="宋体" w:hAnsi="宋体" w:cs="宋体"/>
                <w:b/>
                <w:bCs/>
                <w:kern w:val="0"/>
                <w:sz w:val="24"/>
              </w:rPr>
              <w:t>野生动植物保护建设工程</w:t>
            </w:r>
          </w:p>
        </w:tc>
        <w:tc>
          <w:tcPr>
            <w:tcW w:w="1984" w:type="dxa"/>
            <w:tcBorders>
              <w:top w:val="nil"/>
              <w:left w:val="nil"/>
              <w:bottom w:val="single" w:color="auto" w:sz="4" w:space="0"/>
              <w:right w:val="single" w:color="auto" w:sz="4" w:space="0"/>
            </w:tcBorders>
            <w:vAlign w:val="center"/>
          </w:tcPr>
          <w:p w14:paraId="1BEE2016">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1951A4B7">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6C28C736">
            <w:pPr>
              <w:widowControl/>
              <w:jc w:val="center"/>
              <w:rPr>
                <w:b/>
                <w:bCs/>
                <w:kern w:val="0"/>
                <w:sz w:val="24"/>
              </w:rPr>
            </w:pPr>
            <w:r>
              <w:rPr>
                <w:b/>
                <w:bCs/>
                <w:kern w:val="0"/>
                <w:sz w:val="24"/>
              </w:rPr>
              <w:t>4500</w:t>
            </w:r>
          </w:p>
        </w:tc>
        <w:tc>
          <w:tcPr>
            <w:tcW w:w="1559" w:type="dxa"/>
            <w:tcBorders>
              <w:top w:val="nil"/>
              <w:left w:val="nil"/>
              <w:bottom w:val="single" w:color="auto" w:sz="4" w:space="0"/>
              <w:right w:val="single" w:color="auto" w:sz="4" w:space="0"/>
            </w:tcBorders>
            <w:vAlign w:val="center"/>
          </w:tcPr>
          <w:p w14:paraId="736F4E70">
            <w:pPr>
              <w:widowControl/>
              <w:jc w:val="center"/>
              <w:rPr>
                <w:b/>
                <w:bCs/>
                <w:kern w:val="0"/>
                <w:sz w:val="24"/>
              </w:rPr>
            </w:pPr>
            <w:r>
              <w:rPr>
                <w:b/>
                <w:bCs/>
                <w:kern w:val="0"/>
                <w:sz w:val="24"/>
              </w:rPr>
              <w:t>2500</w:t>
            </w:r>
          </w:p>
        </w:tc>
        <w:tc>
          <w:tcPr>
            <w:tcW w:w="1559" w:type="dxa"/>
            <w:tcBorders>
              <w:top w:val="nil"/>
              <w:left w:val="nil"/>
              <w:bottom w:val="single" w:color="auto" w:sz="4" w:space="0"/>
              <w:right w:val="single" w:color="auto" w:sz="4" w:space="0"/>
            </w:tcBorders>
            <w:vAlign w:val="center"/>
          </w:tcPr>
          <w:p w14:paraId="10210737">
            <w:pPr>
              <w:widowControl/>
              <w:jc w:val="center"/>
              <w:rPr>
                <w:b/>
                <w:bCs/>
                <w:kern w:val="0"/>
                <w:sz w:val="24"/>
              </w:rPr>
            </w:pPr>
            <w:r>
              <w:rPr>
                <w:b/>
                <w:bCs/>
                <w:kern w:val="0"/>
                <w:sz w:val="24"/>
              </w:rPr>
              <w:t>2000</w:t>
            </w:r>
          </w:p>
        </w:tc>
        <w:tc>
          <w:tcPr>
            <w:tcW w:w="1276" w:type="dxa"/>
            <w:tcBorders>
              <w:top w:val="nil"/>
              <w:left w:val="nil"/>
              <w:bottom w:val="single" w:color="auto" w:sz="4" w:space="0"/>
              <w:right w:val="single" w:color="auto" w:sz="4" w:space="0"/>
            </w:tcBorders>
            <w:vAlign w:val="center"/>
          </w:tcPr>
          <w:p w14:paraId="5E1E8B71">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54D84C4F">
            <w:pPr>
              <w:widowControl/>
              <w:jc w:val="center"/>
              <w:rPr>
                <w:b/>
                <w:bCs/>
                <w:kern w:val="0"/>
                <w:sz w:val="24"/>
              </w:rPr>
            </w:pPr>
            <w:r>
              <w:rPr>
                <w:b/>
                <w:bCs/>
                <w:kern w:val="0"/>
                <w:sz w:val="24"/>
              </w:rPr>
              <w:t>　</w:t>
            </w:r>
          </w:p>
        </w:tc>
      </w:tr>
      <w:tr w14:paraId="073040E6">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220EBA71">
            <w:pPr>
              <w:widowControl/>
              <w:jc w:val="center"/>
              <w:rPr>
                <w:kern w:val="0"/>
                <w:sz w:val="24"/>
              </w:rPr>
            </w:pPr>
            <w:r>
              <w:rPr>
                <w:kern w:val="0"/>
                <w:sz w:val="24"/>
              </w:rPr>
              <w:t>6.6.1</w:t>
            </w:r>
          </w:p>
        </w:tc>
        <w:tc>
          <w:tcPr>
            <w:tcW w:w="3128" w:type="dxa"/>
            <w:tcBorders>
              <w:top w:val="nil"/>
              <w:left w:val="nil"/>
              <w:bottom w:val="single" w:color="auto" w:sz="4" w:space="0"/>
              <w:right w:val="single" w:color="auto" w:sz="4" w:space="0"/>
            </w:tcBorders>
            <w:vAlign w:val="center"/>
          </w:tcPr>
          <w:p w14:paraId="2A133F05">
            <w:pPr>
              <w:widowControl/>
              <w:jc w:val="left"/>
              <w:rPr>
                <w:kern w:val="0"/>
                <w:sz w:val="24"/>
              </w:rPr>
            </w:pPr>
            <w:r>
              <w:rPr>
                <w:rFonts w:hint="eastAsia" w:ascii="宋体" w:hAnsi="宋体"/>
                <w:kern w:val="0"/>
                <w:sz w:val="24"/>
              </w:rPr>
              <w:t>生物多样性资源本底调查</w:t>
            </w:r>
          </w:p>
        </w:tc>
        <w:tc>
          <w:tcPr>
            <w:tcW w:w="1984" w:type="dxa"/>
            <w:tcBorders>
              <w:top w:val="nil"/>
              <w:left w:val="nil"/>
              <w:bottom w:val="single" w:color="auto" w:sz="4" w:space="0"/>
              <w:right w:val="single" w:color="auto" w:sz="4" w:space="0"/>
            </w:tcBorders>
            <w:vAlign w:val="center"/>
          </w:tcPr>
          <w:p w14:paraId="3F655E9C">
            <w:pPr>
              <w:widowControl/>
              <w:jc w:val="center"/>
              <w:rPr>
                <w:kern w:val="0"/>
                <w:sz w:val="24"/>
              </w:rPr>
            </w:pPr>
            <w:r>
              <w:rPr>
                <w:rFonts w:hint="eastAsia" w:ascii="宋体" w:hAnsi="宋体"/>
                <w:kern w:val="0"/>
                <w:sz w:val="24"/>
              </w:rPr>
              <w:t>全市区域</w:t>
            </w:r>
          </w:p>
        </w:tc>
        <w:tc>
          <w:tcPr>
            <w:tcW w:w="1236" w:type="dxa"/>
            <w:tcBorders>
              <w:top w:val="nil"/>
              <w:left w:val="nil"/>
              <w:bottom w:val="single" w:color="auto" w:sz="4" w:space="0"/>
              <w:right w:val="single" w:color="auto" w:sz="4" w:space="0"/>
            </w:tcBorders>
            <w:vAlign w:val="center"/>
          </w:tcPr>
          <w:p w14:paraId="2EEB5E90">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169796A1">
            <w:pPr>
              <w:widowControl/>
              <w:jc w:val="center"/>
              <w:rPr>
                <w:kern w:val="0"/>
                <w:sz w:val="24"/>
              </w:rPr>
            </w:pPr>
            <w:r>
              <w:rPr>
                <w:kern w:val="0"/>
                <w:sz w:val="24"/>
              </w:rPr>
              <w:t>1500</w:t>
            </w:r>
          </w:p>
        </w:tc>
        <w:tc>
          <w:tcPr>
            <w:tcW w:w="1559" w:type="dxa"/>
            <w:tcBorders>
              <w:top w:val="nil"/>
              <w:left w:val="nil"/>
              <w:bottom w:val="single" w:color="auto" w:sz="4" w:space="0"/>
              <w:right w:val="single" w:color="auto" w:sz="4" w:space="0"/>
            </w:tcBorders>
            <w:vAlign w:val="center"/>
          </w:tcPr>
          <w:p w14:paraId="507A4992">
            <w:pPr>
              <w:widowControl/>
              <w:jc w:val="center"/>
              <w:rPr>
                <w:kern w:val="0"/>
                <w:sz w:val="24"/>
              </w:rPr>
            </w:pPr>
            <w:r>
              <w:rPr>
                <w:kern w:val="0"/>
                <w:sz w:val="24"/>
              </w:rPr>
              <w:t>500</w:t>
            </w:r>
          </w:p>
        </w:tc>
        <w:tc>
          <w:tcPr>
            <w:tcW w:w="1559" w:type="dxa"/>
            <w:tcBorders>
              <w:top w:val="nil"/>
              <w:left w:val="nil"/>
              <w:bottom w:val="single" w:color="auto" w:sz="4" w:space="0"/>
              <w:right w:val="single" w:color="auto" w:sz="4" w:space="0"/>
            </w:tcBorders>
            <w:vAlign w:val="center"/>
          </w:tcPr>
          <w:p w14:paraId="7E6550E2">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0FDCEF0E">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29CBB6CB">
            <w:pPr>
              <w:widowControl/>
              <w:jc w:val="center"/>
              <w:rPr>
                <w:b/>
                <w:bCs/>
                <w:kern w:val="0"/>
                <w:sz w:val="24"/>
              </w:rPr>
            </w:pPr>
            <w:r>
              <w:rPr>
                <w:b/>
                <w:bCs/>
                <w:kern w:val="0"/>
                <w:sz w:val="24"/>
              </w:rPr>
              <w:t>　</w:t>
            </w:r>
          </w:p>
        </w:tc>
      </w:tr>
      <w:tr w14:paraId="76B08E93">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1365F0A">
            <w:pPr>
              <w:widowControl/>
              <w:jc w:val="center"/>
              <w:rPr>
                <w:kern w:val="0"/>
                <w:sz w:val="24"/>
              </w:rPr>
            </w:pPr>
            <w:r>
              <w:rPr>
                <w:kern w:val="0"/>
                <w:sz w:val="24"/>
              </w:rPr>
              <w:t>6.6.2</w:t>
            </w:r>
          </w:p>
        </w:tc>
        <w:tc>
          <w:tcPr>
            <w:tcW w:w="3128" w:type="dxa"/>
            <w:tcBorders>
              <w:top w:val="nil"/>
              <w:left w:val="nil"/>
              <w:bottom w:val="single" w:color="auto" w:sz="4" w:space="0"/>
              <w:right w:val="single" w:color="auto" w:sz="4" w:space="0"/>
            </w:tcBorders>
            <w:vAlign w:val="center"/>
          </w:tcPr>
          <w:p w14:paraId="7DE8F844">
            <w:pPr>
              <w:widowControl/>
              <w:jc w:val="left"/>
              <w:rPr>
                <w:kern w:val="0"/>
                <w:sz w:val="24"/>
              </w:rPr>
            </w:pPr>
            <w:r>
              <w:rPr>
                <w:rFonts w:hint="eastAsia" w:ascii="宋体" w:hAnsi="宋体"/>
                <w:kern w:val="0"/>
                <w:sz w:val="24"/>
              </w:rPr>
              <w:t>生物多样性监测体系</w:t>
            </w:r>
          </w:p>
        </w:tc>
        <w:tc>
          <w:tcPr>
            <w:tcW w:w="1984" w:type="dxa"/>
            <w:tcBorders>
              <w:top w:val="nil"/>
              <w:left w:val="nil"/>
              <w:bottom w:val="single" w:color="auto" w:sz="4" w:space="0"/>
              <w:right w:val="single" w:color="auto" w:sz="4" w:space="0"/>
            </w:tcBorders>
            <w:vAlign w:val="center"/>
          </w:tcPr>
          <w:p w14:paraId="6D894FA6">
            <w:pPr>
              <w:widowControl/>
              <w:jc w:val="center"/>
              <w:rPr>
                <w:rFonts w:ascii="宋体" w:hAnsi="宋体" w:cs="宋体"/>
                <w:kern w:val="0"/>
                <w:sz w:val="24"/>
              </w:rPr>
            </w:pPr>
            <w:r>
              <w:rPr>
                <w:rFonts w:hint="eastAsia" w:ascii="宋体" w:hAnsi="宋体" w:cs="宋体"/>
                <w:kern w:val="0"/>
                <w:sz w:val="24"/>
              </w:rPr>
              <w:t>自然保护区等</w:t>
            </w:r>
          </w:p>
        </w:tc>
        <w:tc>
          <w:tcPr>
            <w:tcW w:w="1236" w:type="dxa"/>
            <w:tcBorders>
              <w:top w:val="nil"/>
              <w:left w:val="nil"/>
              <w:bottom w:val="single" w:color="auto" w:sz="4" w:space="0"/>
              <w:right w:val="single" w:color="auto" w:sz="4" w:space="0"/>
            </w:tcBorders>
            <w:vAlign w:val="center"/>
          </w:tcPr>
          <w:p w14:paraId="47C17263">
            <w:pPr>
              <w:widowControl/>
              <w:jc w:val="center"/>
              <w:rPr>
                <w:kern w:val="0"/>
                <w:sz w:val="24"/>
              </w:rPr>
            </w:pPr>
            <w:r>
              <w:rPr>
                <w:kern w:val="0"/>
                <w:sz w:val="24"/>
              </w:rPr>
              <w:t>—</w:t>
            </w:r>
          </w:p>
        </w:tc>
        <w:tc>
          <w:tcPr>
            <w:tcW w:w="1701" w:type="dxa"/>
            <w:tcBorders>
              <w:top w:val="nil"/>
              <w:left w:val="nil"/>
              <w:bottom w:val="single" w:color="auto" w:sz="4" w:space="0"/>
              <w:right w:val="single" w:color="auto" w:sz="4" w:space="0"/>
            </w:tcBorders>
            <w:vAlign w:val="center"/>
          </w:tcPr>
          <w:p w14:paraId="634E2D22">
            <w:pPr>
              <w:widowControl/>
              <w:jc w:val="center"/>
              <w:rPr>
                <w:kern w:val="0"/>
                <w:sz w:val="24"/>
              </w:rPr>
            </w:pPr>
            <w:r>
              <w:rPr>
                <w:kern w:val="0"/>
                <w:sz w:val="24"/>
              </w:rPr>
              <w:t>3000</w:t>
            </w:r>
          </w:p>
        </w:tc>
        <w:tc>
          <w:tcPr>
            <w:tcW w:w="1559" w:type="dxa"/>
            <w:tcBorders>
              <w:top w:val="nil"/>
              <w:left w:val="nil"/>
              <w:bottom w:val="single" w:color="auto" w:sz="4" w:space="0"/>
              <w:right w:val="single" w:color="auto" w:sz="4" w:space="0"/>
            </w:tcBorders>
            <w:vAlign w:val="center"/>
          </w:tcPr>
          <w:p w14:paraId="49266424">
            <w:pPr>
              <w:widowControl/>
              <w:jc w:val="center"/>
              <w:rPr>
                <w:kern w:val="0"/>
                <w:sz w:val="24"/>
              </w:rPr>
            </w:pPr>
            <w:r>
              <w:rPr>
                <w:kern w:val="0"/>
                <w:sz w:val="24"/>
              </w:rPr>
              <w:t>2000</w:t>
            </w:r>
          </w:p>
        </w:tc>
        <w:tc>
          <w:tcPr>
            <w:tcW w:w="1559" w:type="dxa"/>
            <w:tcBorders>
              <w:top w:val="nil"/>
              <w:left w:val="nil"/>
              <w:bottom w:val="single" w:color="auto" w:sz="4" w:space="0"/>
              <w:right w:val="single" w:color="auto" w:sz="4" w:space="0"/>
            </w:tcBorders>
            <w:vAlign w:val="center"/>
          </w:tcPr>
          <w:p w14:paraId="60DC9D68">
            <w:pPr>
              <w:widowControl/>
              <w:jc w:val="center"/>
              <w:rPr>
                <w:kern w:val="0"/>
                <w:sz w:val="24"/>
              </w:rPr>
            </w:pPr>
            <w:r>
              <w:rPr>
                <w:kern w:val="0"/>
                <w:sz w:val="24"/>
              </w:rPr>
              <w:t>1000</w:t>
            </w:r>
          </w:p>
        </w:tc>
        <w:tc>
          <w:tcPr>
            <w:tcW w:w="1276" w:type="dxa"/>
            <w:tcBorders>
              <w:top w:val="nil"/>
              <w:left w:val="nil"/>
              <w:bottom w:val="single" w:color="auto" w:sz="4" w:space="0"/>
              <w:right w:val="single" w:color="auto" w:sz="4" w:space="0"/>
            </w:tcBorders>
            <w:vAlign w:val="center"/>
          </w:tcPr>
          <w:p w14:paraId="0A8F80F1">
            <w:pPr>
              <w:widowControl/>
              <w:jc w:val="center"/>
              <w:rPr>
                <w:kern w:val="0"/>
                <w:sz w:val="24"/>
              </w:rPr>
            </w:pPr>
            <w:r>
              <w:rPr>
                <w:rFonts w:hint="eastAsia" w:ascii="宋体" w:hAnsi="宋体"/>
                <w:kern w:val="0"/>
                <w:sz w:val="24"/>
              </w:rPr>
              <w:t>政府投资</w:t>
            </w:r>
          </w:p>
        </w:tc>
        <w:tc>
          <w:tcPr>
            <w:tcW w:w="851" w:type="dxa"/>
            <w:tcBorders>
              <w:top w:val="nil"/>
              <w:left w:val="nil"/>
              <w:bottom w:val="single" w:color="auto" w:sz="4" w:space="0"/>
              <w:right w:val="single" w:color="auto" w:sz="4" w:space="0"/>
            </w:tcBorders>
            <w:vAlign w:val="center"/>
          </w:tcPr>
          <w:p w14:paraId="3E524F14">
            <w:pPr>
              <w:widowControl/>
              <w:jc w:val="center"/>
              <w:rPr>
                <w:b/>
                <w:bCs/>
                <w:kern w:val="0"/>
                <w:sz w:val="24"/>
              </w:rPr>
            </w:pPr>
            <w:r>
              <w:rPr>
                <w:b/>
                <w:bCs/>
                <w:kern w:val="0"/>
                <w:sz w:val="24"/>
              </w:rPr>
              <w:t>　</w:t>
            </w:r>
          </w:p>
        </w:tc>
      </w:tr>
      <w:tr w14:paraId="14C12614">
        <w:tblPrEx>
          <w:tblCellMar>
            <w:top w:w="0" w:type="dxa"/>
            <w:left w:w="108" w:type="dxa"/>
            <w:bottom w:w="0" w:type="dxa"/>
            <w:right w:w="108" w:type="dxa"/>
          </w:tblCellMar>
        </w:tblPrEx>
        <w:trPr>
          <w:cantSplit/>
          <w:trHeight w:val="315" w:hRule="atLeast"/>
        </w:trPr>
        <w:tc>
          <w:tcPr>
            <w:tcW w:w="1140" w:type="dxa"/>
            <w:tcBorders>
              <w:top w:val="nil"/>
              <w:left w:val="single" w:color="auto" w:sz="4" w:space="0"/>
              <w:bottom w:val="single" w:color="auto" w:sz="4" w:space="0"/>
              <w:right w:val="single" w:color="auto" w:sz="4" w:space="0"/>
            </w:tcBorders>
            <w:vAlign w:val="center"/>
          </w:tcPr>
          <w:p w14:paraId="6E5A9536">
            <w:pPr>
              <w:widowControl/>
              <w:jc w:val="center"/>
              <w:rPr>
                <w:b/>
                <w:bCs/>
                <w:kern w:val="0"/>
                <w:sz w:val="24"/>
              </w:rPr>
            </w:pPr>
            <w:r>
              <w:rPr>
                <w:b/>
                <w:bCs/>
                <w:kern w:val="0"/>
                <w:sz w:val="24"/>
              </w:rPr>
              <w:t>6.7</w:t>
            </w:r>
          </w:p>
        </w:tc>
        <w:tc>
          <w:tcPr>
            <w:tcW w:w="3128" w:type="dxa"/>
            <w:tcBorders>
              <w:top w:val="nil"/>
              <w:left w:val="nil"/>
              <w:bottom w:val="single" w:color="auto" w:sz="4" w:space="0"/>
              <w:right w:val="single" w:color="auto" w:sz="4" w:space="0"/>
            </w:tcBorders>
            <w:vAlign w:val="center"/>
          </w:tcPr>
          <w:p w14:paraId="241B238B">
            <w:pPr>
              <w:widowControl/>
              <w:jc w:val="left"/>
              <w:rPr>
                <w:rFonts w:ascii="宋体" w:hAnsi="宋体" w:cs="宋体"/>
                <w:b/>
                <w:bCs/>
                <w:kern w:val="0"/>
                <w:sz w:val="24"/>
              </w:rPr>
            </w:pPr>
            <w:r>
              <w:rPr>
                <w:rFonts w:hint="eastAsia" w:ascii="宋体" w:hAnsi="宋体" w:cs="宋体"/>
                <w:b/>
                <w:bCs/>
                <w:kern w:val="0"/>
                <w:sz w:val="24"/>
              </w:rPr>
              <w:t>林业碳汇建设工程</w:t>
            </w:r>
          </w:p>
        </w:tc>
        <w:tc>
          <w:tcPr>
            <w:tcW w:w="1984" w:type="dxa"/>
            <w:tcBorders>
              <w:top w:val="nil"/>
              <w:left w:val="nil"/>
              <w:bottom w:val="single" w:color="auto" w:sz="4" w:space="0"/>
              <w:right w:val="single" w:color="auto" w:sz="4" w:space="0"/>
            </w:tcBorders>
            <w:vAlign w:val="center"/>
          </w:tcPr>
          <w:p w14:paraId="402F46C4">
            <w:pPr>
              <w:widowControl/>
              <w:jc w:val="center"/>
              <w:rPr>
                <w:b/>
                <w:bCs/>
                <w:kern w:val="0"/>
                <w:sz w:val="24"/>
              </w:rPr>
            </w:pPr>
            <w:r>
              <w:rPr>
                <w:b/>
                <w:bCs/>
                <w:kern w:val="0"/>
                <w:sz w:val="24"/>
              </w:rPr>
              <w:t>　</w:t>
            </w:r>
          </w:p>
        </w:tc>
        <w:tc>
          <w:tcPr>
            <w:tcW w:w="1236" w:type="dxa"/>
            <w:tcBorders>
              <w:top w:val="nil"/>
              <w:left w:val="nil"/>
              <w:bottom w:val="single" w:color="auto" w:sz="4" w:space="0"/>
              <w:right w:val="single" w:color="auto" w:sz="4" w:space="0"/>
            </w:tcBorders>
            <w:vAlign w:val="center"/>
          </w:tcPr>
          <w:p w14:paraId="70BA9AAD">
            <w:pPr>
              <w:widowControl/>
              <w:jc w:val="center"/>
              <w:rPr>
                <w:b/>
                <w:bCs/>
                <w:kern w:val="0"/>
                <w:sz w:val="24"/>
              </w:rPr>
            </w:pPr>
            <w:r>
              <w:rPr>
                <w:b/>
                <w:bCs/>
                <w:kern w:val="0"/>
                <w:sz w:val="24"/>
              </w:rPr>
              <w:t>　</w:t>
            </w:r>
          </w:p>
        </w:tc>
        <w:tc>
          <w:tcPr>
            <w:tcW w:w="1701" w:type="dxa"/>
            <w:tcBorders>
              <w:top w:val="nil"/>
              <w:left w:val="nil"/>
              <w:bottom w:val="single" w:color="auto" w:sz="4" w:space="0"/>
              <w:right w:val="single" w:color="auto" w:sz="4" w:space="0"/>
            </w:tcBorders>
            <w:vAlign w:val="center"/>
          </w:tcPr>
          <w:p w14:paraId="41CCD802">
            <w:pPr>
              <w:widowControl/>
              <w:jc w:val="center"/>
              <w:rPr>
                <w:b/>
                <w:bCs/>
                <w:kern w:val="0"/>
                <w:sz w:val="24"/>
              </w:rPr>
            </w:pPr>
            <w:r>
              <w:rPr>
                <w:b/>
                <w:bCs/>
                <w:kern w:val="0"/>
                <w:sz w:val="24"/>
              </w:rPr>
              <w:t>180000</w:t>
            </w:r>
          </w:p>
        </w:tc>
        <w:tc>
          <w:tcPr>
            <w:tcW w:w="1559" w:type="dxa"/>
            <w:tcBorders>
              <w:top w:val="nil"/>
              <w:left w:val="nil"/>
              <w:bottom w:val="single" w:color="auto" w:sz="4" w:space="0"/>
              <w:right w:val="single" w:color="auto" w:sz="4" w:space="0"/>
            </w:tcBorders>
            <w:vAlign w:val="center"/>
          </w:tcPr>
          <w:p w14:paraId="6A8793A0">
            <w:pPr>
              <w:widowControl/>
              <w:jc w:val="center"/>
              <w:rPr>
                <w:b/>
                <w:bCs/>
                <w:kern w:val="0"/>
                <w:sz w:val="24"/>
              </w:rPr>
            </w:pPr>
            <w:r>
              <w:rPr>
                <w:b/>
                <w:bCs/>
                <w:kern w:val="0"/>
                <w:sz w:val="24"/>
              </w:rPr>
              <w:t>60000</w:t>
            </w:r>
          </w:p>
        </w:tc>
        <w:tc>
          <w:tcPr>
            <w:tcW w:w="1559" w:type="dxa"/>
            <w:tcBorders>
              <w:top w:val="nil"/>
              <w:left w:val="nil"/>
              <w:bottom w:val="single" w:color="auto" w:sz="4" w:space="0"/>
              <w:right w:val="single" w:color="auto" w:sz="4" w:space="0"/>
            </w:tcBorders>
            <w:vAlign w:val="center"/>
          </w:tcPr>
          <w:p w14:paraId="6E37453A">
            <w:pPr>
              <w:widowControl/>
              <w:jc w:val="center"/>
              <w:rPr>
                <w:b/>
                <w:bCs/>
                <w:kern w:val="0"/>
                <w:sz w:val="24"/>
              </w:rPr>
            </w:pPr>
            <w:r>
              <w:rPr>
                <w:b/>
                <w:bCs/>
                <w:kern w:val="0"/>
                <w:sz w:val="24"/>
              </w:rPr>
              <w:t>120000</w:t>
            </w:r>
          </w:p>
        </w:tc>
        <w:tc>
          <w:tcPr>
            <w:tcW w:w="1276" w:type="dxa"/>
            <w:tcBorders>
              <w:top w:val="nil"/>
              <w:left w:val="nil"/>
              <w:bottom w:val="single" w:color="auto" w:sz="4" w:space="0"/>
              <w:right w:val="single" w:color="auto" w:sz="4" w:space="0"/>
            </w:tcBorders>
            <w:vAlign w:val="center"/>
          </w:tcPr>
          <w:p w14:paraId="5967B5AF">
            <w:pPr>
              <w:widowControl/>
              <w:jc w:val="center"/>
              <w:rPr>
                <w:b/>
                <w:bCs/>
                <w:kern w:val="0"/>
                <w:sz w:val="24"/>
              </w:rPr>
            </w:pPr>
            <w:r>
              <w:rPr>
                <w:b/>
                <w:bCs/>
                <w:kern w:val="0"/>
                <w:sz w:val="24"/>
              </w:rPr>
              <w:t>　</w:t>
            </w:r>
          </w:p>
        </w:tc>
        <w:tc>
          <w:tcPr>
            <w:tcW w:w="851" w:type="dxa"/>
            <w:tcBorders>
              <w:top w:val="nil"/>
              <w:left w:val="nil"/>
              <w:bottom w:val="single" w:color="auto" w:sz="4" w:space="0"/>
              <w:right w:val="single" w:color="auto" w:sz="4" w:space="0"/>
            </w:tcBorders>
            <w:vAlign w:val="center"/>
          </w:tcPr>
          <w:p w14:paraId="7AB1DEE6">
            <w:pPr>
              <w:widowControl/>
              <w:jc w:val="center"/>
              <w:rPr>
                <w:b/>
                <w:bCs/>
                <w:kern w:val="0"/>
                <w:sz w:val="24"/>
              </w:rPr>
            </w:pPr>
            <w:r>
              <w:rPr>
                <w:b/>
                <w:bCs/>
                <w:kern w:val="0"/>
                <w:sz w:val="24"/>
              </w:rPr>
              <w:t>　</w:t>
            </w:r>
          </w:p>
        </w:tc>
      </w:tr>
      <w:tr w14:paraId="639DA7ED">
        <w:tblPrEx>
          <w:tblCellMar>
            <w:top w:w="0" w:type="dxa"/>
            <w:left w:w="108" w:type="dxa"/>
            <w:bottom w:w="0" w:type="dxa"/>
            <w:right w:w="108" w:type="dxa"/>
          </w:tblCellMar>
        </w:tblPrEx>
        <w:trPr>
          <w:cantSplit/>
          <w:trHeight w:val="570" w:hRule="atLeast"/>
        </w:trPr>
        <w:tc>
          <w:tcPr>
            <w:tcW w:w="1140" w:type="dxa"/>
            <w:tcBorders>
              <w:top w:val="single" w:color="auto" w:sz="4" w:space="0"/>
              <w:left w:val="single" w:color="auto" w:sz="4" w:space="0"/>
              <w:bottom w:val="single" w:color="auto" w:sz="4" w:space="0"/>
              <w:right w:val="single" w:color="auto" w:sz="4" w:space="0"/>
            </w:tcBorders>
            <w:vAlign w:val="center"/>
          </w:tcPr>
          <w:p w14:paraId="50DE7EF1">
            <w:pPr>
              <w:widowControl/>
              <w:jc w:val="center"/>
              <w:rPr>
                <w:kern w:val="0"/>
                <w:sz w:val="24"/>
              </w:rPr>
            </w:pPr>
            <w:r>
              <w:rPr>
                <w:kern w:val="0"/>
                <w:sz w:val="24"/>
              </w:rPr>
              <w:t>6.7.1</w:t>
            </w:r>
          </w:p>
        </w:tc>
        <w:tc>
          <w:tcPr>
            <w:tcW w:w="3128" w:type="dxa"/>
            <w:tcBorders>
              <w:top w:val="single" w:color="auto" w:sz="4" w:space="0"/>
              <w:left w:val="nil"/>
              <w:bottom w:val="single" w:color="auto" w:sz="4" w:space="0"/>
              <w:right w:val="single" w:color="auto" w:sz="4" w:space="0"/>
            </w:tcBorders>
            <w:vAlign w:val="center"/>
          </w:tcPr>
          <w:p w14:paraId="02B8CDCE">
            <w:pPr>
              <w:widowControl/>
              <w:jc w:val="left"/>
              <w:rPr>
                <w:kern w:val="0"/>
                <w:sz w:val="24"/>
              </w:rPr>
            </w:pPr>
            <w:r>
              <w:rPr>
                <w:rFonts w:hint="eastAsia" w:ascii="宋体" w:hAnsi="宋体"/>
                <w:kern w:val="0"/>
                <w:sz w:val="24"/>
              </w:rPr>
              <w:t>林业碳汇体系、计算监测体系和管理系统</w:t>
            </w:r>
          </w:p>
        </w:tc>
        <w:tc>
          <w:tcPr>
            <w:tcW w:w="1984" w:type="dxa"/>
            <w:tcBorders>
              <w:top w:val="single" w:color="auto" w:sz="4" w:space="0"/>
              <w:left w:val="nil"/>
              <w:bottom w:val="single" w:color="auto" w:sz="4" w:space="0"/>
              <w:right w:val="single" w:color="auto" w:sz="4" w:space="0"/>
            </w:tcBorders>
            <w:vAlign w:val="center"/>
          </w:tcPr>
          <w:p w14:paraId="06BBFAAE">
            <w:pPr>
              <w:widowControl/>
              <w:jc w:val="center"/>
              <w:rPr>
                <w:kern w:val="0"/>
                <w:sz w:val="24"/>
              </w:rPr>
            </w:pPr>
            <w:r>
              <w:rPr>
                <w:rFonts w:hint="eastAsia" w:ascii="宋体" w:hAnsi="宋体"/>
                <w:kern w:val="0"/>
                <w:sz w:val="24"/>
              </w:rPr>
              <w:t>全市区域</w:t>
            </w:r>
          </w:p>
        </w:tc>
        <w:tc>
          <w:tcPr>
            <w:tcW w:w="1236" w:type="dxa"/>
            <w:tcBorders>
              <w:top w:val="single" w:color="auto" w:sz="4" w:space="0"/>
              <w:left w:val="nil"/>
              <w:bottom w:val="single" w:color="auto" w:sz="4" w:space="0"/>
              <w:right w:val="single" w:color="auto" w:sz="4" w:space="0"/>
            </w:tcBorders>
            <w:vAlign w:val="center"/>
          </w:tcPr>
          <w:p w14:paraId="748CAA72">
            <w:pPr>
              <w:widowControl/>
              <w:jc w:val="center"/>
              <w:rPr>
                <w:kern w:val="0"/>
                <w:sz w:val="24"/>
              </w:rPr>
            </w:pPr>
            <w:r>
              <w:rPr>
                <w:kern w:val="0"/>
                <w:sz w:val="24"/>
              </w:rPr>
              <w:t>50000hm</w:t>
            </w:r>
            <w:r>
              <w:rPr>
                <w:kern w:val="0"/>
                <w:sz w:val="24"/>
                <w:vertAlign w:val="superscript"/>
              </w:rPr>
              <w:t>2</w:t>
            </w:r>
          </w:p>
        </w:tc>
        <w:tc>
          <w:tcPr>
            <w:tcW w:w="1701" w:type="dxa"/>
            <w:tcBorders>
              <w:top w:val="single" w:color="auto" w:sz="4" w:space="0"/>
              <w:left w:val="nil"/>
              <w:bottom w:val="single" w:color="auto" w:sz="4" w:space="0"/>
              <w:right w:val="single" w:color="auto" w:sz="4" w:space="0"/>
            </w:tcBorders>
            <w:vAlign w:val="center"/>
          </w:tcPr>
          <w:p w14:paraId="5373C1F4">
            <w:pPr>
              <w:widowControl/>
              <w:jc w:val="center"/>
              <w:rPr>
                <w:kern w:val="0"/>
                <w:sz w:val="24"/>
              </w:rPr>
            </w:pPr>
            <w:r>
              <w:rPr>
                <w:kern w:val="0"/>
                <w:sz w:val="24"/>
              </w:rPr>
              <w:t>180000</w:t>
            </w:r>
          </w:p>
        </w:tc>
        <w:tc>
          <w:tcPr>
            <w:tcW w:w="1559" w:type="dxa"/>
            <w:tcBorders>
              <w:top w:val="single" w:color="auto" w:sz="4" w:space="0"/>
              <w:left w:val="nil"/>
              <w:bottom w:val="single" w:color="auto" w:sz="4" w:space="0"/>
              <w:right w:val="single" w:color="auto" w:sz="4" w:space="0"/>
            </w:tcBorders>
            <w:vAlign w:val="center"/>
          </w:tcPr>
          <w:p w14:paraId="1AE48396">
            <w:pPr>
              <w:widowControl/>
              <w:jc w:val="center"/>
              <w:rPr>
                <w:kern w:val="0"/>
                <w:sz w:val="24"/>
              </w:rPr>
            </w:pPr>
            <w:r>
              <w:rPr>
                <w:kern w:val="0"/>
                <w:sz w:val="24"/>
              </w:rPr>
              <w:t>60000</w:t>
            </w:r>
          </w:p>
        </w:tc>
        <w:tc>
          <w:tcPr>
            <w:tcW w:w="1559" w:type="dxa"/>
            <w:tcBorders>
              <w:top w:val="single" w:color="auto" w:sz="4" w:space="0"/>
              <w:left w:val="nil"/>
              <w:bottom w:val="single" w:color="auto" w:sz="4" w:space="0"/>
              <w:right w:val="single" w:color="auto" w:sz="4" w:space="0"/>
            </w:tcBorders>
            <w:vAlign w:val="center"/>
          </w:tcPr>
          <w:p w14:paraId="4B98D214">
            <w:pPr>
              <w:widowControl/>
              <w:jc w:val="center"/>
              <w:rPr>
                <w:kern w:val="0"/>
                <w:sz w:val="24"/>
              </w:rPr>
            </w:pPr>
            <w:r>
              <w:rPr>
                <w:kern w:val="0"/>
                <w:sz w:val="24"/>
              </w:rPr>
              <w:t>120000</w:t>
            </w:r>
          </w:p>
        </w:tc>
        <w:tc>
          <w:tcPr>
            <w:tcW w:w="1276" w:type="dxa"/>
            <w:tcBorders>
              <w:top w:val="single" w:color="auto" w:sz="4" w:space="0"/>
              <w:left w:val="nil"/>
              <w:bottom w:val="single" w:color="auto" w:sz="4" w:space="0"/>
              <w:right w:val="single" w:color="auto" w:sz="4" w:space="0"/>
            </w:tcBorders>
            <w:vAlign w:val="center"/>
          </w:tcPr>
          <w:p w14:paraId="40C03922">
            <w:pPr>
              <w:widowControl/>
              <w:jc w:val="center"/>
              <w:rPr>
                <w:kern w:val="0"/>
                <w:sz w:val="24"/>
              </w:rPr>
            </w:pPr>
            <w:r>
              <w:rPr>
                <w:rFonts w:hint="eastAsia" w:ascii="宋体" w:hAnsi="宋体"/>
                <w:kern w:val="0"/>
                <w:sz w:val="24"/>
              </w:rPr>
              <w:t>政府投资</w:t>
            </w:r>
            <w:r>
              <w:rPr>
                <w:rFonts w:hint="eastAsia" w:ascii="宋体" w:hAnsi="宋体"/>
                <w:kern w:val="0"/>
                <w:sz w:val="24"/>
              </w:rPr>
              <w:br w:type="textWrapping"/>
            </w:r>
            <w:r>
              <w:rPr>
                <w:rFonts w:hint="eastAsia" w:ascii="宋体" w:hAnsi="宋体"/>
                <w:kern w:val="0"/>
                <w:sz w:val="24"/>
              </w:rPr>
              <w:t>社会投资</w:t>
            </w:r>
          </w:p>
        </w:tc>
        <w:tc>
          <w:tcPr>
            <w:tcW w:w="851" w:type="dxa"/>
            <w:tcBorders>
              <w:top w:val="single" w:color="auto" w:sz="4" w:space="0"/>
              <w:left w:val="nil"/>
              <w:bottom w:val="single" w:color="auto" w:sz="4" w:space="0"/>
              <w:right w:val="single" w:color="auto" w:sz="4" w:space="0"/>
            </w:tcBorders>
            <w:vAlign w:val="center"/>
          </w:tcPr>
          <w:p w14:paraId="295CAE76">
            <w:pPr>
              <w:widowControl/>
              <w:jc w:val="center"/>
              <w:rPr>
                <w:b/>
                <w:bCs/>
                <w:kern w:val="0"/>
                <w:sz w:val="24"/>
              </w:rPr>
            </w:pPr>
            <w:r>
              <w:rPr>
                <w:b/>
                <w:bCs/>
                <w:kern w:val="0"/>
                <w:sz w:val="24"/>
              </w:rPr>
              <w:t>　</w:t>
            </w:r>
          </w:p>
        </w:tc>
      </w:tr>
    </w:tbl>
    <w:p w14:paraId="32401EBE">
      <w:pPr>
        <w:rPr>
          <w:rFonts w:hint="eastAsia"/>
        </w:rPr>
      </w:pPr>
    </w:p>
    <w:p w14:paraId="60E82B39">
      <w:pPr>
        <w:rPr>
          <w:rFonts w:eastAsia="仿宋_GB2312"/>
          <w:sz w:val="32"/>
          <w:szCs w:val="32"/>
        </w:rPr>
        <w:sectPr>
          <w:pgSz w:w="16839" w:h="11907" w:orient="landscape"/>
          <w:pgMar w:top="1560" w:right="1440" w:bottom="1276" w:left="1440" w:header="851" w:footer="992" w:gutter="0"/>
          <w:cols w:space="720" w:num="1"/>
          <w:docGrid w:type="lines" w:linePitch="319" w:charSpace="0"/>
        </w:sectPr>
      </w:pPr>
      <w:r>
        <w:rPr>
          <w:rFonts w:hint="eastAsia" w:ascii="仿宋_GB2312" w:eastAsia="仿宋_GB2312"/>
          <w:b/>
          <w:sz w:val="24"/>
        </w:rPr>
        <w:t>注：</w:t>
      </w:r>
      <w:r>
        <w:rPr>
          <w:rFonts w:hint="eastAsia" w:ascii="仿宋_GB2312" w:eastAsia="仿宋_GB2312"/>
          <w:sz w:val="24"/>
        </w:rPr>
        <w:t>政府资金根据财政财力和实际批复资金为建设投资依据，社会资金根据社会经济发展和企业实际资金为建设投资依据。</w:t>
      </w:r>
    </w:p>
    <w:p w14:paraId="45CF1F7F">
      <w:pPr>
        <w:spacing w:line="360" w:lineRule="auto"/>
        <w:jc w:val="center"/>
        <w:rPr>
          <w:rFonts w:hint="eastAsia" w:eastAsia="黑体"/>
          <w:b/>
          <w:sz w:val="44"/>
          <w:szCs w:val="32"/>
        </w:rPr>
      </w:pPr>
    </w:p>
    <w:p w14:paraId="35F8134B">
      <w:pPr>
        <w:spacing w:line="360" w:lineRule="auto"/>
        <w:jc w:val="center"/>
        <w:rPr>
          <w:rFonts w:hint="eastAsia" w:eastAsia="黑体"/>
          <w:b/>
          <w:sz w:val="44"/>
          <w:szCs w:val="32"/>
        </w:rPr>
      </w:pPr>
    </w:p>
    <w:p w14:paraId="0908FB04">
      <w:pPr>
        <w:spacing w:line="360" w:lineRule="auto"/>
        <w:jc w:val="center"/>
        <w:rPr>
          <w:rFonts w:hint="eastAsia" w:eastAsia="黑体"/>
          <w:b/>
          <w:sz w:val="44"/>
          <w:szCs w:val="32"/>
        </w:rPr>
      </w:pPr>
    </w:p>
    <w:p w14:paraId="389288F8">
      <w:pPr>
        <w:spacing w:line="360" w:lineRule="auto"/>
        <w:jc w:val="center"/>
        <w:rPr>
          <w:rFonts w:hint="eastAsia" w:eastAsia="黑体"/>
          <w:b/>
          <w:sz w:val="44"/>
          <w:szCs w:val="32"/>
        </w:rPr>
      </w:pPr>
    </w:p>
    <w:p w14:paraId="689D54A1">
      <w:pPr>
        <w:spacing w:line="360" w:lineRule="auto"/>
        <w:jc w:val="center"/>
        <w:rPr>
          <w:rFonts w:hint="eastAsia" w:eastAsia="黑体"/>
          <w:b/>
          <w:sz w:val="44"/>
          <w:szCs w:val="32"/>
        </w:rPr>
      </w:pPr>
    </w:p>
    <w:p w14:paraId="76C489B7">
      <w:pPr>
        <w:spacing w:line="360" w:lineRule="auto"/>
        <w:jc w:val="center"/>
        <w:rPr>
          <w:rFonts w:hint="eastAsia" w:eastAsia="黑体"/>
          <w:b/>
          <w:sz w:val="44"/>
          <w:szCs w:val="32"/>
        </w:rPr>
      </w:pPr>
    </w:p>
    <w:p w14:paraId="6CE41A87">
      <w:pPr>
        <w:spacing w:line="360" w:lineRule="auto"/>
        <w:jc w:val="center"/>
        <w:rPr>
          <w:rFonts w:hint="eastAsia" w:eastAsia="黑体"/>
          <w:b/>
          <w:sz w:val="44"/>
          <w:szCs w:val="32"/>
        </w:rPr>
      </w:pPr>
    </w:p>
    <w:p w14:paraId="05DAA05D">
      <w:pPr>
        <w:spacing w:line="360" w:lineRule="auto"/>
        <w:jc w:val="center"/>
        <w:rPr>
          <w:rFonts w:hint="eastAsia" w:eastAsia="黑体"/>
          <w:b/>
          <w:sz w:val="44"/>
          <w:szCs w:val="32"/>
        </w:rPr>
      </w:pPr>
    </w:p>
    <w:p w14:paraId="2F46B1E1">
      <w:pPr>
        <w:spacing w:line="360" w:lineRule="auto"/>
        <w:jc w:val="center"/>
        <w:rPr>
          <w:rFonts w:hint="eastAsia" w:eastAsia="黑体"/>
          <w:b/>
          <w:sz w:val="44"/>
          <w:szCs w:val="32"/>
        </w:rPr>
      </w:pPr>
    </w:p>
    <w:p w14:paraId="4622D104">
      <w:pPr>
        <w:spacing w:line="360" w:lineRule="auto"/>
        <w:jc w:val="center"/>
        <w:rPr>
          <w:rFonts w:eastAsia="黑体"/>
          <w:b/>
          <w:sz w:val="44"/>
          <w:szCs w:val="32"/>
        </w:rPr>
      </w:pPr>
      <w:r>
        <w:rPr>
          <w:rFonts w:eastAsia="黑体"/>
          <w:b/>
          <w:sz w:val="44"/>
          <w:szCs w:val="32"/>
        </w:rPr>
        <w:t>三亚市林业产业发展规划（2021-3035年）</w:t>
      </w:r>
    </w:p>
    <w:p w14:paraId="40B95CD9">
      <w:pPr>
        <w:spacing w:before="319" w:beforeLines="100"/>
        <w:jc w:val="center"/>
        <w:rPr>
          <w:rFonts w:eastAsia="黑体"/>
          <w:b/>
          <w:sz w:val="40"/>
          <w:szCs w:val="32"/>
        </w:rPr>
        <w:sectPr>
          <w:pgSz w:w="11905" w:h="16838"/>
          <w:pgMar w:top="1440" w:right="1803" w:bottom="1440" w:left="1803" w:header="851" w:footer="992" w:gutter="0"/>
          <w:cols w:space="720" w:num="1"/>
          <w:docGrid w:type="lines" w:linePitch="319" w:charSpace="0"/>
        </w:sectPr>
      </w:pPr>
      <w:r>
        <w:rPr>
          <w:rFonts w:eastAsia="黑体"/>
          <w:b/>
          <w:sz w:val="40"/>
          <w:szCs w:val="32"/>
        </w:rPr>
        <w:t xml:space="preserve">附   </w:t>
      </w:r>
      <w:r>
        <w:rPr>
          <w:rFonts w:hint="eastAsia" w:eastAsia="黑体"/>
          <w:b/>
          <w:sz w:val="40"/>
          <w:szCs w:val="32"/>
        </w:rPr>
        <w:t>图</w:t>
      </w:r>
    </w:p>
    <w:p w14:paraId="222BB4DE">
      <w:pPr>
        <w:sectPr>
          <w:pgSz w:w="23811" w:h="16838" w:orient="landscape"/>
          <w:pgMar w:top="1560" w:right="1440" w:bottom="1276" w:left="1440" w:header="851" w:footer="992" w:gutter="0"/>
          <w:cols w:space="720" w:num="1"/>
          <w:docGrid w:type="lines" w:linePitch="319" w:charSpace="0"/>
        </w:sectPr>
      </w:pPr>
      <w:r>
        <w:drawing>
          <wp:inline distT="0" distB="0" distL="0" distR="0">
            <wp:extent cx="12563475" cy="8882380"/>
            <wp:effectExtent l="0" t="0" r="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2563475" cy="8882380"/>
                    </a:xfrm>
                    <a:prstGeom prst="rect">
                      <a:avLst/>
                    </a:prstGeom>
                    <a:noFill/>
                    <a:ln>
                      <a:noFill/>
                    </a:ln>
                  </pic:spPr>
                </pic:pic>
              </a:graphicData>
            </a:graphic>
          </wp:inline>
        </w:drawing>
      </w:r>
    </w:p>
    <w:p w14:paraId="01C67FCB">
      <w:pPr>
        <w:rPr>
          <w:rFonts w:eastAsia="仿宋_GB2312"/>
          <w:sz w:val="32"/>
          <w:szCs w:val="32"/>
        </w:rPr>
        <w:sectPr>
          <w:pgSz w:w="23811" w:h="16838" w:orient="landscape"/>
          <w:pgMar w:top="1560" w:right="1440" w:bottom="1276" w:left="1440" w:header="851" w:footer="992" w:gutter="0"/>
          <w:cols w:space="720" w:num="1"/>
          <w:docGrid w:type="lines" w:linePitch="319" w:charSpace="0"/>
        </w:sectPr>
      </w:pPr>
      <w:bookmarkStart w:id="271" w:name="_Toc82009268"/>
      <w:bookmarkStart w:id="272" w:name="_Toc82546046"/>
      <w:bookmarkStart w:id="273" w:name="_Toc82009173"/>
      <w:bookmarkStart w:id="274" w:name="_Toc82546126"/>
      <w:r>
        <w:rPr>
          <w:lang w:val="en-US" w:eastAsia="zh-CN"/>
        </w:rPr>
        <w:drawing>
          <wp:anchor distT="0" distB="0" distL="114300" distR="114300" simplePos="0" relativeHeight="251660288" behindDoc="0" locked="0" layoutInCell="1" allowOverlap="1">
            <wp:simplePos x="0" y="0"/>
            <wp:positionH relativeFrom="column">
              <wp:posOffset>253365</wp:posOffset>
            </wp:positionH>
            <wp:positionV relativeFrom="paragraph">
              <wp:posOffset>-344170</wp:posOffset>
            </wp:positionV>
            <wp:extent cx="13037820" cy="9210040"/>
            <wp:effectExtent l="0" t="0" r="0" b="0"/>
            <wp:wrapSquare wrapText="bothSides"/>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3037820" cy="9210040"/>
                    </a:xfrm>
                    <a:prstGeom prst="rect">
                      <a:avLst/>
                    </a:prstGeom>
                    <a:noFill/>
                    <a:ln>
                      <a:noFill/>
                    </a:ln>
                  </pic:spPr>
                </pic:pic>
              </a:graphicData>
            </a:graphic>
          </wp:anchor>
        </w:drawing>
      </w:r>
      <w:bookmarkEnd w:id="271"/>
      <w:bookmarkEnd w:id="272"/>
      <w:bookmarkEnd w:id="273"/>
      <w:bookmarkEnd w:id="274"/>
    </w:p>
    <w:p w14:paraId="37214BBD">
      <w:pPr>
        <w:spacing w:line="360" w:lineRule="auto"/>
        <w:rPr>
          <w:rFonts w:eastAsia="仿宋_GB2312"/>
          <w:sz w:val="32"/>
          <w:szCs w:val="32"/>
        </w:rPr>
      </w:pPr>
      <w:r>
        <w:rPr>
          <w:lang w:val="en-US" w:eastAsia="zh-CN"/>
        </w:rPr>
        <w:drawing>
          <wp:anchor distT="0" distB="0" distL="114300" distR="114300" simplePos="0" relativeHeight="251661312" behindDoc="0" locked="0" layoutInCell="1" allowOverlap="1">
            <wp:simplePos x="0" y="0"/>
            <wp:positionH relativeFrom="column">
              <wp:posOffset>393700</wp:posOffset>
            </wp:positionH>
            <wp:positionV relativeFrom="paragraph">
              <wp:posOffset>-434340</wp:posOffset>
            </wp:positionV>
            <wp:extent cx="12896850" cy="9121140"/>
            <wp:effectExtent l="0" t="0" r="0" b="0"/>
            <wp:wrapSquare wrapText="bothSides"/>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2896850" cy="9121140"/>
                    </a:xfrm>
                    <a:prstGeom prst="rect">
                      <a:avLst/>
                    </a:prstGeom>
                    <a:noFill/>
                    <a:ln>
                      <a:noFill/>
                    </a:ln>
                  </pic:spPr>
                </pic:pic>
              </a:graphicData>
            </a:graphic>
          </wp:anchor>
        </w:drawing>
      </w:r>
    </w:p>
    <w:p w14:paraId="136365F6">
      <w:pPr>
        <w:spacing w:line="360" w:lineRule="auto"/>
        <w:outlineLvl w:val="1"/>
        <w:rPr>
          <w:rFonts w:eastAsia="黑体"/>
          <w:sz w:val="32"/>
          <w:szCs w:val="32"/>
        </w:rPr>
        <w:sectPr>
          <w:pgSz w:w="23811" w:h="16838" w:orient="landscape"/>
          <w:pgMar w:top="1803" w:right="1440" w:bottom="1803" w:left="1440" w:header="851" w:footer="992" w:gutter="0"/>
          <w:cols w:space="720" w:num="1"/>
          <w:docGrid w:type="lines" w:linePitch="319" w:charSpace="0"/>
        </w:sectPr>
      </w:pPr>
    </w:p>
    <w:p w14:paraId="674B3FBE">
      <w:pPr>
        <w:spacing w:line="360" w:lineRule="auto"/>
        <w:outlineLvl w:val="1"/>
        <w:rPr>
          <w:rFonts w:eastAsia="黑体"/>
          <w:sz w:val="32"/>
          <w:szCs w:val="32"/>
        </w:rPr>
      </w:pPr>
      <w:r>
        <w:rPr>
          <w:lang w:val="en-US" w:eastAsia="zh-CN"/>
        </w:rPr>
        <w:drawing>
          <wp:anchor distT="0" distB="0" distL="114300" distR="114300" simplePos="0" relativeHeight="251674624" behindDoc="0" locked="0" layoutInCell="1" allowOverlap="1">
            <wp:simplePos x="0" y="0"/>
            <wp:positionH relativeFrom="column">
              <wp:posOffset>-81915</wp:posOffset>
            </wp:positionH>
            <wp:positionV relativeFrom="paragraph">
              <wp:posOffset>-502920</wp:posOffset>
            </wp:positionV>
            <wp:extent cx="8884920" cy="6281420"/>
            <wp:effectExtent l="0" t="0" r="0" b="0"/>
            <wp:wrapSquare wrapText="bothSides"/>
            <wp:docPr id="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8884920" cy="6281420"/>
                    </a:xfrm>
                    <a:prstGeom prst="rect">
                      <a:avLst/>
                    </a:prstGeom>
                    <a:noFill/>
                    <a:ln>
                      <a:noFill/>
                    </a:ln>
                  </pic:spPr>
                </pic:pic>
              </a:graphicData>
            </a:graphic>
          </wp:anchor>
        </w:drawing>
      </w:r>
    </w:p>
    <w:p w14:paraId="4CD950C3">
      <w:pPr>
        <w:spacing w:line="360" w:lineRule="auto"/>
        <w:outlineLvl w:val="1"/>
        <w:rPr>
          <w:rFonts w:eastAsia="黑体"/>
          <w:sz w:val="32"/>
          <w:szCs w:val="32"/>
        </w:rPr>
      </w:pPr>
      <w:bookmarkStart w:id="275" w:name="_Toc82009270"/>
      <w:bookmarkStart w:id="276" w:name="_Toc82009175"/>
      <w:bookmarkStart w:id="277" w:name="_Toc82546048"/>
      <w:bookmarkStart w:id="278" w:name="_Toc82546128"/>
      <w:r>
        <w:rPr>
          <w:lang w:val="en-US" w:eastAsia="zh-CN"/>
        </w:rPr>
        <w:drawing>
          <wp:anchor distT="0" distB="0" distL="114300" distR="114300" simplePos="0" relativeHeight="251673600" behindDoc="1" locked="0" layoutInCell="1" allowOverlap="1">
            <wp:simplePos x="0" y="0"/>
            <wp:positionH relativeFrom="column">
              <wp:posOffset>-150495</wp:posOffset>
            </wp:positionH>
            <wp:positionV relativeFrom="paragraph">
              <wp:posOffset>-638810</wp:posOffset>
            </wp:positionV>
            <wp:extent cx="9008110" cy="6368415"/>
            <wp:effectExtent l="0" t="0" r="0" b="0"/>
            <wp:wrapTight wrapText="bothSides">
              <wp:wrapPolygon>
                <wp:start x="0" y="0"/>
                <wp:lineTo x="0" y="21516"/>
                <wp:lineTo x="21560" y="21516"/>
                <wp:lineTo x="21560" y="0"/>
                <wp:lineTo x="0" y="0"/>
              </wp:wrapPolygon>
            </wp:wrapTight>
            <wp:docPr id="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008110" cy="6368415"/>
                    </a:xfrm>
                    <a:prstGeom prst="rect">
                      <a:avLst/>
                    </a:prstGeom>
                    <a:noFill/>
                    <a:ln>
                      <a:noFill/>
                    </a:ln>
                  </pic:spPr>
                </pic:pic>
              </a:graphicData>
            </a:graphic>
          </wp:anchor>
        </w:drawing>
      </w:r>
      <w:r>
        <w:rPr>
          <w:rFonts w:eastAsia="黑体"/>
          <w:sz w:val="32"/>
          <w:szCs w:val="32"/>
        </w:rPr>
        <w:br w:type="page"/>
      </w:r>
      <w:bookmarkEnd w:id="275"/>
      <w:bookmarkEnd w:id="276"/>
      <w:bookmarkEnd w:id="277"/>
      <w:bookmarkEnd w:id="278"/>
      <w:r>
        <w:rPr>
          <w:lang w:val="en-US" w:eastAsia="zh-CN"/>
        </w:rPr>
        <w:drawing>
          <wp:anchor distT="0" distB="0" distL="114300" distR="114300" simplePos="0" relativeHeight="251675648" behindDoc="0" locked="0" layoutInCell="1" allowOverlap="1">
            <wp:simplePos x="0" y="0"/>
            <wp:positionH relativeFrom="column">
              <wp:posOffset>-67945</wp:posOffset>
            </wp:positionH>
            <wp:positionV relativeFrom="paragraph">
              <wp:posOffset>-543560</wp:posOffset>
            </wp:positionV>
            <wp:extent cx="8980170" cy="6348730"/>
            <wp:effectExtent l="0" t="0" r="0" b="0"/>
            <wp:wrapSquare wrapText="bothSides"/>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8980170" cy="6348730"/>
                    </a:xfrm>
                    <a:prstGeom prst="rect">
                      <a:avLst/>
                    </a:prstGeom>
                    <a:noFill/>
                    <a:ln>
                      <a:noFill/>
                    </a:ln>
                  </pic:spPr>
                </pic:pic>
              </a:graphicData>
            </a:graphic>
          </wp:anchor>
        </w:drawing>
      </w:r>
    </w:p>
    <w:p w14:paraId="47FC2287">
      <w:pPr>
        <w:spacing w:line="360" w:lineRule="auto"/>
        <w:outlineLvl w:val="1"/>
        <w:rPr>
          <w:rFonts w:eastAsia="黑体"/>
          <w:sz w:val="32"/>
          <w:szCs w:val="32"/>
        </w:rPr>
      </w:pPr>
      <w:r>
        <w:rPr>
          <w:lang w:val="en-US" w:eastAsia="zh-CN"/>
        </w:rPr>
        <w:drawing>
          <wp:anchor distT="0" distB="0" distL="114300" distR="114300" simplePos="0" relativeHeight="251676672" behindDoc="0" locked="0" layoutInCell="1" allowOverlap="1">
            <wp:simplePos x="0" y="0"/>
            <wp:positionH relativeFrom="column">
              <wp:posOffset>-95250</wp:posOffset>
            </wp:positionH>
            <wp:positionV relativeFrom="paragraph">
              <wp:posOffset>-598170</wp:posOffset>
            </wp:positionV>
            <wp:extent cx="8980170" cy="6348730"/>
            <wp:effectExtent l="0" t="0" r="0" b="0"/>
            <wp:wrapSquare wrapText="bothSides"/>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8980170" cy="6348730"/>
                    </a:xfrm>
                    <a:prstGeom prst="rect">
                      <a:avLst/>
                    </a:prstGeom>
                    <a:noFill/>
                    <a:ln>
                      <a:noFill/>
                    </a:ln>
                  </pic:spPr>
                </pic:pic>
              </a:graphicData>
            </a:graphic>
          </wp:anchor>
        </w:drawing>
      </w:r>
    </w:p>
    <w:p w14:paraId="2EC57F25">
      <w:pPr>
        <w:spacing w:line="360" w:lineRule="auto"/>
        <w:outlineLvl w:val="1"/>
        <w:rPr>
          <w:rFonts w:eastAsia="黑体"/>
          <w:sz w:val="32"/>
          <w:szCs w:val="32"/>
        </w:rPr>
      </w:pPr>
      <w:bookmarkStart w:id="279" w:name="_Toc82009272"/>
      <w:bookmarkStart w:id="280" w:name="_Toc82546130"/>
      <w:bookmarkStart w:id="281" w:name="_Toc82009177"/>
      <w:bookmarkStart w:id="282" w:name="_Toc82546050"/>
      <w:r>
        <w:rPr>
          <w:lang w:val="en-US" w:eastAsia="zh-CN"/>
        </w:rPr>
        <w:drawing>
          <wp:anchor distT="0" distB="0" distL="114300" distR="114300" simplePos="0" relativeHeight="251677696" behindDoc="0" locked="0" layoutInCell="1" allowOverlap="1">
            <wp:simplePos x="0" y="0"/>
            <wp:positionH relativeFrom="column">
              <wp:posOffset>-218440</wp:posOffset>
            </wp:positionH>
            <wp:positionV relativeFrom="paragraph">
              <wp:posOffset>-516255</wp:posOffset>
            </wp:positionV>
            <wp:extent cx="9076055" cy="6416040"/>
            <wp:effectExtent l="0" t="0" r="0" b="0"/>
            <wp:wrapSquare wrapText="bothSides"/>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9076055" cy="6416040"/>
                    </a:xfrm>
                    <a:prstGeom prst="rect">
                      <a:avLst/>
                    </a:prstGeom>
                    <a:noFill/>
                    <a:ln>
                      <a:noFill/>
                    </a:ln>
                  </pic:spPr>
                </pic:pic>
              </a:graphicData>
            </a:graphic>
          </wp:anchor>
        </w:drawing>
      </w:r>
      <w:r>
        <w:rPr>
          <w:rFonts w:eastAsia="黑体"/>
          <w:sz w:val="32"/>
          <w:szCs w:val="32"/>
        </w:rPr>
        <w:br w:type="page"/>
      </w:r>
      <w:r>
        <w:rPr>
          <w:lang w:val="en-US" w:eastAsia="zh-CN"/>
        </w:rPr>
        <w:drawing>
          <wp:anchor distT="0" distB="0" distL="114300" distR="114300" simplePos="0" relativeHeight="251678720" behindDoc="0" locked="0" layoutInCell="1" allowOverlap="1">
            <wp:simplePos x="0" y="0"/>
            <wp:positionH relativeFrom="column">
              <wp:posOffset>-145415</wp:posOffset>
            </wp:positionH>
            <wp:positionV relativeFrom="paragraph">
              <wp:posOffset>-749300</wp:posOffset>
            </wp:positionV>
            <wp:extent cx="9115425" cy="6442075"/>
            <wp:effectExtent l="0" t="0" r="0" b="0"/>
            <wp:wrapSquare wrapText="bothSides"/>
            <wp:docPr id="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9115425" cy="6442075"/>
                    </a:xfrm>
                    <a:prstGeom prst="rect">
                      <a:avLst/>
                    </a:prstGeom>
                    <a:noFill/>
                    <a:ln>
                      <a:noFill/>
                    </a:ln>
                  </pic:spPr>
                </pic:pic>
              </a:graphicData>
            </a:graphic>
          </wp:anchor>
        </w:drawing>
      </w:r>
      <w:r>
        <w:rPr>
          <w:rFonts w:eastAsia="黑体"/>
          <w:sz w:val="32"/>
          <w:szCs w:val="32"/>
        </w:rPr>
        <w:br w:type="page"/>
      </w:r>
      <w:bookmarkEnd w:id="279"/>
      <w:bookmarkEnd w:id="280"/>
      <w:bookmarkEnd w:id="281"/>
      <w:bookmarkEnd w:id="282"/>
      <w:r>
        <w:rPr>
          <w:lang w:val="en-US" w:eastAsia="zh-CN"/>
        </w:rPr>
        <w:drawing>
          <wp:anchor distT="0" distB="0" distL="114300" distR="114300" simplePos="0" relativeHeight="251668480" behindDoc="0" locked="0" layoutInCell="1" allowOverlap="1">
            <wp:simplePos x="0" y="0"/>
            <wp:positionH relativeFrom="column">
              <wp:posOffset>-201930</wp:posOffset>
            </wp:positionH>
            <wp:positionV relativeFrom="paragraph">
              <wp:posOffset>-463550</wp:posOffset>
            </wp:positionV>
            <wp:extent cx="9005570" cy="6371590"/>
            <wp:effectExtent l="0" t="0" r="0" b="0"/>
            <wp:wrapSquare wrapText="bothSides"/>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9005570" cy="6371590"/>
                    </a:xfrm>
                    <a:prstGeom prst="rect">
                      <a:avLst/>
                    </a:prstGeom>
                    <a:noFill/>
                    <a:ln>
                      <a:noFill/>
                    </a:ln>
                  </pic:spPr>
                </pic:pic>
              </a:graphicData>
            </a:graphic>
          </wp:anchor>
        </w:drawing>
      </w:r>
    </w:p>
    <w:p w14:paraId="69AB69B5">
      <w:pPr>
        <w:spacing w:line="360" w:lineRule="auto"/>
        <w:outlineLvl w:val="1"/>
        <w:rPr>
          <w:rFonts w:eastAsia="黑体"/>
          <w:sz w:val="32"/>
          <w:szCs w:val="32"/>
        </w:rPr>
        <w:sectPr>
          <w:pgSz w:w="16838" w:h="11905" w:orient="landscape"/>
          <w:pgMar w:top="1803" w:right="1440" w:bottom="1803" w:left="1440" w:header="851" w:footer="992" w:gutter="0"/>
          <w:cols w:space="720" w:num="1"/>
          <w:docGrid w:type="lines" w:linePitch="319" w:charSpace="0"/>
        </w:sectPr>
      </w:pPr>
      <w:r>
        <w:rPr>
          <w:lang w:val="en-US" w:eastAsia="zh-CN"/>
        </w:rPr>
        <w:drawing>
          <wp:anchor distT="0" distB="0" distL="114300" distR="114300" simplePos="0" relativeHeight="251669504" behindDoc="0" locked="0" layoutInCell="1" allowOverlap="1">
            <wp:simplePos x="0" y="0"/>
            <wp:positionH relativeFrom="column">
              <wp:posOffset>-116840</wp:posOffset>
            </wp:positionH>
            <wp:positionV relativeFrom="paragraph">
              <wp:posOffset>-559435</wp:posOffset>
            </wp:positionV>
            <wp:extent cx="9037320" cy="6394450"/>
            <wp:effectExtent l="0" t="0" r="0" b="0"/>
            <wp:wrapSquare wrapText="bothSides"/>
            <wp:docPr id="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9037320" cy="6394450"/>
                    </a:xfrm>
                    <a:prstGeom prst="rect">
                      <a:avLst/>
                    </a:prstGeom>
                    <a:noFill/>
                    <a:ln>
                      <a:noFill/>
                    </a:ln>
                  </pic:spPr>
                </pic:pic>
              </a:graphicData>
            </a:graphic>
          </wp:anchor>
        </w:drawing>
      </w:r>
      <w:r>
        <w:rPr>
          <w:rFonts w:eastAsia="黑体"/>
          <w:sz w:val="32"/>
          <w:szCs w:val="32"/>
        </w:rPr>
        <w:drawing>
          <wp:inline distT="0" distB="0" distL="0" distR="0">
            <wp:extent cx="7453630" cy="526732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7453630" cy="5267325"/>
                    </a:xfrm>
                    <a:prstGeom prst="rect">
                      <a:avLst/>
                    </a:prstGeom>
                    <a:noFill/>
                    <a:ln>
                      <a:noFill/>
                    </a:ln>
                  </pic:spPr>
                </pic:pic>
              </a:graphicData>
            </a:graphic>
          </wp:inline>
        </w:drawing>
      </w:r>
    </w:p>
    <w:p w14:paraId="70033897">
      <w:pPr>
        <w:spacing w:line="360" w:lineRule="auto"/>
        <w:outlineLvl w:val="1"/>
        <w:rPr>
          <w:rFonts w:eastAsia="黑体"/>
          <w:sz w:val="32"/>
          <w:szCs w:val="32"/>
        </w:rPr>
      </w:pPr>
      <w:r>
        <w:rPr>
          <w:lang w:val="en-US" w:eastAsia="zh-CN"/>
        </w:rPr>
        <w:drawing>
          <wp:anchor distT="0" distB="0" distL="114300" distR="114300" simplePos="0" relativeHeight="251670528" behindDoc="0" locked="0" layoutInCell="1" allowOverlap="1">
            <wp:simplePos x="0" y="0"/>
            <wp:positionH relativeFrom="column">
              <wp:posOffset>-142240</wp:posOffset>
            </wp:positionH>
            <wp:positionV relativeFrom="paragraph">
              <wp:posOffset>-560705</wp:posOffset>
            </wp:positionV>
            <wp:extent cx="9018270" cy="6367780"/>
            <wp:effectExtent l="0" t="0" r="0" b="0"/>
            <wp:wrapSquare wrapText="bothSides"/>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9018270" cy="6367780"/>
                    </a:xfrm>
                    <a:prstGeom prst="rect">
                      <a:avLst/>
                    </a:prstGeom>
                    <a:noFill/>
                    <a:ln>
                      <a:noFill/>
                    </a:ln>
                  </pic:spPr>
                </pic:pic>
              </a:graphicData>
            </a:graphic>
          </wp:anchor>
        </w:drawing>
      </w:r>
    </w:p>
    <w:p w14:paraId="469EF204">
      <w:pPr>
        <w:spacing w:line="360" w:lineRule="auto"/>
        <w:outlineLvl w:val="1"/>
        <w:rPr>
          <w:rFonts w:hint="eastAsia" w:eastAsia="黑体"/>
          <w:sz w:val="32"/>
          <w:szCs w:val="32"/>
        </w:rPr>
      </w:pPr>
      <w:bookmarkStart w:id="283" w:name="_Toc82009274"/>
      <w:bookmarkStart w:id="284" w:name="_Toc82009179"/>
      <w:bookmarkStart w:id="285" w:name="_Toc82546132"/>
      <w:bookmarkStart w:id="286" w:name="_Toc82546052"/>
      <w:r>
        <w:rPr>
          <w:lang w:val="en-US" w:eastAsia="zh-CN"/>
        </w:rPr>
        <w:drawing>
          <wp:anchor distT="0" distB="0" distL="114300" distR="114300" simplePos="0" relativeHeight="251671552" behindDoc="0" locked="0" layoutInCell="1" allowOverlap="1">
            <wp:simplePos x="0" y="0"/>
            <wp:positionH relativeFrom="column">
              <wp:posOffset>-205105</wp:posOffset>
            </wp:positionH>
            <wp:positionV relativeFrom="paragraph">
              <wp:posOffset>-576580</wp:posOffset>
            </wp:positionV>
            <wp:extent cx="9065260" cy="6401435"/>
            <wp:effectExtent l="0" t="0" r="0" b="0"/>
            <wp:wrapSquare wrapText="bothSides"/>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9065260" cy="6401435"/>
                    </a:xfrm>
                    <a:prstGeom prst="rect">
                      <a:avLst/>
                    </a:prstGeom>
                    <a:noFill/>
                    <a:ln>
                      <a:noFill/>
                    </a:ln>
                  </pic:spPr>
                </pic:pic>
              </a:graphicData>
            </a:graphic>
          </wp:anchor>
        </w:drawing>
      </w:r>
      <w:r>
        <w:rPr>
          <w:rFonts w:eastAsia="黑体"/>
          <w:sz w:val="32"/>
          <w:szCs w:val="32"/>
        </w:rPr>
        <w:br w:type="page"/>
      </w:r>
      <w:r>
        <w:rPr>
          <w:lang w:val="en-US" w:eastAsia="zh-CN"/>
        </w:rPr>
        <w:drawing>
          <wp:anchor distT="0" distB="0" distL="114300" distR="114300" simplePos="0" relativeHeight="251672576" behindDoc="0" locked="0" layoutInCell="1" allowOverlap="1">
            <wp:simplePos x="0" y="0"/>
            <wp:positionH relativeFrom="column">
              <wp:posOffset>-95250</wp:posOffset>
            </wp:positionH>
            <wp:positionV relativeFrom="paragraph">
              <wp:posOffset>-649605</wp:posOffset>
            </wp:positionV>
            <wp:extent cx="8750935" cy="6178550"/>
            <wp:effectExtent l="0" t="0" r="0" b="0"/>
            <wp:wrapSquare wrapText="bothSides"/>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8750935" cy="6178550"/>
                    </a:xfrm>
                    <a:prstGeom prst="rect">
                      <a:avLst/>
                    </a:prstGeom>
                    <a:noFill/>
                    <a:ln>
                      <a:noFill/>
                    </a:ln>
                  </pic:spPr>
                </pic:pic>
              </a:graphicData>
            </a:graphic>
          </wp:anchor>
        </w:drawing>
      </w:r>
    </w:p>
    <w:bookmarkEnd w:id="283"/>
    <w:bookmarkEnd w:id="284"/>
    <w:bookmarkEnd w:id="285"/>
    <w:bookmarkEnd w:id="286"/>
    <w:p w14:paraId="5AB7525A">
      <w:pPr>
        <w:spacing w:line="360" w:lineRule="auto"/>
        <w:outlineLvl w:val="1"/>
        <w:rPr>
          <w:rFonts w:eastAsia="黑体"/>
          <w:sz w:val="32"/>
          <w:szCs w:val="32"/>
        </w:rPr>
        <w:sectPr>
          <w:pgSz w:w="16838" w:h="11905" w:orient="landscape"/>
          <w:pgMar w:top="1803" w:right="1440" w:bottom="1803" w:left="1440" w:header="851" w:footer="992" w:gutter="0"/>
          <w:cols w:space="720" w:num="1"/>
          <w:docGrid w:type="lines" w:linePitch="319" w:charSpace="0"/>
        </w:sectPr>
      </w:pPr>
    </w:p>
    <w:p w14:paraId="45DF2ACD">
      <w:pPr>
        <w:jc w:val="center"/>
        <w:rPr>
          <w:rFonts w:eastAsia="黑体"/>
          <w:sz w:val="40"/>
          <w:szCs w:val="28"/>
        </w:rPr>
      </w:pPr>
      <w:r>
        <w:rPr>
          <w:rFonts w:eastAsia="黑体"/>
          <w:sz w:val="40"/>
          <w:szCs w:val="28"/>
        </w:rPr>
        <w:t>三亚市林业产业发展规划（2021-2035年）征求意见反馈表</w:t>
      </w:r>
    </w:p>
    <w:tbl>
      <w:tblPr>
        <w:tblStyle w:val="18"/>
        <w:tblW w:w="13766" w:type="dxa"/>
        <w:tblInd w:w="93" w:type="dxa"/>
        <w:tblLayout w:type="autofit"/>
        <w:tblCellMar>
          <w:top w:w="0" w:type="dxa"/>
          <w:left w:w="108" w:type="dxa"/>
          <w:bottom w:w="0" w:type="dxa"/>
          <w:right w:w="108" w:type="dxa"/>
        </w:tblCellMar>
      </w:tblPr>
      <w:tblGrid>
        <w:gridCol w:w="724"/>
        <w:gridCol w:w="2410"/>
        <w:gridCol w:w="6291"/>
        <w:gridCol w:w="4341"/>
      </w:tblGrid>
      <w:tr w14:paraId="0DA97E06">
        <w:tblPrEx>
          <w:tblCellMar>
            <w:top w:w="0" w:type="dxa"/>
            <w:left w:w="108" w:type="dxa"/>
            <w:bottom w:w="0" w:type="dxa"/>
            <w:right w:w="108" w:type="dxa"/>
          </w:tblCellMar>
        </w:tblPrEx>
        <w:trPr>
          <w:trHeight w:val="585" w:hRule="atLeast"/>
          <w:tblHeader/>
        </w:trPr>
        <w:tc>
          <w:tcPr>
            <w:tcW w:w="724" w:type="dxa"/>
            <w:tcBorders>
              <w:top w:val="single" w:color="auto" w:sz="8" w:space="0"/>
              <w:left w:val="single" w:color="auto" w:sz="8" w:space="0"/>
              <w:bottom w:val="single" w:color="auto" w:sz="8" w:space="0"/>
              <w:right w:val="single" w:color="auto" w:sz="8" w:space="0"/>
            </w:tcBorders>
            <w:vAlign w:val="center"/>
          </w:tcPr>
          <w:p w14:paraId="1D79C7BA">
            <w:pPr>
              <w:widowControl/>
              <w:jc w:val="center"/>
              <w:rPr>
                <w:b/>
                <w:bCs/>
                <w:kern w:val="0"/>
                <w:sz w:val="24"/>
              </w:rPr>
            </w:pPr>
            <w:r>
              <w:rPr>
                <w:b/>
                <w:bCs/>
                <w:kern w:val="0"/>
                <w:sz w:val="24"/>
              </w:rPr>
              <w:t>序号</w:t>
            </w:r>
          </w:p>
        </w:tc>
        <w:tc>
          <w:tcPr>
            <w:tcW w:w="2410" w:type="dxa"/>
            <w:tcBorders>
              <w:top w:val="single" w:color="auto" w:sz="8" w:space="0"/>
              <w:left w:val="nil"/>
              <w:bottom w:val="single" w:color="auto" w:sz="8" w:space="0"/>
              <w:right w:val="single" w:color="auto" w:sz="8" w:space="0"/>
            </w:tcBorders>
            <w:vAlign w:val="center"/>
          </w:tcPr>
          <w:p w14:paraId="63EFE876">
            <w:pPr>
              <w:widowControl/>
              <w:jc w:val="center"/>
              <w:rPr>
                <w:b/>
                <w:bCs/>
                <w:kern w:val="0"/>
                <w:sz w:val="24"/>
              </w:rPr>
            </w:pPr>
            <w:r>
              <w:rPr>
                <w:b/>
                <w:bCs/>
                <w:kern w:val="0"/>
                <w:sz w:val="24"/>
              </w:rPr>
              <w:t>单位</w:t>
            </w:r>
          </w:p>
        </w:tc>
        <w:tc>
          <w:tcPr>
            <w:tcW w:w="6291" w:type="dxa"/>
            <w:tcBorders>
              <w:top w:val="single" w:color="auto" w:sz="8" w:space="0"/>
              <w:left w:val="nil"/>
              <w:bottom w:val="single" w:color="auto" w:sz="8" w:space="0"/>
              <w:right w:val="single" w:color="auto" w:sz="8" w:space="0"/>
            </w:tcBorders>
            <w:vAlign w:val="center"/>
          </w:tcPr>
          <w:p w14:paraId="05B5D20F">
            <w:pPr>
              <w:widowControl/>
              <w:jc w:val="center"/>
              <w:rPr>
                <w:b/>
                <w:bCs/>
                <w:kern w:val="0"/>
                <w:sz w:val="24"/>
              </w:rPr>
            </w:pPr>
            <w:r>
              <w:rPr>
                <w:b/>
                <w:bCs/>
                <w:kern w:val="0"/>
                <w:sz w:val="24"/>
              </w:rPr>
              <w:t>修改意见</w:t>
            </w:r>
          </w:p>
        </w:tc>
        <w:tc>
          <w:tcPr>
            <w:tcW w:w="4341" w:type="dxa"/>
            <w:tcBorders>
              <w:top w:val="single" w:color="auto" w:sz="8" w:space="0"/>
              <w:left w:val="nil"/>
              <w:bottom w:val="single" w:color="auto" w:sz="8" w:space="0"/>
              <w:right w:val="single" w:color="auto" w:sz="8" w:space="0"/>
            </w:tcBorders>
            <w:vAlign w:val="center"/>
          </w:tcPr>
          <w:p w14:paraId="2B483F19">
            <w:pPr>
              <w:widowControl/>
              <w:jc w:val="center"/>
              <w:rPr>
                <w:b/>
                <w:bCs/>
                <w:kern w:val="0"/>
                <w:sz w:val="24"/>
              </w:rPr>
            </w:pPr>
            <w:r>
              <w:rPr>
                <w:b/>
                <w:bCs/>
                <w:kern w:val="0"/>
                <w:sz w:val="24"/>
              </w:rPr>
              <w:t>修改情况</w:t>
            </w:r>
          </w:p>
        </w:tc>
      </w:tr>
      <w:tr w14:paraId="0BDC4FDF">
        <w:tblPrEx>
          <w:tblCellMar>
            <w:top w:w="0" w:type="dxa"/>
            <w:left w:w="108" w:type="dxa"/>
            <w:bottom w:w="0" w:type="dxa"/>
            <w:right w:w="108" w:type="dxa"/>
          </w:tblCellMar>
        </w:tblPrEx>
        <w:trPr>
          <w:trHeight w:val="1245" w:hRule="atLeast"/>
        </w:trPr>
        <w:tc>
          <w:tcPr>
            <w:tcW w:w="724" w:type="dxa"/>
            <w:tcBorders>
              <w:top w:val="nil"/>
              <w:left w:val="single" w:color="auto" w:sz="8" w:space="0"/>
              <w:bottom w:val="single" w:color="auto" w:sz="8" w:space="0"/>
              <w:right w:val="single" w:color="auto" w:sz="8" w:space="0"/>
            </w:tcBorders>
            <w:vAlign w:val="center"/>
          </w:tcPr>
          <w:p w14:paraId="3A545AC9">
            <w:pPr>
              <w:widowControl/>
              <w:jc w:val="center"/>
              <w:rPr>
                <w:kern w:val="0"/>
                <w:sz w:val="24"/>
              </w:rPr>
            </w:pPr>
            <w:r>
              <w:rPr>
                <w:kern w:val="0"/>
                <w:sz w:val="24"/>
              </w:rPr>
              <w:t>1</w:t>
            </w:r>
          </w:p>
        </w:tc>
        <w:tc>
          <w:tcPr>
            <w:tcW w:w="2410" w:type="dxa"/>
            <w:tcBorders>
              <w:top w:val="nil"/>
              <w:left w:val="nil"/>
              <w:bottom w:val="single" w:color="auto" w:sz="8" w:space="0"/>
              <w:right w:val="single" w:color="auto" w:sz="8" w:space="0"/>
            </w:tcBorders>
            <w:vAlign w:val="center"/>
          </w:tcPr>
          <w:p w14:paraId="512BAA1C">
            <w:pPr>
              <w:widowControl/>
              <w:jc w:val="center"/>
              <w:rPr>
                <w:kern w:val="0"/>
                <w:sz w:val="24"/>
              </w:rPr>
            </w:pPr>
            <w:r>
              <w:rPr>
                <w:kern w:val="0"/>
                <w:sz w:val="24"/>
              </w:rPr>
              <w:t>三亚市审计局</w:t>
            </w:r>
          </w:p>
        </w:tc>
        <w:tc>
          <w:tcPr>
            <w:tcW w:w="6291" w:type="dxa"/>
            <w:tcBorders>
              <w:top w:val="nil"/>
              <w:left w:val="nil"/>
              <w:bottom w:val="single" w:color="auto" w:sz="8" w:space="0"/>
              <w:right w:val="single" w:color="auto" w:sz="8" w:space="0"/>
            </w:tcBorders>
            <w:vAlign w:val="center"/>
          </w:tcPr>
          <w:p w14:paraId="1329CCE4">
            <w:pPr>
              <w:widowControl/>
              <w:jc w:val="left"/>
              <w:rPr>
                <w:kern w:val="0"/>
                <w:sz w:val="24"/>
              </w:rPr>
            </w:pPr>
            <w:r>
              <w:rPr>
                <w:kern w:val="0"/>
                <w:sz w:val="24"/>
              </w:rPr>
              <w:t>12.6 “建立评价考核机制 （1）加强组织领导，明确工作职责  成立由市委为总指挥，市政府为副总指挥，市四大班子分管，市发展和改革委员会、市自然资源和规划局、市财政局…….”中“市审计局”删除</w:t>
            </w:r>
          </w:p>
        </w:tc>
        <w:tc>
          <w:tcPr>
            <w:tcW w:w="4341" w:type="dxa"/>
            <w:tcBorders>
              <w:top w:val="nil"/>
              <w:left w:val="nil"/>
              <w:bottom w:val="single" w:color="auto" w:sz="8" w:space="0"/>
              <w:right w:val="single" w:color="auto" w:sz="8" w:space="0"/>
            </w:tcBorders>
            <w:vAlign w:val="center"/>
          </w:tcPr>
          <w:p w14:paraId="45A5FCB4">
            <w:pPr>
              <w:widowControl/>
              <w:jc w:val="center"/>
              <w:rPr>
                <w:kern w:val="0"/>
                <w:sz w:val="24"/>
              </w:rPr>
            </w:pPr>
            <w:r>
              <w:rPr>
                <w:kern w:val="0"/>
                <w:sz w:val="24"/>
              </w:rPr>
              <w:t>已修改，规划第十二章，P11</w:t>
            </w:r>
            <w:r>
              <w:rPr>
                <w:rFonts w:hint="eastAsia"/>
                <w:kern w:val="0"/>
                <w:sz w:val="24"/>
              </w:rPr>
              <w:t>4</w:t>
            </w:r>
            <w:r>
              <w:rPr>
                <w:kern w:val="0"/>
                <w:sz w:val="24"/>
              </w:rPr>
              <w:t>。</w:t>
            </w:r>
          </w:p>
        </w:tc>
      </w:tr>
      <w:tr w14:paraId="6985DECE">
        <w:tblPrEx>
          <w:tblCellMar>
            <w:top w:w="0" w:type="dxa"/>
            <w:left w:w="108" w:type="dxa"/>
            <w:bottom w:w="0" w:type="dxa"/>
            <w:right w:w="108" w:type="dxa"/>
          </w:tblCellMar>
        </w:tblPrEx>
        <w:trPr>
          <w:trHeight w:val="705" w:hRule="atLeast"/>
        </w:trPr>
        <w:tc>
          <w:tcPr>
            <w:tcW w:w="724" w:type="dxa"/>
            <w:tcBorders>
              <w:top w:val="nil"/>
              <w:left w:val="single" w:color="auto" w:sz="8" w:space="0"/>
              <w:bottom w:val="single" w:color="auto" w:sz="8" w:space="0"/>
              <w:right w:val="single" w:color="auto" w:sz="8" w:space="0"/>
            </w:tcBorders>
            <w:vAlign w:val="center"/>
          </w:tcPr>
          <w:p w14:paraId="1DF0E69F">
            <w:pPr>
              <w:widowControl/>
              <w:jc w:val="center"/>
              <w:rPr>
                <w:kern w:val="0"/>
                <w:sz w:val="24"/>
              </w:rPr>
            </w:pPr>
            <w:r>
              <w:rPr>
                <w:kern w:val="0"/>
                <w:sz w:val="24"/>
              </w:rPr>
              <w:t>2</w:t>
            </w:r>
          </w:p>
        </w:tc>
        <w:tc>
          <w:tcPr>
            <w:tcW w:w="2410" w:type="dxa"/>
            <w:tcBorders>
              <w:top w:val="nil"/>
              <w:left w:val="nil"/>
              <w:bottom w:val="single" w:color="auto" w:sz="8" w:space="0"/>
              <w:right w:val="single" w:color="auto" w:sz="8" w:space="0"/>
            </w:tcBorders>
            <w:vAlign w:val="center"/>
          </w:tcPr>
          <w:p w14:paraId="3DCC159D">
            <w:pPr>
              <w:widowControl/>
              <w:jc w:val="center"/>
              <w:rPr>
                <w:kern w:val="0"/>
                <w:sz w:val="24"/>
              </w:rPr>
            </w:pPr>
            <w:r>
              <w:rPr>
                <w:kern w:val="0"/>
                <w:sz w:val="24"/>
              </w:rPr>
              <w:t>三亚市住房和城乡建设局</w:t>
            </w:r>
          </w:p>
        </w:tc>
        <w:tc>
          <w:tcPr>
            <w:tcW w:w="6291" w:type="dxa"/>
            <w:tcBorders>
              <w:top w:val="nil"/>
              <w:left w:val="nil"/>
              <w:bottom w:val="single" w:color="auto" w:sz="8" w:space="0"/>
              <w:right w:val="single" w:color="auto" w:sz="8" w:space="0"/>
            </w:tcBorders>
            <w:vAlign w:val="center"/>
          </w:tcPr>
          <w:p w14:paraId="5965F62F">
            <w:pPr>
              <w:widowControl/>
              <w:jc w:val="left"/>
              <w:rPr>
                <w:kern w:val="0"/>
                <w:sz w:val="24"/>
              </w:rPr>
            </w:pPr>
            <w:r>
              <w:rPr>
                <w:kern w:val="0"/>
                <w:sz w:val="24"/>
              </w:rPr>
              <w:t>第46页—6.1产业现状--（1）城区绿化覆盖率41.1%应修改为42.34%，人均公园绿地面积14.2 m</w:t>
            </w:r>
            <w:r>
              <w:rPr>
                <w:kern w:val="0"/>
                <w:sz w:val="24"/>
                <w:vertAlign w:val="superscript"/>
              </w:rPr>
              <w:t>2</w:t>
            </w:r>
            <w:r>
              <w:rPr>
                <w:kern w:val="0"/>
                <w:sz w:val="24"/>
              </w:rPr>
              <w:t>修改为13.87 m</w:t>
            </w:r>
            <w:r>
              <w:rPr>
                <w:kern w:val="0"/>
                <w:sz w:val="24"/>
                <w:vertAlign w:val="superscript"/>
              </w:rPr>
              <w:t>2</w:t>
            </w:r>
          </w:p>
        </w:tc>
        <w:tc>
          <w:tcPr>
            <w:tcW w:w="4341" w:type="dxa"/>
            <w:tcBorders>
              <w:top w:val="nil"/>
              <w:left w:val="nil"/>
              <w:bottom w:val="single" w:color="auto" w:sz="8" w:space="0"/>
              <w:right w:val="single" w:color="auto" w:sz="8" w:space="0"/>
            </w:tcBorders>
            <w:vAlign w:val="center"/>
          </w:tcPr>
          <w:p w14:paraId="37A25439">
            <w:pPr>
              <w:widowControl/>
              <w:jc w:val="center"/>
              <w:rPr>
                <w:kern w:val="0"/>
                <w:sz w:val="24"/>
              </w:rPr>
            </w:pPr>
            <w:r>
              <w:rPr>
                <w:kern w:val="0"/>
                <w:sz w:val="24"/>
              </w:rPr>
              <w:t>已修改，规划第六章，P4</w:t>
            </w:r>
            <w:r>
              <w:rPr>
                <w:rFonts w:hint="eastAsia"/>
                <w:kern w:val="0"/>
                <w:sz w:val="24"/>
              </w:rPr>
              <w:t>0</w:t>
            </w:r>
            <w:r>
              <w:rPr>
                <w:kern w:val="0"/>
                <w:sz w:val="24"/>
              </w:rPr>
              <w:t>。</w:t>
            </w:r>
          </w:p>
        </w:tc>
      </w:tr>
      <w:tr w14:paraId="3C5514C7">
        <w:tblPrEx>
          <w:tblCellMar>
            <w:top w:w="0" w:type="dxa"/>
            <w:left w:w="108" w:type="dxa"/>
            <w:bottom w:w="0" w:type="dxa"/>
            <w:right w:w="108" w:type="dxa"/>
          </w:tblCellMar>
        </w:tblPrEx>
        <w:trPr>
          <w:trHeight w:val="2490" w:hRule="atLeast"/>
        </w:trPr>
        <w:tc>
          <w:tcPr>
            <w:tcW w:w="724" w:type="dxa"/>
            <w:tcBorders>
              <w:top w:val="nil"/>
              <w:left w:val="single" w:color="auto" w:sz="8" w:space="0"/>
              <w:bottom w:val="single" w:color="auto" w:sz="8" w:space="0"/>
              <w:right w:val="single" w:color="auto" w:sz="8" w:space="0"/>
            </w:tcBorders>
            <w:vAlign w:val="center"/>
          </w:tcPr>
          <w:p w14:paraId="4FC16558">
            <w:pPr>
              <w:widowControl/>
              <w:jc w:val="center"/>
              <w:rPr>
                <w:kern w:val="0"/>
                <w:sz w:val="24"/>
              </w:rPr>
            </w:pPr>
            <w:r>
              <w:rPr>
                <w:kern w:val="0"/>
                <w:sz w:val="24"/>
              </w:rPr>
              <w:t>3</w:t>
            </w:r>
          </w:p>
        </w:tc>
        <w:tc>
          <w:tcPr>
            <w:tcW w:w="2410" w:type="dxa"/>
            <w:tcBorders>
              <w:top w:val="nil"/>
              <w:left w:val="nil"/>
              <w:bottom w:val="single" w:color="auto" w:sz="8" w:space="0"/>
              <w:right w:val="single" w:color="auto" w:sz="8" w:space="0"/>
            </w:tcBorders>
            <w:vAlign w:val="center"/>
          </w:tcPr>
          <w:p w14:paraId="4959B902">
            <w:pPr>
              <w:widowControl/>
              <w:jc w:val="center"/>
              <w:rPr>
                <w:kern w:val="0"/>
                <w:sz w:val="24"/>
              </w:rPr>
            </w:pPr>
            <w:r>
              <w:rPr>
                <w:kern w:val="0"/>
                <w:sz w:val="24"/>
              </w:rPr>
              <w:t>三亚市水务局</w:t>
            </w:r>
          </w:p>
        </w:tc>
        <w:tc>
          <w:tcPr>
            <w:tcW w:w="6291" w:type="dxa"/>
            <w:tcBorders>
              <w:top w:val="nil"/>
              <w:left w:val="nil"/>
              <w:bottom w:val="single" w:color="auto" w:sz="8" w:space="0"/>
              <w:right w:val="single" w:color="auto" w:sz="8" w:space="0"/>
            </w:tcBorders>
            <w:vAlign w:val="center"/>
          </w:tcPr>
          <w:p w14:paraId="121B6BFA">
            <w:pPr>
              <w:widowControl/>
              <w:jc w:val="left"/>
              <w:rPr>
                <w:kern w:val="0"/>
                <w:sz w:val="24"/>
              </w:rPr>
            </w:pPr>
            <w:r>
              <w:rPr>
                <w:kern w:val="0"/>
                <w:sz w:val="24"/>
              </w:rPr>
              <w:t>（5）水文“三亚市境有中、小河流……”建议修改为“三亚市境内有中、小河流221条，集雨面积500 km</w:t>
            </w:r>
            <w:r>
              <w:rPr>
                <w:kern w:val="0"/>
                <w:sz w:val="24"/>
                <w:vertAlign w:val="superscript"/>
              </w:rPr>
              <w:t>2</w:t>
            </w:r>
            <w:r>
              <w:rPr>
                <w:kern w:val="0"/>
                <w:sz w:val="24"/>
              </w:rPr>
              <w:t>以上的有宁远河、藤桥河；集雨面积100 km</w:t>
            </w:r>
            <w:r>
              <w:rPr>
                <w:kern w:val="0"/>
                <w:sz w:val="24"/>
                <w:vertAlign w:val="superscript"/>
              </w:rPr>
              <w:t>2</w:t>
            </w:r>
            <w:r>
              <w:rPr>
                <w:kern w:val="0"/>
                <w:sz w:val="24"/>
              </w:rPr>
              <w:t>以上的有宁远河、藤桥河；集雨面积100 km</w:t>
            </w:r>
            <w:r>
              <w:rPr>
                <w:kern w:val="0"/>
                <w:sz w:val="24"/>
                <w:vertAlign w:val="superscript"/>
              </w:rPr>
              <w:t>2</w:t>
            </w:r>
            <w:r>
              <w:rPr>
                <w:kern w:val="0"/>
                <w:sz w:val="24"/>
              </w:rPr>
              <w:t>以下的有三亚河、大茅水、雅边方河、龙潭河”。“西部以宁远河为主，该河流域面积1039km</w:t>
            </w:r>
            <w:r>
              <w:rPr>
                <w:kern w:val="0"/>
                <w:sz w:val="24"/>
                <w:vertAlign w:val="superscript"/>
              </w:rPr>
              <w:t>2</w:t>
            </w:r>
            <w:r>
              <w:rPr>
                <w:kern w:val="0"/>
                <w:sz w:val="24"/>
              </w:rPr>
              <w:t>……”建议修改为“西部以宁远河为主，该河流域面积1020 km</w:t>
            </w:r>
            <w:r>
              <w:rPr>
                <w:kern w:val="0"/>
                <w:sz w:val="24"/>
                <w:vertAlign w:val="superscript"/>
              </w:rPr>
              <w:t>2</w:t>
            </w:r>
            <w:r>
              <w:rPr>
                <w:kern w:val="0"/>
                <w:sz w:val="24"/>
              </w:rPr>
              <w:t>，为三亚第一，海南第四大河。”</w:t>
            </w:r>
          </w:p>
        </w:tc>
        <w:tc>
          <w:tcPr>
            <w:tcW w:w="4341" w:type="dxa"/>
            <w:tcBorders>
              <w:top w:val="nil"/>
              <w:left w:val="nil"/>
              <w:bottom w:val="single" w:color="auto" w:sz="8" w:space="0"/>
              <w:right w:val="single" w:color="auto" w:sz="8" w:space="0"/>
            </w:tcBorders>
            <w:vAlign w:val="center"/>
          </w:tcPr>
          <w:p w14:paraId="410A1F07">
            <w:pPr>
              <w:widowControl/>
              <w:jc w:val="center"/>
              <w:rPr>
                <w:kern w:val="0"/>
                <w:sz w:val="24"/>
              </w:rPr>
            </w:pPr>
            <w:r>
              <w:rPr>
                <w:kern w:val="0"/>
                <w:sz w:val="24"/>
              </w:rPr>
              <w:t>已修改，规划第三章，P1</w:t>
            </w:r>
            <w:r>
              <w:rPr>
                <w:rFonts w:hint="eastAsia"/>
                <w:kern w:val="0"/>
                <w:sz w:val="24"/>
              </w:rPr>
              <w:t>4</w:t>
            </w:r>
            <w:r>
              <w:rPr>
                <w:kern w:val="0"/>
                <w:sz w:val="24"/>
              </w:rPr>
              <w:t>。</w:t>
            </w:r>
          </w:p>
        </w:tc>
      </w:tr>
      <w:tr w14:paraId="7F595D75">
        <w:tblPrEx>
          <w:tblCellMar>
            <w:top w:w="0" w:type="dxa"/>
            <w:left w:w="108" w:type="dxa"/>
            <w:bottom w:w="0" w:type="dxa"/>
            <w:right w:w="108" w:type="dxa"/>
          </w:tblCellMar>
        </w:tblPrEx>
        <w:trPr>
          <w:trHeight w:val="900" w:hRule="atLeast"/>
        </w:trPr>
        <w:tc>
          <w:tcPr>
            <w:tcW w:w="724" w:type="dxa"/>
            <w:tcBorders>
              <w:top w:val="nil"/>
              <w:left w:val="single" w:color="auto" w:sz="8" w:space="0"/>
              <w:bottom w:val="single" w:color="auto" w:sz="8" w:space="0"/>
              <w:right w:val="single" w:color="auto" w:sz="8" w:space="0"/>
            </w:tcBorders>
            <w:vAlign w:val="center"/>
          </w:tcPr>
          <w:p w14:paraId="270AE9D7">
            <w:pPr>
              <w:widowControl/>
              <w:jc w:val="center"/>
              <w:rPr>
                <w:kern w:val="0"/>
                <w:sz w:val="24"/>
              </w:rPr>
            </w:pPr>
            <w:r>
              <w:rPr>
                <w:kern w:val="0"/>
                <w:sz w:val="24"/>
              </w:rPr>
              <w:t>4</w:t>
            </w:r>
          </w:p>
        </w:tc>
        <w:tc>
          <w:tcPr>
            <w:tcW w:w="2410" w:type="dxa"/>
            <w:tcBorders>
              <w:top w:val="nil"/>
              <w:left w:val="nil"/>
              <w:bottom w:val="single" w:color="auto" w:sz="8" w:space="0"/>
              <w:right w:val="single" w:color="auto" w:sz="8" w:space="0"/>
            </w:tcBorders>
            <w:vAlign w:val="center"/>
          </w:tcPr>
          <w:p w14:paraId="68B9A4E2">
            <w:pPr>
              <w:widowControl/>
              <w:jc w:val="center"/>
              <w:rPr>
                <w:kern w:val="0"/>
                <w:sz w:val="24"/>
              </w:rPr>
            </w:pPr>
            <w:r>
              <w:rPr>
                <w:kern w:val="0"/>
                <w:sz w:val="24"/>
              </w:rPr>
              <w:t>三亚市水务局</w:t>
            </w:r>
          </w:p>
        </w:tc>
        <w:tc>
          <w:tcPr>
            <w:tcW w:w="6291" w:type="dxa"/>
            <w:tcBorders>
              <w:top w:val="nil"/>
              <w:left w:val="nil"/>
              <w:bottom w:val="single" w:color="auto" w:sz="8" w:space="0"/>
              <w:right w:val="single" w:color="auto" w:sz="8" w:space="0"/>
            </w:tcBorders>
            <w:vAlign w:val="center"/>
          </w:tcPr>
          <w:p w14:paraId="34F772C1">
            <w:pPr>
              <w:widowControl/>
              <w:jc w:val="left"/>
              <w:rPr>
                <w:kern w:val="0"/>
                <w:sz w:val="24"/>
              </w:rPr>
            </w:pPr>
            <w:r>
              <w:rPr>
                <w:kern w:val="0"/>
                <w:sz w:val="24"/>
              </w:rPr>
              <w:t>附表3 红树林保护与修复保护站、种苗繁育基地等建设应征询水行政主管部门意见，避免项目选址与河道规划冲突。</w:t>
            </w:r>
          </w:p>
        </w:tc>
        <w:tc>
          <w:tcPr>
            <w:tcW w:w="4341" w:type="dxa"/>
            <w:tcBorders>
              <w:top w:val="nil"/>
              <w:left w:val="nil"/>
              <w:bottom w:val="single" w:color="auto" w:sz="8" w:space="0"/>
              <w:right w:val="single" w:color="auto" w:sz="8" w:space="0"/>
            </w:tcBorders>
            <w:vAlign w:val="center"/>
          </w:tcPr>
          <w:p w14:paraId="13FA2B3C">
            <w:pPr>
              <w:widowControl/>
              <w:jc w:val="center"/>
              <w:rPr>
                <w:kern w:val="0"/>
                <w:sz w:val="24"/>
              </w:rPr>
            </w:pPr>
            <w:r>
              <w:rPr>
                <w:kern w:val="0"/>
                <w:sz w:val="24"/>
              </w:rPr>
              <w:t>规划第</w:t>
            </w:r>
            <w:r>
              <w:rPr>
                <w:rFonts w:hint="eastAsia"/>
                <w:kern w:val="0"/>
                <w:sz w:val="24"/>
              </w:rPr>
              <w:t>十一</w:t>
            </w:r>
            <w:r>
              <w:rPr>
                <w:kern w:val="0"/>
                <w:sz w:val="24"/>
              </w:rPr>
              <w:t>章，与崖州区相关部门核实。</w:t>
            </w:r>
          </w:p>
        </w:tc>
      </w:tr>
      <w:tr w14:paraId="7C794DBF">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22634858">
            <w:pPr>
              <w:widowControl/>
              <w:jc w:val="center"/>
              <w:rPr>
                <w:kern w:val="0"/>
                <w:sz w:val="24"/>
              </w:rPr>
            </w:pPr>
            <w:r>
              <w:rPr>
                <w:kern w:val="0"/>
                <w:sz w:val="24"/>
              </w:rPr>
              <w:t>5</w:t>
            </w:r>
          </w:p>
        </w:tc>
        <w:tc>
          <w:tcPr>
            <w:tcW w:w="2410" w:type="dxa"/>
            <w:tcBorders>
              <w:top w:val="nil"/>
              <w:left w:val="nil"/>
              <w:bottom w:val="single" w:color="auto" w:sz="8" w:space="0"/>
              <w:right w:val="single" w:color="auto" w:sz="8" w:space="0"/>
            </w:tcBorders>
            <w:vAlign w:val="center"/>
          </w:tcPr>
          <w:p w14:paraId="55DB0EBE">
            <w:pPr>
              <w:widowControl/>
              <w:jc w:val="center"/>
              <w:rPr>
                <w:kern w:val="0"/>
                <w:sz w:val="24"/>
              </w:rPr>
            </w:pPr>
            <w:r>
              <w:rPr>
                <w:kern w:val="0"/>
                <w:sz w:val="24"/>
              </w:rPr>
              <w:t>三亚市民政局</w:t>
            </w:r>
          </w:p>
        </w:tc>
        <w:tc>
          <w:tcPr>
            <w:tcW w:w="6291" w:type="dxa"/>
            <w:tcBorders>
              <w:top w:val="nil"/>
              <w:left w:val="nil"/>
              <w:bottom w:val="single" w:color="auto" w:sz="8" w:space="0"/>
              <w:right w:val="single" w:color="auto" w:sz="8" w:space="0"/>
            </w:tcBorders>
            <w:vAlign w:val="center"/>
          </w:tcPr>
          <w:p w14:paraId="4FD16065">
            <w:pPr>
              <w:widowControl/>
              <w:jc w:val="left"/>
              <w:rPr>
                <w:kern w:val="0"/>
                <w:sz w:val="24"/>
              </w:rPr>
            </w:pPr>
            <w:r>
              <w:rPr>
                <w:kern w:val="0"/>
                <w:sz w:val="24"/>
              </w:rPr>
              <w:t>6.3（2）中“凤凰岭森林公园”名称叫法不妥，建议公园改为“狗岭森林公园”为妥。</w:t>
            </w:r>
          </w:p>
        </w:tc>
        <w:tc>
          <w:tcPr>
            <w:tcW w:w="4341" w:type="dxa"/>
            <w:tcBorders>
              <w:top w:val="nil"/>
              <w:left w:val="nil"/>
              <w:bottom w:val="single" w:color="auto" w:sz="8" w:space="0"/>
              <w:right w:val="single" w:color="auto" w:sz="8" w:space="0"/>
            </w:tcBorders>
            <w:vAlign w:val="center"/>
          </w:tcPr>
          <w:p w14:paraId="2E6BE692">
            <w:pPr>
              <w:widowControl/>
              <w:jc w:val="center"/>
              <w:rPr>
                <w:kern w:val="0"/>
                <w:sz w:val="24"/>
              </w:rPr>
            </w:pPr>
            <w:r>
              <w:rPr>
                <w:kern w:val="0"/>
                <w:sz w:val="24"/>
              </w:rPr>
              <w:t>已修改，规划第六章，P</w:t>
            </w:r>
            <w:r>
              <w:rPr>
                <w:rFonts w:hint="eastAsia"/>
                <w:kern w:val="0"/>
                <w:sz w:val="24"/>
              </w:rPr>
              <w:t>47</w:t>
            </w:r>
            <w:r>
              <w:rPr>
                <w:kern w:val="0"/>
                <w:sz w:val="24"/>
              </w:rPr>
              <w:t>。</w:t>
            </w:r>
          </w:p>
        </w:tc>
      </w:tr>
      <w:tr w14:paraId="3A5AF681">
        <w:tblPrEx>
          <w:tblCellMar>
            <w:top w:w="0" w:type="dxa"/>
            <w:left w:w="108" w:type="dxa"/>
            <w:bottom w:w="0" w:type="dxa"/>
            <w:right w:w="108" w:type="dxa"/>
          </w:tblCellMar>
        </w:tblPrEx>
        <w:trPr>
          <w:trHeight w:val="720" w:hRule="atLeast"/>
        </w:trPr>
        <w:tc>
          <w:tcPr>
            <w:tcW w:w="724" w:type="dxa"/>
            <w:tcBorders>
              <w:top w:val="nil"/>
              <w:left w:val="single" w:color="auto" w:sz="8" w:space="0"/>
              <w:bottom w:val="single" w:color="auto" w:sz="8" w:space="0"/>
              <w:right w:val="single" w:color="auto" w:sz="8" w:space="0"/>
            </w:tcBorders>
            <w:vAlign w:val="center"/>
          </w:tcPr>
          <w:p w14:paraId="54A88901">
            <w:pPr>
              <w:widowControl/>
              <w:jc w:val="center"/>
              <w:rPr>
                <w:kern w:val="0"/>
                <w:sz w:val="24"/>
              </w:rPr>
            </w:pPr>
            <w:r>
              <w:rPr>
                <w:kern w:val="0"/>
                <w:sz w:val="24"/>
              </w:rPr>
              <w:t>6</w:t>
            </w:r>
          </w:p>
        </w:tc>
        <w:tc>
          <w:tcPr>
            <w:tcW w:w="2410" w:type="dxa"/>
            <w:tcBorders>
              <w:top w:val="nil"/>
              <w:left w:val="nil"/>
              <w:bottom w:val="single" w:color="auto" w:sz="8" w:space="0"/>
              <w:right w:val="single" w:color="auto" w:sz="8" w:space="0"/>
            </w:tcBorders>
            <w:vAlign w:val="center"/>
          </w:tcPr>
          <w:p w14:paraId="609CC580">
            <w:pPr>
              <w:widowControl/>
              <w:jc w:val="center"/>
              <w:rPr>
                <w:kern w:val="0"/>
                <w:sz w:val="24"/>
              </w:rPr>
            </w:pPr>
            <w:r>
              <w:rPr>
                <w:kern w:val="0"/>
                <w:sz w:val="24"/>
              </w:rPr>
              <w:t>三亚市财政局</w:t>
            </w:r>
          </w:p>
        </w:tc>
        <w:tc>
          <w:tcPr>
            <w:tcW w:w="6291" w:type="dxa"/>
            <w:tcBorders>
              <w:top w:val="nil"/>
              <w:left w:val="nil"/>
              <w:bottom w:val="single" w:color="auto" w:sz="8" w:space="0"/>
              <w:right w:val="single" w:color="auto" w:sz="8" w:space="0"/>
            </w:tcBorders>
            <w:vAlign w:val="center"/>
          </w:tcPr>
          <w:p w14:paraId="7951AD0B">
            <w:pPr>
              <w:widowControl/>
              <w:jc w:val="left"/>
              <w:rPr>
                <w:kern w:val="0"/>
                <w:sz w:val="24"/>
              </w:rPr>
            </w:pPr>
            <w:r>
              <w:rPr>
                <w:kern w:val="0"/>
                <w:sz w:val="24"/>
              </w:rPr>
              <w:t>建议对提及的资金来源为政府投资的规划建设项目投资估算金额予以慎重斟酌。</w:t>
            </w:r>
          </w:p>
        </w:tc>
        <w:tc>
          <w:tcPr>
            <w:tcW w:w="4341" w:type="dxa"/>
            <w:tcBorders>
              <w:top w:val="nil"/>
              <w:left w:val="nil"/>
              <w:bottom w:val="single" w:color="auto" w:sz="8" w:space="0"/>
              <w:right w:val="single" w:color="auto" w:sz="8" w:space="0"/>
            </w:tcBorders>
            <w:vAlign w:val="center"/>
          </w:tcPr>
          <w:p w14:paraId="4D686E44">
            <w:pPr>
              <w:widowControl/>
              <w:jc w:val="center"/>
              <w:rPr>
                <w:kern w:val="0"/>
                <w:sz w:val="24"/>
              </w:rPr>
            </w:pPr>
            <w:r>
              <w:rPr>
                <w:kern w:val="0"/>
                <w:sz w:val="24"/>
              </w:rPr>
              <w:t>每个项目资金来源多数为多元筹资，强化政府对资金、技术、市场等要素资源的宏观调控和配置。</w:t>
            </w:r>
          </w:p>
        </w:tc>
      </w:tr>
      <w:tr w14:paraId="7BF48439">
        <w:tblPrEx>
          <w:tblCellMar>
            <w:top w:w="0" w:type="dxa"/>
            <w:left w:w="108" w:type="dxa"/>
            <w:bottom w:w="0" w:type="dxa"/>
            <w:right w:w="108" w:type="dxa"/>
          </w:tblCellMar>
        </w:tblPrEx>
        <w:trPr>
          <w:trHeight w:val="1155" w:hRule="atLeast"/>
        </w:trPr>
        <w:tc>
          <w:tcPr>
            <w:tcW w:w="724" w:type="dxa"/>
            <w:tcBorders>
              <w:top w:val="nil"/>
              <w:left w:val="single" w:color="auto" w:sz="8" w:space="0"/>
              <w:bottom w:val="single" w:color="auto" w:sz="8" w:space="0"/>
              <w:right w:val="single" w:color="auto" w:sz="8" w:space="0"/>
            </w:tcBorders>
            <w:vAlign w:val="center"/>
          </w:tcPr>
          <w:p w14:paraId="4EAF777F">
            <w:pPr>
              <w:widowControl/>
              <w:jc w:val="center"/>
              <w:rPr>
                <w:kern w:val="0"/>
                <w:sz w:val="24"/>
              </w:rPr>
            </w:pPr>
            <w:r>
              <w:rPr>
                <w:kern w:val="0"/>
                <w:sz w:val="24"/>
              </w:rPr>
              <w:t>7</w:t>
            </w:r>
          </w:p>
        </w:tc>
        <w:tc>
          <w:tcPr>
            <w:tcW w:w="2410" w:type="dxa"/>
            <w:tcBorders>
              <w:top w:val="nil"/>
              <w:left w:val="nil"/>
              <w:bottom w:val="single" w:color="auto" w:sz="8" w:space="0"/>
              <w:right w:val="single" w:color="auto" w:sz="8" w:space="0"/>
            </w:tcBorders>
            <w:vAlign w:val="center"/>
          </w:tcPr>
          <w:p w14:paraId="3C882BAA">
            <w:pPr>
              <w:widowControl/>
              <w:jc w:val="center"/>
              <w:rPr>
                <w:kern w:val="0"/>
                <w:sz w:val="24"/>
              </w:rPr>
            </w:pPr>
            <w:r>
              <w:rPr>
                <w:kern w:val="0"/>
                <w:sz w:val="24"/>
              </w:rPr>
              <w:t>三亚市发展和改革委员会</w:t>
            </w:r>
          </w:p>
        </w:tc>
        <w:tc>
          <w:tcPr>
            <w:tcW w:w="6291" w:type="dxa"/>
            <w:tcBorders>
              <w:top w:val="nil"/>
              <w:left w:val="nil"/>
              <w:bottom w:val="single" w:color="auto" w:sz="8" w:space="0"/>
              <w:right w:val="single" w:color="auto" w:sz="8" w:space="0"/>
            </w:tcBorders>
            <w:vAlign w:val="center"/>
          </w:tcPr>
          <w:p w14:paraId="4EFFDB25">
            <w:pPr>
              <w:widowControl/>
              <w:jc w:val="left"/>
              <w:rPr>
                <w:kern w:val="0"/>
                <w:sz w:val="24"/>
              </w:rPr>
            </w:pPr>
            <w:r>
              <w:rPr>
                <w:kern w:val="0"/>
                <w:sz w:val="24"/>
              </w:rPr>
              <w:t>应对“十三五”时期林业产业发展现状进行分析，包括全市经济中、在大农业中的占比情况进行分析，是发展还是下降，存在的问题等，以便下一步提出规划任务和工作措施。</w:t>
            </w:r>
          </w:p>
        </w:tc>
        <w:tc>
          <w:tcPr>
            <w:tcW w:w="4341" w:type="dxa"/>
            <w:tcBorders>
              <w:top w:val="nil"/>
              <w:left w:val="nil"/>
              <w:bottom w:val="single" w:color="auto" w:sz="8" w:space="0"/>
              <w:right w:val="single" w:color="auto" w:sz="8" w:space="0"/>
            </w:tcBorders>
            <w:vAlign w:val="center"/>
          </w:tcPr>
          <w:p w14:paraId="4886F1BC">
            <w:pPr>
              <w:pStyle w:val="14"/>
            </w:pPr>
            <w:r>
              <w:t>2020年三亚市国民经济和社会发展统计公报，初步核算，三亚市林业总产值35300万元，但林业产值基础数据统计口径（范围、标准、数据）不统一等问题。</w:t>
            </w:r>
          </w:p>
        </w:tc>
      </w:tr>
      <w:tr w14:paraId="49B777FD">
        <w:tblPrEx>
          <w:tblCellMar>
            <w:top w:w="0" w:type="dxa"/>
            <w:left w:w="108" w:type="dxa"/>
            <w:bottom w:w="0" w:type="dxa"/>
            <w:right w:w="108" w:type="dxa"/>
          </w:tblCellMar>
        </w:tblPrEx>
        <w:trPr>
          <w:trHeight w:val="870" w:hRule="atLeast"/>
        </w:trPr>
        <w:tc>
          <w:tcPr>
            <w:tcW w:w="724" w:type="dxa"/>
            <w:tcBorders>
              <w:top w:val="nil"/>
              <w:left w:val="single" w:color="auto" w:sz="8" w:space="0"/>
              <w:bottom w:val="single" w:color="auto" w:sz="8" w:space="0"/>
              <w:right w:val="single" w:color="auto" w:sz="8" w:space="0"/>
            </w:tcBorders>
            <w:vAlign w:val="center"/>
          </w:tcPr>
          <w:p w14:paraId="6E81711F">
            <w:pPr>
              <w:widowControl/>
              <w:jc w:val="center"/>
              <w:rPr>
                <w:kern w:val="0"/>
                <w:sz w:val="24"/>
              </w:rPr>
            </w:pPr>
            <w:r>
              <w:rPr>
                <w:kern w:val="0"/>
                <w:sz w:val="24"/>
              </w:rPr>
              <w:t>8</w:t>
            </w:r>
          </w:p>
        </w:tc>
        <w:tc>
          <w:tcPr>
            <w:tcW w:w="2410" w:type="dxa"/>
            <w:tcBorders>
              <w:top w:val="nil"/>
              <w:left w:val="nil"/>
              <w:bottom w:val="single" w:color="auto" w:sz="8" w:space="0"/>
              <w:right w:val="single" w:color="auto" w:sz="8" w:space="0"/>
            </w:tcBorders>
            <w:vAlign w:val="center"/>
          </w:tcPr>
          <w:p w14:paraId="76DD9A2F">
            <w:pPr>
              <w:widowControl/>
              <w:jc w:val="center"/>
              <w:rPr>
                <w:kern w:val="0"/>
                <w:sz w:val="24"/>
              </w:rPr>
            </w:pPr>
            <w:r>
              <w:rPr>
                <w:kern w:val="0"/>
                <w:sz w:val="24"/>
              </w:rPr>
              <w:t>三亚市发展和改革委员会</w:t>
            </w:r>
          </w:p>
        </w:tc>
        <w:tc>
          <w:tcPr>
            <w:tcW w:w="6291" w:type="dxa"/>
            <w:tcBorders>
              <w:top w:val="nil"/>
              <w:left w:val="nil"/>
              <w:bottom w:val="single" w:color="auto" w:sz="8" w:space="0"/>
              <w:right w:val="single" w:color="auto" w:sz="8" w:space="0"/>
            </w:tcBorders>
            <w:vAlign w:val="center"/>
          </w:tcPr>
          <w:p w14:paraId="2E70FAE1">
            <w:pPr>
              <w:widowControl/>
              <w:jc w:val="left"/>
              <w:rPr>
                <w:kern w:val="0"/>
                <w:sz w:val="24"/>
              </w:rPr>
            </w:pPr>
            <w:r>
              <w:rPr>
                <w:kern w:val="0"/>
                <w:sz w:val="24"/>
              </w:rPr>
              <w:t>《规划》要解决的问题是林业产业，林业产业发展不断缩小的原因要深入分析研究，以及近年来对总体经济的贡献不断下降，必须要研究清楚。</w:t>
            </w:r>
          </w:p>
        </w:tc>
        <w:tc>
          <w:tcPr>
            <w:tcW w:w="4341" w:type="dxa"/>
            <w:tcBorders>
              <w:top w:val="nil"/>
              <w:left w:val="nil"/>
              <w:bottom w:val="single" w:color="auto" w:sz="8" w:space="0"/>
              <w:right w:val="single" w:color="auto" w:sz="8" w:space="0"/>
            </w:tcBorders>
            <w:vAlign w:val="center"/>
          </w:tcPr>
          <w:p w14:paraId="3F5562AE">
            <w:pPr>
              <w:widowControl/>
              <w:jc w:val="left"/>
              <w:rPr>
                <w:kern w:val="0"/>
                <w:sz w:val="24"/>
              </w:rPr>
            </w:pPr>
            <w:r>
              <w:rPr>
                <w:kern w:val="0"/>
                <w:sz w:val="24"/>
              </w:rPr>
              <w:t>林业产业发展并未缩小，在数据统计口径上不同。</w:t>
            </w:r>
          </w:p>
        </w:tc>
      </w:tr>
      <w:tr w14:paraId="22FCFFFF">
        <w:tblPrEx>
          <w:tblCellMar>
            <w:top w:w="0" w:type="dxa"/>
            <w:left w:w="108" w:type="dxa"/>
            <w:bottom w:w="0" w:type="dxa"/>
            <w:right w:w="108" w:type="dxa"/>
          </w:tblCellMar>
        </w:tblPrEx>
        <w:trPr>
          <w:trHeight w:val="720" w:hRule="atLeast"/>
        </w:trPr>
        <w:tc>
          <w:tcPr>
            <w:tcW w:w="724" w:type="dxa"/>
            <w:tcBorders>
              <w:top w:val="nil"/>
              <w:left w:val="single" w:color="auto" w:sz="8" w:space="0"/>
              <w:bottom w:val="single" w:color="auto" w:sz="8" w:space="0"/>
              <w:right w:val="single" w:color="auto" w:sz="8" w:space="0"/>
            </w:tcBorders>
            <w:vAlign w:val="center"/>
          </w:tcPr>
          <w:p w14:paraId="1E830964">
            <w:pPr>
              <w:widowControl/>
              <w:jc w:val="center"/>
              <w:rPr>
                <w:kern w:val="0"/>
                <w:sz w:val="24"/>
              </w:rPr>
            </w:pPr>
            <w:r>
              <w:rPr>
                <w:kern w:val="0"/>
                <w:sz w:val="24"/>
              </w:rPr>
              <w:t>9</w:t>
            </w:r>
          </w:p>
        </w:tc>
        <w:tc>
          <w:tcPr>
            <w:tcW w:w="2410" w:type="dxa"/>
            <w:tcBorders>
              <w:top w:val="nil"/>
              <w:left w:val="nil"/>
              <w:bottom w:val="single" w:color="auto" w:sz="8" w:space="0"/>
              <w:right w:val="single" w:color="auto" w:sz="8" w:space="0"/>
            </w:tcBorders>
            <w:vAlign w:val="center"/>
          </w:tcPr>
          <w:p w14:paraId="240C0B0F">
            <w:pPr>
              <w:widowControl/>
              <w:jc w:val="center"/>
              <w:rPr>
                <w:kern w:val="0"/>
                <w:sz w:val="24"/>
              </w:rPr>
            </w:pPr>
            <w:r>
              <w:rPr>
                <w:kern w:val="0"/>
                <w:sz w:val="24"/>
              </w:rPr>
              <w:t>三亚市发展和改革委员会</w:t>
            </w:r>
          </w:p>
        </w:tc>
        <w:tc>
          <w:tcPr>
            <w:tcW w:w="6291" w:type="dxa"/>
            <w:tcBorders>
              <w:top w:val="nil"/>
              <w:left w:val="nil"/>
              <w:bottom w:val="single" w:color="auto" w:sz="8" w:space="0"/>
              <w:right w:val="single" w:color="auto" w:sz="8" w:space="0"/>
            </w:tcBorders>
            <w:vAlign w:val="center"/>
          </w:tcPr>
          <w:p w14:paraId="7D110E18">
            <w:pPr>
              <w:widowControl/>
              <w:jc w:val="left"/>
              <w:rPr>
                <w:kern w:val="0"/>
                <w:sz w:val="24"/>
              </w:rPr>
            </w:pPr>
            <w:r>
              <w:rPr>
                <w:kern w:val="0"/>
                <w:sz w:val="24"/>
              </w:rPr>
              <w:t>指导思想应体现利用海南自由贸易港政策来推动林业产业的发展，要落实“三区一中心”目标，产业规划要处处体现国际旅游消费中心的要求。这是海南省领导对“十四五”规划编制的要求。</w:t>
            </w:r>
          </w:p>
        </w:tc>
        <w:tc>
          <w:tcPr>
            <w:tcW w:w="4341" w:type="dxa"/>
            <w:tcBorders>
              <w:top w:val="nil"/>
              <w:left w:val="nil"/>
              <w:bottom w:val="single" w:color="auto" w:sz="8" w:space="0"/>
              <w:right w:val="single" w:color="auto" w:sz="8" w:space="0"/>
            </w:tcBorders>
            <w:vAlign w:val="center"/>
          </w:tcPr>
          <w:p w14:paraId="1256B225">
            <w:pPr>
              <w:widowControl/>
              <w:jc w:val="center"/>
              <w:rPr>
                <w:kern w:val="0"/>
                <w:sz w:val="24"/>
              </w:rPr>
            </w:pPr>
            <w:r>
              <w:rPr>
                <w:kern w:val="0"/>
                <w:sz w:val="24"/>
              </w:rPr>
              <w:t>已修改，规划第四章，P26。</w:t>
            </w:r>
          </w:p>
        </w:tc>
      </w:tr>
      <w:tr w14:paraId="124EA9C0">
        <w:tblPrEx>
          <w:tblCellMar>
            <w:top w:w="0" w:type="dxa"/>
            <w:left w:w="108" w:type="dxa"/>
            <w:bottom w:w="0" w:type="dxa"/>
            <w:right w:w="108" w:type="dxa"/>
          </w:tblCellMar>
        </w:tblPrEx>
        <w:trPr>
          <w:trHeight w:val="915" w:hRule="atLeast"/>
        </w:trPr>
        <w:tc>
          <w:tcPr>
            <w:tcW w:w="724" w:type="dxa"/>
            <w:tcBorders>
              <w:top w:val="nil"/>
              <w:left w:val="single" w:color="auto" w:sz="8" w:space="0"/>
              <w:bottom w:val="single" w:color="auto" w:sz="8" w:space="0"/>
              <w:right w:val="single" w:color="auto" w:sz="8" w:space="0"/>
            </w:tcBorders>
            <w:vAlign w:val="center"/>
          </w:tcPr>
          <w:p w14:paraId="5EF5A936">
            <w:pPr>
              <w:widowControl/>
              <w:jc w:val="center"/>
              <w:rPr>
                <w:kern w:val="0"/>
                <w:sz w:val="24"/>
              </w:rPr>
            </w:pPr>
            <w:r>
              <w:rPr>
                <w:kern w:val="0"/>
                <w:sz w:val="24"/>
              </w:rPr>
              <w:t>10</w:t>
            </w:r>
          </w:p>
        </w:tc>
        <w:tc>
          <w:tcPr>
            <w:tcW w:w="2410" w:type="dxa"/>
            <w:tcBorders>
              <w:top w:val="nil"/>
              <w:left w:val="nil"/>
              <w:bottom w:val="single" w:color="auto" w:sz="8" w:space="0"/>
              <w:right w:val="single" w:color="auto" w:sz="8" w:space="0"/>
            </w:tcBorders>
            <w:vAlign w:val="center"/>
          </w:tcPr>
          <w:p w14:paraId="116952B7">
            <w:pPr>
              <w:widowControl/>
              <w:jc w:val="center"/>
              <w:rPr>
                <w:kern w:val="0"/>
                <w:sz w:val="24"/>
              </w:rPr>
            </w:pPr>
            <w:r>
              <w:rPr>
                <w:kern w:val="0"/>
                <w:sz w:val="24"/>
              </w:rPr>
              <w:t>三亚市发展和改革委员会</w:t>
            </w:r>
          </w:p>
        </w:tc>
        <w:tc>
          <w:tcPr>
            <w:tcW w:w="6291" w:type="dxa"/>
            <w:tcBorders>
              <w:top w:val="nil"/>
              <w:left w:val="nil"/>
              <w:bottom w:val="single" w:color="auto" w:sz="8" w:space="0"/>
              <w:right w:val="single" w:color="auto" w:sz="8" w:space="0"/>
            </w:tcBorders>
            <w:vAlign w:val="center"/>
          </w:tcPr>
          <w:p w14:paraId="1096DEA5">
            <w:pPr>
              <w:widowControl/>
              <w:jc w:val="left"/>
              <w:rPr>
                <w:kern w:val="0"/>
                <w:sz w:val="24"/>
              </w:rPr>
            </w:pPr>
            <w:r>
              <w:rPr>
                <w:kern w:val="0"/>
                <w:sz w:val="24"/>
              </w:rPr>
              <w:t>《规划》应突出产业，分析产业，把经济发展目标应在首位，中期未和规划期未达到水平，在分段应有所描述。同时要与规划纲要的目标相衔接。</w:t>
            </w:r>
          </w:p>
        </w:tc>
        <w:tc>
          <w:tcPr>
            <w:tcW w:w="4341" w:type="dxa"/>
            <w:tcBorders>
              <w:top w:val="nil"/>
              <w:left w:val="nil"/>
              <w:bottom w:val="single" w:color="auto" w:sz="8" w:space="0"/>
              <w:right w:val="single" w:color="auto" w:sz="8" w:space="0"/>
            </w:tcBorders>
            <w:vAlign w:val="center"/>
          </w:tcPr>
          <w:p w14:paraId="06E82135">
            <w:pPr>
              <w:widowControl/>
              <w:jc w:val="center"/>
              <w:rPr>
                <w:kern w:val="0"/>
                <w:sz w:val="24"/>
              </w:rPr>
            </w:pPr>
            <w:r>
              <w:rPr>
                <w:kern w:val="0"/>
                <w:sz w:val="24"/>
              </w:rPr>
              <w:t>规划第四章，分为近期目标和中长期目标，P2</w:t>
            </w:r>
            <w:r>
              <w:rPr>
                <w:rFonts w:hint="eastAsia"/>
                <w:kern w:val="0"/>
                <w:sz w:val="24"/>
              </w:rPr>
              <w:t>6</w:t>
            </w:r>
            <w:r>
              <w:rPr>
                <w:kern w:val="0"/>
                <w:sz w:val="24"/>
              </w:rPr>
              <w:t>-2</w:t>
            </w:r>
            <w:r>
              <w:rPr>
                <w:rFonts w:hint="eastAsia"/>
                <w:kern w:val="0"/>
                <w:sz w:val="24"/>
              </w:rPr>
              <w:t>7</w:t>
            </w:r>
            <w:r>
              <w:rPr>
                <w:kern w:val="0"/>
                <w:sz w:val="24"/>
              </w:rPr>
              <w:t>。</w:t>
            </w:r>
          </w:p>
        </w:tc>
      </w:tr>
      <w:tr w14:paraId="39C4FA1E">
        <w:tblPrEx>
          <w:tblCellMar>
            <w:top w:w="0" w:type="dxa"/>
            <w:left w:w="108" w:type="dxa"/>
            <w:bottom w:w="0" w:type="dxa"/>
            <w:right w:w="108" w:type="dxa"/>
          </w:tblCellMar>
        </w:tblPrEx>
        <w:trPr>
          <w:trHeight w:val="915" w:hRule="atLeast"/>
        </w:trPr>
        <w:tc>
          <w:tcPr>
            <w:tcW w:w="724" w:type="dxa"/>
            <w:tcBorders>
              <w:top w:val="nil"/>
              <w:left w:val="single" w:color="auto" w:sz="8" w:space="0"/>
              <w:bottom w:val="single" w:color="auto" w:sz="8" w:space="0"/>
              <w:right w:val="single" w:color="auto" w:sz="8" w:space="0"/>
            </w:tcBorders>
            <w:vAlign w:val="center"/>
          </w:tcPr>
          <w:p w14:paraId="6ED2E6C4">
            <w:pPr>
              <w:widowControl/>
              <w:jc w:val="center"/>
              <w:rPr>
                <w:kern w:val="0"/>
                <w:sz w:val="24"/>
              </w:rPr>
            </w:pPr>
            <w:r>
              <w:rPr>
                <w:kern w:val="0"/>
                <w:sz w:val="24"/>
              </w:rPr>
              <w:t>11</w:t>
            </w:r>
          </w:p>
        </w:tc>
        <w:tc>
          <w:tcPr>
            <w:tcW w:w="2410" w:type="dxa"/>
            <w:tcBorders>
              <w:top w:val="nil"/>
              <w:left w:val="nil"/>
              <w:bottom w:val="single" w:color="auto" w:sz="8" w:space="0"/>
              <w:right w:val="single" w:color="auto" w:sz="8" w:space="0"/>
            </w:tcBorders>
            <w:vAlign w:val="center"/>
          </w:tcPr>
          <w:p w14:paraId="2BEBDA00">
            <w:pPr>
              <w:widowControl/>
              <w:jc w:val="center"/>
              <w:rPr>
                <w:kern w:val="0"/>
                <w:sz w:val="24"/>
              </w:rPr>
            </w:pPr>
            <w:r>
              <w:rPr>
                <w:kern w:val="0"/>
                <w:sz w:val="24"/>
              </w:rPr>
              <w:t>三亚市发展和改革委员会</w:t>
            </w:r>
          </w:p>
        </w:tc>
        <w:tc>
          <w:tcPr>
            <w:tcW w:w="6291" w:type="dxa"/>
            <w:tcBorders>
              <w:top w:val="nil"/>
              <w:left w:val="nil"/>
              <w:bottom w:val="single" w:color="auto" w:sz="8" w:space="0"/>
              <w:right w:val="single" w:color="auto" w:sz="8" w:space="0"/>
            </w:tcBorders>
            <w:vAlign w:val="center"/>
          </w:tcPr>
          <w:p w14:paraId="121701F4">
            <w:pPr>
              <w:widowControl/>
              <w:jc w:val="left"/>
              <w:rPr>
                <w:kern w:val="0"/>
                <w:sz w:val="24"/>
              </w:rPr>
            </w:pPr>
            <w:r>
              <w:rPr>
                <w:kern w:val="0"/>
                <w:sz w:val="24"/>
              </w:rPr>
              <w:t>建议《规划》中提出建设</w:t>
            </w:r>
            <w:r>
              <w:rPr>
                <w:rFonts w:hint="eastAsia"/>
                <w:kern w:val="0"/>
                <w:sz w:val="24"/>
              </w:rPr>
              <w:t>33</w:t>
            </w:r>
            <w:r>
              <w:rPr>
                <w:kern w:val="0"/>
                <w:sz w:val="24"/>
              </w:rPr>
              <w:t>个重点工程</w:t>
            </w:r>
            <w:r>
              <w:rPr>
                <w:rFonts w:hint="eastAsia"/>
                <w:kern w:val="0"/>
                <w:sz w:val="24"/>
              </w:rPr>
              <w:t>6</w:t>
            </w:r>
            <w:r>
              <w:rPr>
                <w:kern w:val="0"/>
                <w:sz w:val="24"/>
              </w:rPr>
              <w:t>9个项目，除了明确需要建设的，其余暂不纳入规划文本中。</w:t>
            </w:r>
          </w:p>
        </w:tc>
        <w:tc>
          <w:tcPr>
            <w:tcW w:w="4341" w:type="dxa"/>
            <w:tcBorders>
              <w:top w:val="nil"/>
              <w:left w:val="nil"/>
              <w:bottom w:val="single" w:color="auto" w:sz="8" w:space="0"/>
              <w:right w:val="single" w:color="auto" w:sz="8" w:space="0"/>
            </w:tcBorders>
            <w:vAlign w:val="center"/>
          </w:tcPr>
          <w:p w14:paraId="17B299DA">
            <w:pPr>
              <w:widowControl/>
              <w:jc w:val="center"/>
              <w:rPr>
                <w:kern w:val="0"/>
                <w:sz w:val="24"/>
              </w:rPr>
            </w:pPr>
            <w:r>
              <w:rPr>
                <w:kern w:val="0"/>
                <w:sz w:val="24"/>
              </w:rPr>
              <w:t>该规划时间为15年，分为近期和中长期，因此所涉及的重点工程和项目数量会较多，近期规划项目为2021~2025年拟实施。　</w:t>
            </w:r>
          </w:p>
        </w:tc>
      </w:tr>
      <w:tr w14:paraId="18E65532">
        <w:tblPrEx>
          <w:tblCellMar>
            <w:top w:w="0" w:type="dxa"/>
            <w:left w:w="108" w:type="dxa"/>
            <w:bottom w:w="0" w:type="dxa"/>
            <w:right w:w="108" w:type="dxa"/>
          </w:tblCellMar>
        </w:tblPrEx>
        <w:trPr>
          <w:trHeight w:val="1155" w:hRule="atLeast"/>
        </w:trPr>
        <w:tc>
          <w:tcPr>
            <w:tcW w:w="724" w:type="dxa"/>
            <w:tcBorders>
              <w:top w:val="nil"/>
              <w:left w:val="single" w:color="auto" w:sz="8" w:space="0"/>
              <w:bottom w:val="single" w:color="auto" w:sz="8" w:space="0"/>
              <w:right w:val="single" w:color="auto" w:sz="8" w:space="0"/>
            </w:tcBorders>
            <w:vAlign w:val="center"/>
          </w:tcPr>
          <w:p w14:paraId="54BC1409">
            <w:pPr>
              <w:widowControl/>
              <w:jc w:val="center"/>
              <w:rPr>
                <w:kern w:val="0"/>
                <w:sz w:val="24"/>
              </w:rPr>
            </w:pPr>
            <w:r>
              <w:rPr>
                <w:kern w:val="0"/>
                <w:sz w:val="24"/>
              </w:rPr>
              <w:t>12</w:t>
            </w:r>
          </w:p>
        </w:tc>
        <w:tc>
          <w:tcPr>
            <w:tcW w:w="2410" w:type="dxa"/>
            <w:tcBorders>
              <w:top w:val="nil"/>
              <w:left w:val="nil"/>
              <w:bottom w:val="single" w:color="auto" w:sz="8" w:space="0"/>
              <w:right w:val="single" w:color="auto" w:sz="8" w:space="0"/>
            </w:tcBorders>
            <w:vAlign w:val="center"/>
          </w:tcPr>
          <w:p w14:paraId="4E596D84">
            <w:pPr>
              <w:widowControl/>
              <w:jc w:val="center"/>
              <w:rPr>
                <w:kern w:val="0"/>
                <w:sz w:val="24"/>
              </w:rPr>
            </w:pPr>
            <w:r>
              <w:rPr>
                <w:kern w:val="0"/>
                <w:sz w:val="24"/>
              </w:rPr>
              <w:t>三亚市发展和改革委员会</w:t>
            </w:r>
          </w:p>
        </w:tc>
        <w:tc>
          <w:tcPr>
            <w:tcW w:w="6291" w:type="dxa"/>
            <w:tcBorders>
              <w:top w:val="nil"/>
              <w:left w:val="nil"/>
              <w:bottom w:val="single" w:color="auto" w:sz="8" w:space="0"/>
              <w:right w:val="single" w:color="auto" w:sz="8" w:space="0"/>
            </w:tcBorders>
            <w:vAlign w:val="center"/>
          </w:tcPr>
          <w:p w14:paraId="57CB4F65">
            <w:pPr>
              <w:widowControl/>
              <w:jc w:val="left"/>
              <w:rPr>
                <w:kern w:val="0"/>
                <w:sz w:val="24"/>
              </w:rPr>
            </w:pPr>
            <w:r>
              <w:rPr>
                <w:kern w:val="0"/>
                <w:sz w:val="24"/>
              </w:rPr>
              <w:t>建议《规划》要紧密结合当前形势，特别是海南自由贸易港政策带来的重大机遇，要深入分析优势、劣势等；同时，应考虑当前三亚林业产业发展问题提出任务和措施，以问题为导向来编制规划。</w:t>
            </w:r>
          </w:p>
        </w:tc>
        <w:tc>
          <w:tcPr>
            <w:tcW w:w="4341" w:type="dxa"/>
            <w:tcBorders>
              <w:top w:val="nil"/>
              <w:left w:val="nil"/>
              <w:bottom w:val="single" w:color="auto" w:sz="8" w:space="0"/>
              <w:right w:val="single" w:color="auto" w:sz="8" w:space="0"/>
            </w:tcBorders>
            <w:vAlign w:val="center"/>
          </w:tcPr>
          <w:p w14:paraId="2DB1CBDB">
            <w:pPr>
              <w:widowControl/>
              <w:jc w:val="left"/>
              <w:rPr>
                <w:kern w:val="0"/>
                <w:sz w:val="24"/>
              </w:rPr>
            </w:pPr>
            <w:r>
              <w:rPr>
                <w:kern w:val="0"/>
                <w:sz w:val="24"/>
              </w:rPr>
              <w:t>接受意见。规划在第三章、第四章明确林业产业发展的优势与劣势，结合实际情况，提出各产业的规划目标与主要工程或内容。</w:t>
            </w:r>
          </w:p>
        </w:tc>
      </w:tr>
      <w:tr w14:paraId="4F1A46C8">
        <w:tblPrEx>
          <w:tblCellMar>
            <w:top w:w="0" w:type="dxa"/>
            <w:left w:w="108" w:type="dxa"/>
            <w:bottom w:w="0" w:type="dxa"/>
            <w:right w:w="108" w:type="dxa"/>
          </w:tblCellMar>
        </w:tblPrEx>
        <w:trPr>
          <w:trHeight w:val="1815" w:hRule="atLeast"/>
        </w:trPr>
        <w:tc>
          <w:tcPr>
            <w:tcW w:w="724" w:type="dxa"/>
            <w:tcBorders>
              <w:top w:val="nil"/>
              <w:left w:val="single" w:color="auto" w:sz="8" w:space="0"/>
              <w:bottom w:val="single" w:color="auto" w:sz="8" w:space="0"/>
              <w:right w:val="single" w:color="auto" w:sz="8" w:space="0"/>
            </w:tcBorders>
            <w:vAlign w:val="center"/>
          </w:tcPr>
          <w:p w14:paraId="575F2153">
            <w:pPr>
              <w:widowControl/>
              <w:jc w:val="center"/>
              <w:rPr>
                <w:kern w:val="0"/>
                <w:sz w:val="24"/>
              </w:rPr>
            </w:pPr>
            <w:r>
              <w:rPr>
                <w:kern w:val="0"/>
                <w:sz w:val="24"/>
              </w:rPr>
              <w:t>13</w:t>
            </w:r>
          </w:p>
        </w:tc>
        <w:tc>
          <w:tcPr>
            <w:tcW w:w="2410" w:type="dxa"/>
            <w:tcBorders>
              <w:top w:val="nil"/>
              <w:left w:val="nil"/>
              <w:bottom w:val="single" w:color="auto" w:sz="8" w:space="0"/>
              <w:right w:val="single" w:color="auto" w:sz="8" w:space="0"/>
            </w:tcBorders>
            <w:vAlign w:val="center"/>
          </w:tcPr>
          <w:p w14:paraId="778E55E6">
            <w:pPr>
              <w:widowControl/>
              <w:jc w:val="center"/>
              <w:rPr>
                <w:kern w:val="0"/>
                <w:sz w:val="24"/>
              </w:rPr>
            </w:pPr>
            <w:r>
              <w:rPr>
                <w:kern w:val="0"/>
                <w:sz w:val="24"/>
              </w:rPr>
              <w:t>专家</w:t>
            </w:r>
          </w:p>
        </w:tc>
        <w:tc>
          <w:tcPr>
            <w:tcW w:w="6291" w:type="dxa"/>
            <w:tcBorders>
              <w:top w:val="nil"/>
              <w:left w:val="nil"/>
              <w:bottom w:val="single" w:color="auto" w:sz="8" w:space="0"/>
              <w:right w:val="single" w:color="auto" w:sz="8" w:space="0"/>
            </w:tcBorders>
            <w:vAlign w:val="center"/>
          </w:tcPr>
          <w:p w14:paraId="2A825636">
            <w:pPr>
              <w:widowControl/>
              <w:jc w:val="left"/>
              <w:rPr>
                <w:kern w:val="0"/>
                <w:sz w:val="24"/>
              </w:rPr>
            </w:pPr>
            <w:r>
              <w:rPr>
                <w:kern w:val="0"/>
                <w:sz w:val="24"/>
              </w:rPr>
              <w:t>产业方面没有充分体现三亚作为热带地区、濒海及自贸区的特点和优势。应该 (1)大力发展鲜切花产业，包括种植、加工、物流、检测及市场监督等。(2)大力发展养生、旅游，内容涉及全产业链。同时考虑生态安全及环境保护。(3)大力发展热带水果产业。(4)面向国际市场。（5）增加林产品采集加工集群建设工程。</w:t>
            </w:r>
          </w:p>
        </w:tc>
        <w:tc>
          <w:tcPr>
            <w:tcW w:w="4341" w:type="dxa"/>
            <w:tcBorders>
              <w:top w:val="nil"/>
              <w:left w:val="nil"/>
              <w:bottom w:val="single" w:color="auto" w:sz="8" w:space="0"/>
              <w:right w:val="single" w:color="auto" w:sz="8" w:space="0"/>
            </w:tcBorders>
            <w:vAlign w:val="center"/>
          </w:tcPr>
          <w:p w14:paraId="6532209E">
            <w:pPr>
              <w:widowControl/>
              <w:jc w:val="left"/>
              <w:rPr>
                <w:kern w:val="0"/>
                <w:sz w:val="24"/>
              </w:rPr>
            </w:pPr>
            <w:r>
              <w:rPr>
                <w:kern w:val="0"/>
                <w:sz w:val="24"/>
              </w:rPr>
              <w:t>接受意见。规划第六章、第七章</w:t>
            </w:r>
            <w:r>
              <w:rPr>
                <w:rFonts w:hint="eastAsia"/>
                <w:kern w:val="0"/>
                <w:sz w:val="24"/>
              </w:rPr>
              <w:t>、</w:t>
            </w:r>
            <w:r>
              <w:rPr>
                <w:kern w:val="0"/>
                <w:sz w:val="24"/>
              </w:rPr>
              <w:t>第八章和第十章分别在森林旅游与森康养、林木种苗与花卉、用材林、经济林产业中加入重点工程或内容。</w:t>
            </w:r>
          </w:p>
        </w:tc>
      </w:tr>
      <w:tr w14:paraId="06051C18">
        <w:tblPrEx>
          <w:tblCellMar>
            <w:top w:w="0" w:type="dxa"/>
            <w:left w:w="108" w:type="dxa"/>
            <w:bottom w:w="0" w:type="dxa"/>
            <w:right w:w="108" w:type="dxa"/>
          </w:tblCellMar>
        </w:tblPrEx>
        <w:trPr>
          <w:trHeight w:val="900" w:hRule="atLeast"/>
        </w:trPr>
        <w:tc>
          <w:tcPr>
            <w:tcW w:w="724" w:type="dxa"/>
            <w:tcBorders>
              <w:top w:val="nil"/>
              <w:left w:val="single" w:color="auto" w:sz="8" w:space="0"/>
              <w:bottom w:val="single" w:color="auto" w:sz="8" w:space="0"/>
              <w:right w:val="single" w:color="auto" w:sz="8" w:space="0"/>
            </w:tcBorders>
            <w:vAlign w:val="center"/>
          </w:tcPr>
          <w:p w14:paraId="3E1A4A63">
            <w:pPr>
              <w:widowControl/>
              <w:jc w:val="center"/>
              <w:rPr>
                <w:kern w:val="0"/>
                <w:sz w:val="24"/>
              </w:rPr>
            </w:pPr>
            <w:r>
              <w:rPr>
                <w:kern w:val="0"/>
                <w:sz w:val="24"/>
              </w:rPr>
              <w:t>14</w:t>
            </w:r>
          </w:p>
        </w:tc>
        <w:tc>
          <w:tcPr>
            <w:tcW w:w="2410" w:type="dxa"/>
            <w:tcBorders>
              <w:top w:val="nil"/>
              <w:left w:val="nil"/>
              <w:bottom w:val="single" w:color="auto" w:sz="8" w:space="0"/>
              <w:right w:val="single" w:color="auto" w:sz="8" w:space="0"/>
            </w:tcBorders>
            <w:vAlign w:val="center"/>
          </w:tcPr>
          <w:p w14:paraId="11A488BE">
            <w:pPr>
              <w:widowControl/>
              <w:jc w:val="center"/>
              <w:rPr>
                <w:kern w:val="0"/>
                <w:sz w:val="24"/>
              </w:rPr>
            </w:pPr>
            <w:r>
              <w:rPr>
                <w:kern w:val="0"/>
                <w:sz w:val="24"/>
              </w:rPr>
              <w:t>专家</w:t>
            </w:r>
          </w:p>
        </w:tc>
        <w:tc>
          <w:tcPr>
            <w:tcW w:w="6291" w:type="dxa"/>
            <w:tcBorders>
              <w:top w:val="nil"/>
              <w:left w:val="nil"/>
              <w:bottom w:val="single" w:color="auto" w:sz="8" w:space="0"/>
              <w:right w:val="single" w:color="auto" w:sz="8" w:space="0"/>
            </w:tcBorders>
            <w:vAlign w:val="center"/>
          </w:tcPr>
          <w:p w14:paraId="701E8D27">
            <w:pPr>
              <w:widowControl/>
              <w:jc w:val="left"/>
              <w:rPr>
                <w:kern w:val="0"/>
                <w:sz w:val="24"/>
              </w:rPr>
            </w:pPr>
            <w:r>
              <w:rPr>
                <w:kern w:val="0"/>
                <w:sz w:val="24"/>
              </w:rPr>
              <w:t>把商品林拆分为2个，经济林产业规划和用材林产业规划，充实相关内容，橡胶最好放在经济林部分；作为中长期规划，还是要考虑加工产业。</w:t>
            </w:r>
          </w:p>
        </w:tc>
        <w:tc>
          <w:tcPr>
            <w:tcW w:w="4341" w:type="dxa"/>
            <w:tcBorders>
              <w:top w:val="nil"/>
              <w:left w:val="nil"/>
              <w:bottom w:val="single" w:color="auto" w:sz="8" w:space="0"/>
              <w:right w:val="single" w:color="auto" w:sz="8" w:space="0"/>
            </w:tcBorders>
            <w:vAlign w:val="center"/>
          </w:tcPr>
          <w:p w14:paraId="5F1A10D8">
            <w:pPr>
              <w:widowControl/>
              <w:rPr>
                <w:kern w:val="0"/>
                <w:sz w:val="24"/>
              </w:rPr>
            </w:pPr>
            <w:r>
              <w:rPr>
                <w:kern w:val="0"/>
                <w:sz w:val="24"/>
              </w:rPr>
              <w:t>接受意见。</w:t>
            </w:r>
            <w:r>
              <w:rPr>
                <w:rFonts w:hint="eastAsia"/>
                <w:kern w:val="0"/>
                <w:sz w:val="24"/>
              </w:rPr>
              <w:t>规划</w:t>
            </w:r>
            <w:r>
              <w:rPr>
                <w:kern w:val="0"/>
                <w:sz w:val="24"/>
              </w:rPr>
              <w:t>第八章和第</w:t>
            </w:r>
            <w:r>
              <w:rPr>
                <w:rFonts w:hint="eastAsia"/>
                <w:kern w:val="0"/>
                <w:sz w:val="24"/>
              </w:rPr>
              <w:t>九</w:t>
            </w:r>
            <w:r>
              <w:rPr>
                <w:kern w:val="0"/>
                <w:sz w:val="24"/>
              </w:rPr>
              <w:t>章已进行调整修改，</w:t>
            </w:r>
            <w:r>
              <w:rPr>
                <w:rFonts w:hint="eastAsia"/>
                <w:kern w:val="0"/>
                <w:sz w:val="24"/>
              </w:rPr>
              <w:t>P70-90。</w:t>
            </w:r>
            <w:r>
              <w:rPr>
                <w:kern w:val="0"/>
                <w:sz w:val="24"/>
              </w:rPr>
              <w:t>　</w:t>
            </w:r>
          </w:p>
        </w:tc>
      </w:tr>
      <w:tr w14:paraId="0045A972">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0D136E3C">
            <w:pPr>
              <w:widowControl/>
              <w:jc w:val="center"/>
              <w:rPr>
                <w:kern w:val="0"/>
                <w:sz w:val="24"/>
              </w:rPr>
            </w:pPr>
            <w:r>
              <w:rPr>
                <w:kern w:val="0"/>
                <w:sz w:val="24"/>
              </w:rPr>
              <w:t>15</w:t>
            </w:r>
          </w:p>
        </w:tc>
        <w:tc>
          <w:tcPr>
            <w:tcW w:w="2410" w:type="dxa"/>
            <w:tcBorders>
              <w:top w:val="nil"/>
              <w:left w:val="nil"/>
              <w:bottom w:val="single" w:color="auto" w:sz="8" w:space="0"/>
              <w:right w:val="single" w:color="auto" w:sz="8" w:space="0"/>
            </w:tcBorders>
            <w:vAlign w:val="center"/>
          </w:tcPr>
          <w:p w14:paraId="3D789909">
            <w:pPr>
              <w:widowControl/>
              <w:jc w:val="center"/>
              <w:rPr>
                <w:kern w:val="0"/>
                <w:sz w:val="24"/>
              </w:rPr>
            </w:pPr>
            <w:r>
              <w:rPr>
                <w:kern w:val="0"/>
                <w:sz w:val="24"/>
              </w:rPr>
              <w:t>专家</w:t>
            </w:r>
          </w:p>
        </w:tc>
        <w:tc>
          <w:tcPr>
            <w:tcW w:w="6291" w:type="dxa"/>
            <w:tcBorders>
              <w:top w:val="nil"/>
              <w:left w:val="nil"/>
              <w:bottom w:val="single" w:color="auto" w:sz="8" w:space="0"/>
              <w:right w:val="single" w:color="auto" w:sz="8" w:space="0"/>
            </w:tcBorders>
            <w:vAlign w:val="center"/>
          </w:tcPr>
          <w:p w14:paraId="5693D2AC">
            <w:pPr>
              <w:widowControl/>
              <w:jc w:val="left"/>
              <w:rPr>
                <w:kern w:val="0"/>
                <w:sz w:val="24"/>
              </w:rPr>
            </w:pPr>
            <w:r>
              <w:rPr>
                <w:kern w:val="0"/>
                <w:sz w:val="24"/>
              </w:rPr>
              <w:t>第2章与第三章调换，先讲产业发展条件，然后再讲述产业概况和制约因素</w:t>
            </w:r>
          </w:p>
        </w:tc>
        <w:tc>
          <w:tcPr>
            <w:tcW w:w="4341" w:type="dxa"/>
            <w:tcBorders>
              <w:top w:val="nil"/>
              <w:left w:val="nil"/>
              <w:bottom w:val="single" w:color="auto" w:sz="8" w:space="0"/>
              <w:right w:val="single" w:color="auto" w:sz="8" w:space="0"/>
            </w:tcBorders>
            <w:vAlign w:val="center"/>
          </w:tcPr>
          <w:p w14:paraId="0005F99D">
            <w:pPr>
              <w:widowControl/>
              <w:jc w:val="left"/>
              <w:rPr>
                <w:kern w:val="0"/>
                <w:sz w:val="24"/>
              </w:rPr>
            </w:pPr>
            <w:r>
              <w:rPr>
                <w:kern w:val="0"/>
                <w:sz w:val="24"/>
              </w:rPr>
              <w:t>已修改，规划第三章，</w:t>
            </w:r>
            <w:r>
              <w:rPr>
                <w:rFonts w:hint="eastAsia"/>
                <w:kern w:val="0"/>
                <w:sz w:val="24"/>
              </w:rPr>
              <w:t>P18-25。</w:t>
            </w:r>
          </w:p>
        </w:tc>
      </w:tr>
      <w:tr w14:paraId="61B8CF3E">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0B8230BE">
            <w:pPr>
              <w:widowControl/>
              <w:jc w:val="center"/>
              <w:rPr>
                <w:kern w:val="0"/>
                <w:sz w:val="24"/>
              </w:rPr>
            </w:pPr>
            <w:r>
              <w:rPr>
                <w:kern w:val="0"/>
                <w:sz w:val="24"/>
              </w:rPr>
              <w:t>16</w:t>
            </w:r>
          </w:p>
        </w:tc>
        <w:tc>
          <w:tcPr>
            <w:tcW w:w="2410" w:type="dxa"/>
            <w:tcBorders>
              <w:top w:val="nil"/>
              <w:left w:val="nil"/>
              <w:bottom w:val="single" w:color="auto" w:sz="8" w:space="0"/>
              <w:right w:val="single" w:color="auto" w:sz="8" w:space="0"/>
            </w:tcBorders>
            <w:vAlign w:val="center"/>
          </w:tcPr>
          <w:p w14:paraId="1C949E3E">
            <w:pPr>
              <w:widowControl/>
              <w:jc w:val="center"/>
              <w:rPr>
                <w:kern w:val="0"/>
                <w:sz w:val="24"/>
              </w:rPr>
            </w:pPr>
            <w:r>
              <w:rPr>
                <w:kern w:val="0"/>
                <w:sz w:val="24"/>
              </w:rPr>
              <w:t>专家</w:t>
            </w:r>
          </w:p>
        </w:tc>
        <w:tc>
          <w:tcPr>
            <w:tcW w:w="6291" w:type="dxa"/>
            <w:tcBorders>
              <w:top w:val="nil"/>
              <w:left w:val="nil"/>
              <w:bottom w:val="single" w:color="auto" w:sz="8" w:space="0"/>
              <w:right w:val="single" w:color="auto" w:sz="8" w:space="0"/>
            </w:tcBorders>
            <w:vAlign w:val="center"/>
          </w:tcPr>
          <w:p w14:paraId="0C877E4B">
            <w:pPr>
              <w:widowControl/>
              <w:jc w:val="left"/>
              <w:rPr>
                <w:kern w:val="0"/>
                <w:sz w:val="24"/>
              </w:rPr>
            </w:pPr>
            <w:r>
              <w:rPr>
                <w:kern w:val="0"/>
                <w:sz w:val="24"/>
              </w:rPr>
              <w:t>第四章后增加1章：林业产业总体布局。将各项专项产业规划融合，在整体上叙述三亚市林业产业布局和任务。</w:t>
            </w:r>
          </w:p>
        </w:tc>
        <w:tc>
          <w:tcPr>
            <w:tcW w:w="4341" w:type="dxa"/>
            <w:tcBorders>
              <w:top w:val="nil"/>
              <w:left w:val="nil"/>
              <w:bottom w:val="single" w:color="auto" w:sz="8" w:space="0"/>
              <w:right w:val="single" w:color="auto" w:sz="8" w:space="0"/>
            </w:tcBorders>
            <w:vAlign w:val="center"/>
          </w:tcPr>
          <w:p w14:paraId="4504BC4E">
            <w:pPr>
              <w:widowControl/>
              <w:jc w:val="center"/>
              <w:rPr>
                <w:kern w:val="0"/>
                <w:sz w:val="24"/>
              </w:rPr>
            </w:pPr>
            <w:r>
              <w:rPr>
                <w:kern w:val="0"/>
                <w:sz w:val="24"/>
              </w:rPr>
              <w:t>已修改，规划第四章，</w:t>
            </w:r>
            <w:r>
              <w:rPr>
                <w:rFonts w:hint="eastAsia"/>
                <w:kern w:val="0"/>
                <w:sz w:val="24"/>
              </w:rPr>
              <w:t>P28-29。</w:t>
            </w:r>
            <w:r>
              <w:rPr>
                <w:kern w:val="0"/>
                <w:sz w:val="24"/>
              </w:rPr>
              <w:t>　</w:t>
            </w:r>
          </w:p>
        </w:tc>
      </w:tr>
      <w:tr w14:paraId="6CB68780">
        <w:tblPrEx>
          <w:tblCellMar>
            <w:top w:w="0" w:type="dxa"/>
            <w:left w:w="108" w:type="dxa"/>
            <w:bottom w:w="0" w:type="dxa"/>
            <w:right w:w="108" w:type="dxa"/>
          </w:tblCellMar>
        </w:tblPrEx>
        <w:trPr>
          <w:trHeight w:val="645" w:hRule="atLeast"/>
        </w:trPr>
        <w:tc>
          <w:tcPr>
            <w:tcW w:w="724" w:type="dxa"/>
            <w:tcBorders>
              <w:top w:val="nil"/>
              <w:left w:val="single" w:color="auto" w:sz="8" w:space="0"/>
              <w:bottom w:val="single" w:color="auto" w:sz="8" w:space="0"/>
              <w:right w:val="single" w:color="auto" w:sz="8" w:space="0"/>
            </w:tcBorders>
            <w:vAlign w:val="center"/>
          </w:tcPr>
          <w:p w14:paraId="09F36A06">
            <w:pPr>
              <w:widowControl/>
              <w:jc w:val="center"/>
              <w:rPr>
                <w:kern w:val="0"/>
                <w:sz w:val="24"/>
              </w:rPr>
            </w:pPr>
            <w:r>
              <w:rPr>
                <w:kern w:val="0"/>
                <w:sz w:val="24"/>
              </w:rPr>
              <w:t>17</w:t>
            </w:r>
          </w:p>
        </w:tc>
        <w:tc>
          <w:tcPr>
            <w:tcW w:w="2410" w:type="dxa"/>
            <w:tcBorders>
              <w:top w:val="nil"/>
              <w:left w:val="nil"/>
              <w:bottom w:val="single" w:color="auto" w:sz="8" w:space="0"/>
              <w:right w:val="single" w:color="auto" w:sz="8" w:space="0"/>
            </w:tcBorders>
            <w:vAlign w:val="center"/>
          </w:tcPr>
          <w:p w14:paraId="5A371C41">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0F43CCAC">
            <w:pPr>
              <w:widowControl/>
              <w:jc w:val="left"/>
              <w:rPr>
                <w:kern w:val="0"/>
                <w:sz w:val="24"/>
              </w:rPr>
            </w:pPr>
            <w:r>
              <w:rPr>
                <w:kern w:val="0"/>
                <w:sz w:val="24"/>
              </w:rPr>
              <w:t>1.5.1 规划目标 要站在高的角度定位，建议修改为“提升区域林业产业规模化、集约化、现代化”</w:t>
            </w:r>
          </w:p>
        </w:tc>
        <w:tc>
          <w:tcPr>
            <w:tcW w:w="4341" w:type="dxa"/>
            <w:tcBorders>
              <w:top w:val="nil"/>
              <w:left w:val="nil"/>
              <w:bottom w:val="single" w:color="auto" w:sz="8" w:space="0"/>
              <w:right w:val="single" w:color="auto" w:sz="8" w:space="0"/>
            </w:tcBorders>
            <w:vAlign w:val="center"/>
          </w:tcPr>
          <w:p w14:paraId="370F9AE8">
            <w:pPr>
              <w:widowControl/>
              <w:jc w:val="center"/>
              <w:rPr>
                <w:kern w:val="0"/>
                <w:sz w:val="24"/>
              </w:rPr>
            </w:pPr>
            <w:r>
              <w:rPr>
                <w:kern w:val="0"/>
                <w:sz w:val="24"/>
              </w:rPr>
              <w:t>已修改，规划第一章，</w:t>
            </w:r>
            <w:r>
              <w:rPr>
                <w:rFonts w:hint="eastAsia"/>
                <w:kern w:val="0"/>
                <w:sz w:val="24"/>
              </w:rPr>
              <w:t>P1。</w:t>
            </w:r>
          </w:p>
        </w:tc>
      </w:tr>
      <w:tr w14:paraId="65A467AA">
        <w:tblPrEx>
          <w:tblCellMar>
            <w:top w:w="0" w:type="dxa"/>
            <w:left w:w="108" w:type="dxa"/>
            <w:bottom w:w="0" w:type="dxa"/>
            <w:right w:w="108" w:type="dxa"/>
          </w:tblCellMar>
        </w:tblPrEx>
        <w:trPr>
          <w:trHeight w:val="645" w:hRule="atLeast"/>
        </w:trPr>
        <w:tc>
          <w:tcPr>
            <w:tcW w:w="724" w:type="dxa"/>
            <w:tcBorders>
              <w:top w:val="nil"/>
              <w:left w:val="single" w:color="auto" w:sz="8" w:space="0"/>
              <w:bottom w:val="single" w:color="auto" w:sz="8" w:space="0"/>
              <w:right w:val="single" w:color="auto" w:sz="8" w:space="0"/>
            </w:tcBorders>
            <w:vAlign w:val="center"/>
          </w:tcPr>
          <w:p w14:paraId="317935CF">
            <w:pPr>
              <w:widowControl/>
              <w:jc w:val="center"/>
              <w:rPr>
                <w:kern w:val="0"/>
                <w:sz w:val="24"/>
              </w:rPr>
            </w:pPr>
            <w:r>
              <w:rPr>
                <w:kern w:val="0"/>
                <w:sz w:val="24"/>
              </w:rPr>
              <w:t>18</w:t>
            </w:r>
          </w:p>
        </w:tc>
        <w:tc>
          <w:tcPr>
            <w:tcW w:w="2410" w:type="dxa"/>
            <w:tcBorders>
              <w:top w:val="nil"/>
              <w:left w:val="nil"/>
              <w:bottom w:val="single" w:color="auto" w:sz="8" w:space="0"/>
              <w:right w:val="single" w:color="auto" w:sz="8" w:space="0"/>
            </w:tcBorders>
            <w:vAlign w:val="center"/>
          </w:tcPr>
          <w:p w14:paraId="121206DE">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589E1CC2">
            <w:pPr>
              <w:widowControl/>
              <w:jc w:val="left"/>
              <w:rPr>
                <w:kern w:val="0"/>
                <w:sz w:val="24"/>
              </w:rPr>
            </w:pPr>
            <w:r>
              <w:rPr>
                <w:kern w:val="0"/>
                <w:sz w:val="24"/>
              </w:rPr>
              <w:t>4.4.1 基本原则中建议（5）修改为“坚持高新科技和技术提升原则”</w:t>
            </w:r>
          </w:p>
        </w:tc>
        <w:tc>
          <w:tcPr>
            <w:tcW w:w="4341" w:type="dxa"/>
            <w:tcBorders>
              <w:top w:val="nil"/>
              <w:left w:val="nil"/>
              <w:bottom w:val="single" w:color="auto" w:sz="8" w:space="0"/>
              <w:right w:val="single" w:color="auto" w:sz="8" w:space="0"/>
            </w:tcBorders>
            <w:vAlign w:val="center"/>
          </w:tcPr>
          <w:p w14:paraId="44C21B76">
            <w:pPr>
              <w:widowControl/>
              <w:jc w:val="center"/>
              <w:rPr>
                <w:kern w:val="0"/>
                <w:sz w:val="24"/>
              </w:rPr>
            </w:pPr>
            <w:r>
              <w:rPr>
                <w:kern w:val="0"/>
                <w:sz w:val="24"/>
              </w:rPr>
              <w:t>已修改，规划第四章，</w:t>
            </w:r>
            <w:r>
              <w:rPr>
                <w:rFonts w:hint="eastAsia"/>
                <w:kern w:val="0"/>
                <w:sz w:val="24"/>
              </w:rPr>
              <w:t>P31。</w:t>
            </w:r>
          </w:p>
        </w:tc>
      </w:tr>
      <w:tr w14:paraId="5292926C">
        <w:tblPrEx>
          <w:tblCellMar>
            <w:top w:w="0" w:type="dxa"/>
            <w:left w:w="108" w:type="dxa"/>
            <w:bottom w:w="0" w:type="dxa"/>
            <w:right w:w="108" w:type="dxa"/>
          </w:tblCellMar>
        </w:tblPrEx>
        <w:trPr>
          <w:trHeight w:val="1215" w:hRule="atLeast"/>
        </w:trPr>
        <w:tc>
          <w:tcPr>
            <w:tcW w:w="724" w:type="dxa"/>
            <w:tcBorders>
              <w:top w:val="nil"/>
              <w:left w:val="single" w:color="auto" w:sz="8" w:space="0"/>
              <w:bottom w:val="single" w:color="auto" w:sz="8" w:space="0"/>
              <w:right w:val="single" w:color="auto" w:sz="8" w:space="0"/>
            </w:tcBorders>
            <w:vAlign w:val="center"/>
          </w:tcPr>
          <w:p w14:paraId="6F29D0E0">
            <w:pPr>
              <w:widowControl/>
              <w:jc w:val="center"/>
              <w:rPr>
                <w:kern w:val="0"/>
                <w:sz w:val="24"/>
              </w:rPr>
            </w:pPr>
            <w:r>
              <w:rPr>
                <w:kern w:val="0"/>
                <w:sz w:val="24"/>
              </w:rPr>
              <w:t>19</w:t>
            </w:r>
          </w:p>
        </w:tc>
        <w:tc>
          <w:tcPr>
            <w:tcW w:w="2410" w:type="dxa"/>
            <w:tcBorders>
              <w:top w:val="nil"/>
              <w:left w:val="nil"/>
              <w:bottom w:val="single" w:color="auto" w:sz="8" w:space="0"/>
              <w:right w:val="single" w:color="auto" w:sz="8" w:space="0"/>
            </w:tcBorders>
            <w:vAlign w:val="center"/>
          </w:tcPr>
          <w:p w14:paraId="323F25B3">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3B96157A">
            <w:pPr>
              <w:widowControl/>
              <w:jc w:val="left"/>
              <w:rPr>
                <w:kern w:val="0"/>
                <w:sz w:val="24"/>
              </w:rPr>
            </w:pPr>
            <w:r>
              <w:rPr>
                <w:kern w:val="0"/>
                <w:sz w:val="24"/>
              </w:rPr>
              <w:t>建议在林木种苗与花卉产业中打造育才花卉产业园、三角梅主题公园、隔离孵化基地、花卉小镇增加3~5处、林产品多功能交易市场；在森林旅游与康养产业中增加近期康养基地5处；在林下经济产业中近期发展合作社50家</w:t>
            </w:r>
          </w:p>
        </w:tc>
        <w:tc>
          <w:tcPr>
            <w:tcW w:w="4341" w:type="dxa"/>
            <w:tcBorders>
              <w:top w:val="nil"/>
              <w:left w:val="nil"/>
              <w:bottom w:val="single" w:color="auto" w:sz="8" w:space="0"/>
              <w:right w:val="single" w:color="auto" w:sz="8" w:space="0"/>
            </w:tcBorders>
            <w:vAlign w:val="center"/>
          </w:tcPr>
          <w:p w14:paraId="07C2ADCF">
            <w:pPr>
              <w:widowControl/>
              <w:jc w:val="left"/>
              <w:rPr>
                <w:kern w:val="0"/>
                <w:sz w:val="24"/>
              </w:rPr>
            </w:pPr>
            <w:r>
              <w:rPr>
                <w:kern w:val="0"/>
                <w:sz w:val="24"/>
              </w:rPr>
              <w:t>接受意见。规划第六章、第七章、第九章和第十章的重点工程或内容分别对应增加。</w:t>
            </w:r>
          </w:p>
        </w:tc>
      </w:tr>
      <w:tr w14:paraId="369C7B3B">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5C082A3A">
            <w:pPr>
              <w:widowControl/>
              <w:jc w:val="center"/>
              <w:rPr>
                <w:kern w:val="0"/>
                <w:sz w:val="24"/>
              </w:rPr>
            </w:pPr>
            <w:r>
              <w:rPr>
                <w:kern w:val="0"/>
                <w:sz w:val="24"/>
              </w:rPr>
              <w:t>20</w:t>
            </w:r>
          </w:p>
        </w:tc>
        <w:tc>
          <w:tcPr>
            <w:tcW w:w="2410" w:type="dxa"/>
            <w:tcBorders>
              <w:top w:val="nil"/>
              <w:left w:val="nil"/>
              <w:bottom w:val="single" w:color="auto" w:sz="8" w:space="0"/>
              <w:right w:val="single" w:color="auto" w:sz="8" w:space="0"/>
            </w:tcBorders>
            <w:vAlign w:val="center"/>
          </w:tcPr>
          <w:p w14:paraId="4048C99D">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436B5E02">
            <w:pPr>
              <w:widowControl/>
              <w:jc w:val="left"/>
              <w:rPr>
                <w:kern w:val="0"/>
                <w:sz w:val="24"/>
              </w:rPr>
            </w:pPr>
            <w:r>
              <w:rPr>
                <w:kern w:val="0"/>
                <w:sz w:val="24"/>
              </w:rPr>
              <w:t>4.4.2 规划依据 法律法规以最新，按法律法规、政策文件、相关规划顺序排序</w:t>
            </w:r>
          </w:p>
        </w:tc>
        <w:tc>
          <w:tcPr>
            <w:tcW w:w="4341" w:type="dxa"/>
            <w:tcBorders>
              <w:top w:val="nil"/>
              <w:left w:val="nil"/>
              <w:bottom w:val="single" w:color="auto" w:sz="8" w:space="0"/>
              <w:right w:val="single" w:color="auto" w:sz="8" w:space="0"/>
            </w:tcBorders>
            <w:vAlign w:val="center"/>
          </w:tcPr>
          <w:p w14:paraId="090241A1">
            <w:pPr>
              <w:widowControl/>
              <w:rPr>
                <w:kern w:val="0"/>
                <w:sz w:val="24"/>
              </w:rPr>
            </w:pPr>
            <w:r>
              <w:rPr>
                <w:rFonts w:hint="eastAsia"/>
                <w:kern w:val="0"/>
                <w:sz w:val="24"/>
              </w:rPr>
              <w:t>已修改，规划</w:t>
            </w:r>
            <w:r>
              <w:rPr>
                <w:kern w:val="0"/>
                <w:sz w:val="24"/>
              </w:rPr>
              <w:t>第四章，</w:t>
            </w:r>
            <w:r>
              <w:rPr>
                <w:rFonts w:hint="eastAsia"/>
                <w:kern w:val="0"/>
                <w:sz w:val="24"/>
              </w:rPr>
              <w:t>P31-35。</w:t>
            </w:r>
          </w:p>
        </w:tc>
      </w:tr>
      <w:tr w14:paraId="0CC1BBDC">
        <w:tblPrEx>
          <w:tblCellMar>
            <w:top w:w="0" w:type="dxa"/>
            <w:left w:w="108" w:type="dxa"/>
            <w:bottom w:w="0" w:type="dxa"/>
            <w:right w:w="108" w:type="dxa"/>
          </w:tblCellMar>
        </w:tblPrEx>
        <w:trPr>
          <w:trHeight w:val="330" w:hRule="atLeast"/>
        </w:trPr>
        <w:tc>
          <w:tcPr>
            <w:tcW w:w="724" w:type="dxa"/>
            <w:tcBorders>
              <w:top w:val="nil"/>
              <w:left w:val="single" w:color="auto" w:sz="8" w:space="0"/>
              <w:bottom w:val="single" w:color="auto" w:sz="8" w:space="0"/>
              <w:right w:val="single" w:color="auto" w:sz="8" w:space="0"/>
            </w:tcBorders>
            <w:vAlign w:val="center"/>
          </w:tcPr>
          <w:p w14:paraId="2C3053B0">
            <w:pPr>
              <w:widowControl/>
              <w:jc w:val="center"/>
              <w:rPr>
                <w:kern w:val="0"/>
                <w:sz w:val="24"/>
              </w:rPr>
            </w:pPr>
            <w:r>
              <w:rPr>
                <w:kern w:val="0"/>
                <w:sz w:val="24"/>
              </w:rPr>
              <w:t>21</w:t>
            </w:r>
          </w:p>
        </w:tc>
        <w:tc>
          <w:tcPr>
            <w:tcW w:w="2410" w:type="dxa"/>
            <w:tcBorders>
              <w:top w:val="nil"/>
              <w:left w:val="nil"/>
              <w:bottom w:val="single" w:color="auto" w:sz="8" w:space="0"/>
              <w:right w:val="single" w:color="auto" w:sz="8" w:space="0"/>
            </w:tcBorders>
            <w:vAlign w:val="center"/>
          </w:tcPr>
          <w:p w14:paraId="550744D4">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12E85435">
            <w:pPr>
              <w:widowControl/>
              <w:jc w:val="left"/>
              <w:rPr>
                <w:kern w:val="0"/>
                <w:sz w:val="24"/>
              </w:rPr>
            </w:pPr>
            <w:r>
              <w:rPr>
                <w:kern w:val="0"/>
                <w:sz w:val="24"/>
              </w:rPr>
              <w:t>所有数据的都需要加入时间节点</w:t>
            </w:r>
          </w:p>
        </w:tc>
        <w:tc>
          <w:tcPr>
            <w:tcW w:w="4341" w:type="dxa"/>
            <w:tcBorders>
              <w:top w:val="nil"/>
              <w:left w:val="nil"/>
              <w:bottom w:val="single" w:color="auto" w:sz="8" w:space="0"/>
              <w:right w:val="single" w:color="auto" w:sz="8" w:space="0"/>
            </w:tcBorders>
            <w:vAlign w:val="center"/>
          </w:tcPr>
          <w:p w14:paraId="75F32AE6">
            <w:pPr>
              <w:widowControl/>
              <w:jc w:val="center"/>
              <w:rPr>
                <w:kern w:val="0"/>
                <w:sz w:val="24"/>
              </w:rPr>
            </w:pPr>
            <w:r>
              <w:rPr>
                <w:rFonts w:hint="eastAsia"/>
                <w:kern w:val="0"/>
                <w:sz w:val="24"/>
              </w:rPr>
              <w:t>已修改。</w:t>
            </w:r>
            <w:r>
              <w:rPr>
                <w:kern w:val="0"/>
                <w:sz w:val="24"/>
              </w:rPr>
              <w:t>　</w:t>
            </w:r>
          </w:p>
        </w:tc>
      </w:tr>
      <w:tr w14:paraId="43586249">
        <w:tblPrEx>
          <w:tblCellMar>
            <w:top w:w="0" w:type="dxa"/>
            <w:left w:w="108" w:type="dxa"/>
            <w:bottom w:w="0" w:type="dxa"/>
            <w:right w:w="108" w:type="dxa"/>
          </w:tblCellMar>
        </w:tblPrEx>
        <w:trPr>
          <w:trHeight w:val="645" w:hRule="atLeast"/>
        </w:trPr>
        <w:tc>
          <w:tcPr>
            <w:tcW w:w="724" w:type="dxa"/>
            <w:tcBorders>
              <w:top w:val="nil"/>
              <w:left w:val="single" w:color="auto" w:sz="8" w:space="0"/>
              <w:bottom w:val="single" w:color="auto" w:sz="8" w:space="0"/>
              <w:right w:val="single" w:color="auto" w:sz="8" w:space="0"/>
            </w:tcBorders>
            <w:vAlign w:val="center"/>
          </w:tcPr>
          <w:p w14:paraId="7F509599">
            <w:pPr>
              <w:widowControl/>
              <w:jc w:val="center"/>
              <w:rPr>
                <w:kern w:val="0"/>
                <w:sz w:val="24"/>
              </w:rPr>
            </w:pPr>
            <w:r>
              <w:rPr>
                <w:kern w:val="0"/>
                <w:sz w:val="24"/>
              </w:rPr>
              <w:t>22</w:t>
            </w:r>
          </w:p>
        </w:tc>
        <w:tc>
          <w:tcPr>
            <w:tcW w:w="2410" w:type="dxa"/>
            <w:tcBorders>
              <w:top w:val="nil"/>
              <w:left w:val="nil"/>
              <w:bottom w:val="single" w:color="auto" w:sz="8" w:space="0"/>
              <w:right w:val="single" w:color="auto" w:sz="8" w:space="0"/>
            </w:tcBorders>
            <w:vAlign w:val="center"/>
          </w:tcPr>
          <w:p w14:paraId="51881501">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6C9A9C1B">
            <w:pPr>
              <w:widowControl/>
              <w:jc w:val="left"/>
              <w:rPr>
                <w:kern w:val="0"/>
                <w:sz w:val="24"/>
              </w:rPr>
            </w:pPr>
            <w:r>
              <w:rPr>
                <w:kern w:val="0"/>
                <w:sz w:val="24"/>
              </w:rPr>
              <w:t>6.1 产业现状  现有森林公园为6个，湿地公园为1个，森林康养基地为2个</w:t>
            </w:r>
          </w:p>
        </w:tc>
        <w:tc>
          <w:tcPr>
            <w:tcW w:w="4341" w:type="dxa"/>
            <w:tcBorders>
              <w:top w:val="nil"/>
              <w:left w:val="nil"/>
              <w:bottom w:val="single" w:color="auto" w:sz="8" w:space="0"/>
              <w:right w:val="single" w:color="auto" w:sz="8" w:space="0"/>
            </w:tcBorders>
            <w:vAlign w:val="center"/>
          </w:tcPr>
          <w:p w14:paraId="0263A25C">
            <w:pPr>
              <w:widowControl/>
              <w:jc w:val="center"/>
              <w:rPr>
                <w:kern w:val="0"/>
                <w:sz w:val="24"/>
              </w:rPr>
            </w:pPr>
            <w:r>
              <w:rPr>
                <w:rFonts w:hint="eastAsia"/>
                <w:kern w:val="0"/>
                <w:sz w:val="24"/>
              </w:rPr>
              <w:t>已修改，规划</w:t>
            </w:r>
            <w:r>
              <w:rPr>
                <w:kern w:val="0"/>
                <w:sz w:val="24"/>
              </w:rPr>
              <w:t>第六章，</w:t>
            </w:r>
            <w:r>
              <w:rPr>
                <w:rFonts w:hint="eastAsia"/>
                <w:kern w:val="0"/>
                <w:sz w:val="24"/>
              </w:rPr>
              <w:t>P40。</w:t>
            </w:r>
          </w:p>
        </w:tc>
      </w:tr>
      <w:tr w14:paraId="7D8537F6">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30BF7393">
            <w:pPr>
              <w:widowControl/>
              <w:jc w:val="center"/>
              <w:rPr>
                <w:kern w:val="0"/>
                <w:sz w:val="24"/>
              </w:rPr>
            </w:pPr>
            <w:r>
              <w:rPr>
                <w:kern w:val="0"/>
                <w:sz w:val="24"/>
              </w:rPr>
              <w:t>23</w:t>
            </w:r>
          </w:p>
        </w:tc>
        <w:tc>
          <w:tcPr>
            <w:tcW w:w="2410" w:type="dxa"/>
            <w:tcBorders>
              <w:top w:val="nil"/>
              <w:left w:val="nil"/>
              <w:bottom w:val="single" w:color="auto" w:sz="8" w:space="0"/>
              <w:right w:val="single" w:color="auto" w:sz="8" w:space="0"/>
            </w:tcBorders>
            <w:vAlign w:val="center"/>
          </w:tcPr>
          <w:p w14:paraId="3BC18BD8">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0B1EB537">
            <w:pPr>
              <w:widowControl/>
              <w:jc w:val="left"/>
              <w:rPr>
                <w:kern w:val="0"/>
                <w:sz w:val="24"/>
              </w:rPr>
            </w:pPr>
            <w:r>
              <w:rPr>
                <w:kern w:val="0"/>
                <w:sz w:val="24"/>
              </w:rPr>
              <w:t>2规划背景  要融合大背景、习近平总书记考察广西、福建等地所提出的相关产业</w:t>
            </w:r>
          </w:p>
        </w:tc>
        <w:tc>
          <w:tcPr>
            <w:tcW w:w="4341" w:type="dxa"/>
            <w:tcBorders>
              <w:top w:val="nil"/>
              <w:left w:val="nil"/>
              <w:bottom w:val="single" w:color="auto" w:sz="8" w:space="0"/>
              <w:right w:val="single" w:color="auto" w:sz="8" w:space="0"/>
            </w:tcBorders>
            <w:vAlign w:val="center"/>
          </w:tcPr>
          <w:p w14:paraId="341AA6FE">
            <w:pPr>
              <w:widowControl/>
              <w:jc w:val="center"/>
              <w:rPr>
                <w:kern w:val="0"/>
                <w:sz w:val="24"/>
              </w:rPr>
            </w:pPr>
            <w:r>
              <w:rPr>
                <w:rFonts w:hint="eastAsia"/>
                <w:kern w:val="0"/>
                <w:sz w:val="24"/>
              </w:rPr>
              <w:t>已修改，规划</w:t>
            </w:r>
            <w:r>
              <w:rPr>
                <w:kern w:val="0"/>
                <w:sz w:val="24"/>
              </w:rPr>
              <w:t>第二章，</w:t>
            </w:r>
            <w:r>
              <w:rPr>
                <w:rFonts w:hint="eastAsia"/>
                <w:kern w:val="0"/>
                <w:sz w:val="24"/>
              </w:rPr>
              <w:t>P4-6。</w:t>
            </w:r>
          </w:p>
        </w:tc>
      </w:tr>
      <w:tr w14:paraId="45161814">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7AC0C276">
            <w:pPr>
              <w:widowControl/>
              <w:jc w:val="center"/>
              <w:rPr>
                <w:kern w:val="0"/>
                <w:sz w:val="24"/>
              </w:rPr>
            </w:pPr>
            <w:r>
              <w:rPr>
                <w:rFonts w:hint="eastAsia"/>
                <w:kern w:val="0"/>
                <w:sz w:val="24"/>
              </w:rPr>
              <w:t>24</w:t>
            </w:r>
          </w:p>
        </w:tc>
        <w:tc>
          <w:tcPr>
            <w:tcW w:w="2410" w:type="dxa"/>
            <w:tcBorders>
              <w:top w:val="nil"/>
              <w:left w:val="nil"/>
              <w:bottom w:val="single" w:color="auto" w:sz="8" w:space="0"/>
              <w:right w:val="single" w:color="auto" w:sz="8" w:space="0"/>
            </w:tcBorders>
            <w:vAlign w:val="center"/>
          </w:tcPr>
          <w:p w14:paraId="4FF130DD">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72EC5BD5">
            <w:pPr>
              <w:widowControl/>
              <w:jc w:val="left"/>
              <w:rPr>
                <w:kern w:val="0"/>
                <w:sz w:val="24"/>
              </w:rPr>
            </w:pPr>
            <w:r>
              <w:rPr>
                <w:rFonts w:hint="eastAsia"/>
                <w:kern w:val="0"/>
                <w:sz w:val="24"/>
              </w:rPr>
              <w:t>地理位置与区位，陆域面积1920.75公顷（还是1922）数据需核准；地形地貌，黄岭建议更改为黄猄岭</w:t>
            </w:r>
          </w:p>
        </w:tc>
        <w:tc>
          <w:tcPr>
            <w:tcW w:w="4341" w:type="dxa"/>
            <w:tcBorders>
              <w:top w:val="nil"/>
              <w:left w:val="nil"/>
              <w:bottom w:val="single" w:color="auto" w:sz="8" w:space="0"/>
              <w:right w:val="single" w:color="auto" w:sz="8" w:space="0"/>
            </w:tcBorders>
            <w:vAlign w:val="center"/>
          </w:tcPr>
          <w:p w14:paraId="708BFA81">
            <w:pPr>
              <w:widowControl/>
              <w:jc w:val="center"/>
              <w:rPr>
                <w:kern w:val="0"/>
                <w:sz w:val="24"/>
              </w:rPr>
            </w:pPr>
            <w:r>
              <w:rPr>
                <w:rFonts w:hint="eastAsia"/>
                <w:kern w:val="0"/>
                <w:sz w:val="24"/>
              </w:rPr>
              <w:t>已修改，规划</w:t>
            </w:r>
            <w:r>
              <w:rPr>
                <w:kern w:val="0"/>
                <w:sz w:val="24"/>
              </w:rPr>
              <w:t>第</w:t>
            </w:r>
            <w:r>
              <w:rPr>
                <w:rFonts w:hint="eastAsia"/>
                <w:kern w:val="0"/>
                <w:sz w:val="24"/>
              </w:rPr>
              <w:t>三</w:t>
            </w:r>
            <w:r>
              <w:rPr>
                <w:kern w:val="0"/>
                <w:sz w:val="24"/>
              </w:rPr>
              <w:t>章，</w:t>
            </w:r>
            <w:r>
              <w:rPr>
                <w:rFonts w:hint="eastAsia"/>
                <w:kern w:val="0"/>
                <w:sz w:val="24"/>
              </w:rPr>
              <w:t>P12。</w:t>
            </w:r>
          </w:p>
        </w:tc>
      </w:tr>
      <w:tr w14:paraId="4966019B">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7BA6A2C9">
            <w:pPr>
              <w:widowControl/>
              <w:jc w:val="center"/>
              <w:rPr>
                <w:kern w:val="0"/>
                <w:sz w:val="24"/>
              </w:rPr>
            </w:pPr>
            <w:r>
              <w:rPr>
                <w:rFonts w:hint="eastAsia"/>
                <w:kern w:val="0"/>
                <w:sz w:val="24"/>
              </w:rPr>
              <w:t>25</w:t>
            </w:r>
          </w:p>
        </w:tc>
        <w:tc>
          <w:tcPr>
            <w:tcW w:w="2410" w:type="dxa"/>
            <w:tcBorders>
              <w:top w:val="nil"/>
              <w:left w:val="nil"/>
              <w:bottom w:val="single" w:color="auto" w:sz="8" w:space="0"/>
              <w:right w:val="single" w:color="auto" w:sz="8" w:space="0"/>
            </w:tcBorders>
            <w:vAlign w:val="center"/>
          </w:tcPr>
          <w:p w14:paraId="42BFEBF6">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57CC086B">
            <w:pPr>
              <w:widowControl/>
              <w:jc w:val="left"/>
              <w:rPr>
                <w:kern w:val="0"/>
                <w:sz w:val="24"/>
              </w:rPr>
            </w:pPr>
            <w:r>
              <w:rPr>
                <w:rFonts w:hint="eastAsia"/>
                <w:kern w:val="0"/>
                <w:sz w:val="24"/>
              </w:rPr>
              <w:t>林地资源数据来源有出入需核准。（建议用最新二类调查数据）</w:t>
            </w:r>
          </w:p>
        </w:tc>
        <w:tc>
          <w:tcPr>
            <w:tcW w:w="4341" w:type="dxa"/>
            <w:tcBorders>
              <w:top w:val="nil"/>
              <w:left w:val="nil"/>
              <w:bottom w:val="single" w:color="auto" w:sz="8" w:space="0"/>
              <w:right w:val="single" w:color="auto" w:sz="8" w:space="0"/>
            </w:tcBorders>
            <w:vAlign w:val="center"/>
          </w:tcPr>
          <w:p w14:paraId="496BD8B9">
            <w:pPr>
              <w:widowControl/>
              <w:jc w:val="center"/>
              <w:rPr>
                <w:kern w:val="0"/>
                <w:sz w:val="24"/>
              </w:rPr>
            </w:pPr>
            <w:r>
              <w:rPr>
                <w:rFonts w:hint="eastAsia"/>
                <w:kern w:val="0"/>
                <w:sz w:val="24"/>
              </w:rPr>
              <w:t>已修改，规划</w:t>
            </w:r>
            <w:r>
              <w:rPr>
                <w:kern w:val="0"/>
                <w:sz w:val="24"/>
              </w:rPr>
              <w:t>第</w:t>
            </w:r>
            <w:r>
              <w:rPr>
                <w:rFonts w:hint="eastAsia"/>
                <w:kern w:val="0"/>
                <w:sz w:val="24"/>
              </w:rPr>
              <w:t>三</w:t>
            </w:r>
            <w:r>
              <w:rPr>
                <w:kern w:val="0"/>
                <w:sz w:val="24"/>
              </w:rPr>
              <w:t>章，引用最新的森林资源二</w:t>
            </w:r>
            <w:r>
              <w:rPr>
                <w:rFonts w:hint="eastAsia"/>
                <w:kern w:val="0"/>
                <w:sz w:val="24"/>
              </w:rPr>
              <w:t>类</w:t>
            </w:r>
            <w:r>
              <w:rPr>
                <w:kern w:val="0"/>
                <w:sz w:val="24"/>
              </w:rPr>
              <w:t>调查数据，</w:t>
            </w:r>
            <w:r>
              <w:rPr>
                <w:rFonts w:hint="eastAsia"/>
                <w:kern w:val="0"/>
                <w:sz w:val="24"/>
              </w:rPr>
              <w:t>P14。</w:t>
            </w:r>
          </w:p>
        </w:tc>
      </w:tr>
      <w:tr w14:paraId="2CC41F48">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69586D53">
            <w:pPr>
              <w:widowControl/>
              <w:jc w:val="center"/>
              <w:rPr>
                <w:kern w:val="0"/>
                <w:sz w:val="24"/>
              </w:rPr>
            </w:pPr>
            <w:r>
              <w:rPr>
                <w:rFonts w:hint="eastAsia"/>
                <w:kern w:val="0"/>
                <w:sz w:val="24"/>
              </w:rPr>
              <w:t>26</w:t>
            </w:r>
          </w:p>
        </w:tc>
        <w:tc>
          <w:tcPr>
            <w:tcW w:w="2410" w:type="dxa"/>
            <w:tcBorders>
              <w:top w:val="nil"/>
              <w:left w:val="nil"/>
              <w:bottom w:val="single" w:color="auto" w:sz="8" w:space="0"/>
              <w:right w:val="single" w:color="auto" w:sz="8" w:space="0"/>
            </w:tcBorders>
            <w:vAlign w:val="center"/>
          </w:tcPr>
          <w:p w14:paraId="0066F714">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0921594A">
            <w:pPr>
              <w:widowControl/>
              <w:jc w:val="left"/>
              <w:rPr>
                <w:kern w:val="0"/>
                <w:sz w:val="24"/>
              </w:rPr>
            </w:pPr>
            <w:r>
              <w:rPr>
                <w:rFonts w:hint="eastAsia"/>
                <w:kern w:val="0"/>
                <w:sz w:val="24"/>
              </w:rPr>
              <w:t>森林资源保护不断强化。核查疑似图斑1183个，确定整改违法违规图斑380个。数据有出入需要核准和有个期限。</w:t>
            </w:r>
          </w:p>
        </w:tc>
        <w:tc>
          <w:tcPr>
            <w:tcW w:w="4341" w:type="dxa"/>
            <w:tcBorders>
              <w:top w:val="nil"/>
              <w:left w:val="nil"/>
              <w:bottom w:val="single" w:color="auto" w:sz="8" w:space="0"/>
              <w:right w:val="single" w:color="auto" w:sz="8" w:space="0"/>
            </w:tcBorders>
            <w:vAlign w:val="center"/>
          </w:tcPr>
          <w:p w14:paraId="5F6B2700">
            <w:pPr>
              <w:widowControl/>
              <w:jc w:val="center"/>
              <w:rPr>
                <w:kern w:val="0"/>
                <w:sz w:val="24"/>
              </w:rPr>
            </w:pPr>
            <w:r>
              <w:rPr>
                <w:rFonts w:hint="eastAsia"/>
                <w:kern w:val="0"/>
                <w:sz w:val="24"/>
              </w:rPr>
              <w:t>已修改，规划</w:t>
            </w:r>
            <w:r>
              <w:rPr>
                <w:kern w:val="0"/>
                <w:sz w:val="24"/>
              </w:rPr>
              <w:t>第</w:t>
            </w:r>
            <w:r>
              <w:rPr>
                <w:rFonts w:hint="eastAsia"/>
                <w:kern w:val="0"/>
                <w:sz w:val="24"/>
              </w:rPr>
              <w:t>三</w:t>
            </w:r>
            <w:r>
              <w:rPr>
                <w:kern w:val="0"/>
                <w:sz w:val="24"/>
              </w:rPr>
              <w:t>章，</w:t>
            </w:r>
            <w:r>
              <w:rPr>
                <w:rFonts w:hint="eastAsia"/>
                <w:kern w:val="0"/>
                <w:sz w:val="24"/>
              </w:rPr>
              <w:t>P20。</w:t>
            </w:r>
          </w:p>
        </w:tc>
      </w:tr>
      <w:tr w14:paraId="098A50D4">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7AF0D41C">
            <w:pPr>
              <w:widowControl/>
              <w:jc w:val="center"/>
              <w:rPr>
                <w:kern w:val="0"/>
                <w:sz w:val="24"/>
              </w:rPr>
            </w:pPr>
            <w:r>
              <w:rPr>
                <w:rFonts w:hint="eastAsia"/>
                <w:kern w:val="0"/>
                <w:sz w:val="24"/>
              </w:rPr>
              <w:t>27</w:t>
            </w:r>
          </w:p>
        </w:tc>
        <w:tc>
          <w:tcPr>
            <w:tcW w:w="2410" w:type="dxa"/>
            <w:tcBorders>
              <w:top w:val="nil"/>
              <w:left w:val="nil"/>
              <w:bottom w:val="single" w:color="auto" w:sz="8" w:space="0"/>
              <w:right w:val="single" w:color="auto" w:sz="8" w:space="0"/>
            </w:tcBorders>
            <w:vAlign w:val="center"/>
          </w:tcPr>
          <w:p w14:paraId="040636E7">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7D74F1CA">
            <w:pPr>
              <w:widowControl/>
              <w:jc w:val="left"/>
              <w:rPr>
                <w:kern w:val="0"/>
                <w:sz w:val="24"/>
              </w:rPr>
            </w:pPr>
            <w:r>
              <w:rPr>
                <w:rFonts w:hint="eastAsia"/>
                <w:kern w:val="0"/>
                <w:sz w:val="24"/>
              </w:rPr>
              <w:t>21页，（4）公益林管护能力不断增强，建议将现有改为2021年核定，公益林管护人员278人改为279人，专职护林防火员234人改为235人。</w:t>
            </w:r>
          </w:p>
        </w:tc>
        <w:tc>
          <w:tcPr>
            <w:tcW w:w="4341" w:type="dxa"/>
            <w:tcBorders>
              <w:top w:val="nil"/>
              <w:left w:val="nil"/>
              <w:bottom w:val="single" w:color="auto" w:sz="8" w:space="0"/>
              <w:right w:val="single" w:color="auto" w:sz="8" w:space="0"/>
            </w:tcBorders>
            <w:vAlign w:val="center"/>
          </w:tcPr>
          <w:p w14:paraId="0A6CC33A">
            <w:pPr>
              <w:widowControl/>
              <w:jc w:val="center"/>
              <w:rPr>
                <w:kern w:val="0"/>
                <w:sz w:val="24"/>
              </w:rPr>
            </w:pPr>
            <w:r>
              <w:rPr>
                <w:rFonts w:hint="eastAsia"/>
                <w:kern w:val="0"/>
                <w:sz w:val="24"/>
              </w:rPr>
              <w:t>已修改，规划</w:t>
            </w:r>
            <w:r>
              <w:rPr>
                <w:kern w:val="0"/>
                <w:sz w:val="24"/>
              </w:rPr>
              <w:t>第</w:t>
            </w:r>
            <w:r>
              <w:rPr>
                <w:rFonts w:hint="eastAsia"/>
                <w:kern w:val="0"/>
                <w:sz w:val="24"/>
              </w:rPr>
              <w:t>三</w:t>
            </w:r>
            <w:r>
              <w:rPr>
                <w:kern w:val="0"/>
                <w:sz w:val="24"/>
              </w:rPr>
              <w:t>章，</w:t>
            </w:r>
            <w:r>
              <w:rPr>
                <w:rFonts w:hint="eastAsia"/>
                <w:kern w:val="0"/>
                <w:sz w:val="24"/>
              </w:rPr>
              <w:t>P22。</w:t>
            </w:r>
          </w:p>
        </w:tc>
      </w:tr>
      <w:tr w14:paraId="0CAA1F0C">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1A4B96CE">
            <w:pPr>
              <w:widowControl/>
              <w:jc w:val="center"/>
              <w:rPr>
                <w:kern w:val="0"/>
                <w:sz w:val="24"/>
              </w:rPr>
            </w:pPr>
            <w:r>
              <w:rPr>
                <w:rFonts w:hint="eastAsia"/>
                <w:kern w:val="0"/>
                <w:sz w:val="24"/>
              </w:rPr>
              <w:t>28</w:t>
            </w:r>
          </w:p>
        </w:tc>
        <w:tc>
          <w:tcPr>
            <w:tcW w:w="2410" w:type="dxa"/>
            <w:tcBorders>
              <w:top w:val="nil"/>
              <w:left w:val="nil"/>
              <w:bottom w:val="single" w:color="auto" w:sz="8" w:space="0"/>
              <w:right w:val="single" w:color="auto" w:sz="8" w:space="0"/>
            </w:tcBorders>
            <w:vAlign w:val="center"/>
          </w:tcPr>
          <w:p w14:paraId="60E522BE">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5172BEEB">
            <w:pPr>
              <w:rPr>
                <w:kern w:val="0"/>
                <w:sz w:val="24"/>
              </w:rPr>
            </w:pPr>
            <w:r>
              <w:rPr>
                <w:rFonts w:hint="eastAsia"/>
                <w:kern w:val="0"/>
                <w:sz w:val="24"/>
              </w:rPr>
              <w:t>25页，表4-1中，森林蓄积量2020年、2025年、2035年界定标准如何确定的？湿地面积保有量2025和2035年面积建议不变。</w:t>
            </w:r>
          </w:p>
        </w:tc>
        <w:tc>
          <w:tcPr>
            <w:tcW w:w="4341" w:type="dxa"/>
            <w:tcBorders>
              <w:top w:val="nil"/>
              <w:left w:val="nil"/>
              <w:bottom w:val="single" w:color="auto" w:sz="8" w:space="0"/>
              <w:right w:val="single" w:color="auto" w:sz="8" w:space="0"/>
            </w:tcBorders>
            <w:vAlign w:val="center"/>
          </w:tcPr>
          <w:p w14:paraId="3A132CCA">
            <w:pPr>
              <w:widowControl/>
              <w:jc w:val="center"/>
              <w:rPr>
                <w:kern w:val="0"/>
                <w:sz w:val="24"/>
              </w:rPr>
            </w:pPr>
            <w:r>
              <w:rPr>
                <w:rFonts w:hint="eastAsia"/>
                <w:kern w:val="0"/>
                <w:sz w:val="24"/>
              </w:rPr>
              <w:t>森林蓄积量和湿地面积保有量的2020年和2025年与“十四五”规划保持一致性。</w:t>
            </w:r>
          </w:p>
        </w:tc>
      </w:tr>
      <w:tr w14:paraId="68F25900">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7575C4C8">
            <w:pPr>
              <w:widowControl/>
              <w:jc w:val="center"/>
              <w:rPr>
                <w:kern w:val="0"/>
                <w:sz w:val="24"/>
              </w:rPr>
            </w:pPr>
            <w:r>
              <w:rPr>
                <w:rFonts w:hint="eastAsia"/>
                <w:kern w:val="0"/>
                <w:sz w:val="24"/>
              </w:rPr>
              <w:t>29</w:t>
            </w:r>
          </w:p>
        </w:tc>
        <w:tc>
          <w:tcPr>
            <w:tcW w:w="2410" w:type="dxa"/>
            <w:tcBorders>
              <w:top w:val="nil"/>
              <w:left w:val="nil"/>
              <w:bottom w:val="single" w:color="auto" w:sz="8" w:space="0"/>
              <w:right w:val="single" w:color="auto" w:sz="8" w:space="0"/>
            </w:tcBorders>
            <w:vAlign w:val="center"/>
          </w:tcPr>
          <w:p w14:paraId="420B1A0D">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3EF3460E">
            <w:pPr>
              <w:widowControl/>
              <w:jc w:val="left"/>
              <w:rPr>
                <w:kern w:val="0"/>
                <w:sz w:val="24"/>
              </w:rPr>
            </w:pPr>
            <w:r>
              <w:rPr>
                <w:rFonts w:hint="eastAsia"/>
                <w:kern w:val="0"/>
                <w:sz w:val="24"/>
              </w:rPr>
              <w:t>32页（9）《三亚市山体保护与修复专项规划（2018-2035）》未正式公布。</w:t>
            </w:r>
          </w:p>
        </w:tc>
        <w:tc>
          <w:tcPr>
            <w:tcW w:w="4341" w:type="dxa"/>
            <w:tcBorders>
              <w:top w:val="nil"/>
              <w:left w:val="nil"/>
              <w:bottom w:val="single" w:color="auto" w:sz="8" w:space="0"/>
              <w:right w:val="single" w:color="auto" w:sz="8" w:space="0"/>
            </w:tcBorders>
            <w:vAlign w:val="center"/>
          </w:tcPr>
          <w:p w14:paraId="15D35F0E">
            <w:pPr>
              <w:widowControl/>
              <w:jc w:val="center"/>
              <w:rPr>
                <w:kern w:val="0"/>
                <w:sz w:val="24"/>
              </w:rPr>
            </w:pPr>
            <w:r>
              <w:rPr>
                <w:kern w:val="0"/>
                <w:sz w:val="24"/>
              </w:rPr>
              <w:t>修改为</w:t>
            </w:r>
            <w:r>
              <w:rPr>
                <w:rFonts w:hint="eastAsia"/>
                <w:kern w:val="0"/>
                <w:sz w:val="24"/>
              </w:rPr>
              <w:t>《三亚市山体保护与修复专项规划（2018-2035）》（国家林业和草原局中南调查规划设计院 2020 年12 月）</w:t>
            </w:r>
          </w:p>
        </w:tc>
      </w:tr>
      <w:tr w14:paraId="3E524B87">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344D48B1">
            <w:pPr>
              <w:widowControl/>
              <w:jc w:val="center"/>
              <w:rPr>
                <w:kern w:val="0"/>
                <w:sz w:val="24"/>
              </w:rPr>
            </w:pPr>
            <w:r>
              <w:rPr>
                <w:rFonts w:hint="eastAsia"/>
                <w:kern w:val="0"/>
                <w:sz w:val="24"/>
              </w:rPr>
              <w:t>30</w:t>
            </w:r>
          </w:p>
        </w:tc>
        <w:tc>
          <w:tcPr>
            <w:tcW w:w="2410" w:type="dxa"/>
            <w:tcBorders>
              <w:top w:val="nil"/>
              <w:left w:val="nil"/>
              <w:bottom w:val="single" w:color="auto" w:sz="8" w:space="0"/>
              <w:right w:val="single" w:color="auto" w:sz="8" w:space="0"/>
            </w:tcBorders>
            <w:vAlign w:val="center"/>
          </w:tcPr>
          <w:p w14:paraId="13EA732A">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2450C2F7">
            <w:pPr>
              <w:widowControl/>
              <w:jc w:val="left"/>
              <w:rPr>
                <w:kern w:val="0"/>
                <w:sz w:val="24"/>
              </w:rPr>
            </w:pPr>
            <w:r>
              <w:rPr>
                <w:rFonts w:hint="eastAsia"/>
                <w:kern w:val="0"/>
                <w:sz w:val="24"/>
              </w:rPr>
              <w:t>附图1中，人工林已包括橡胶，林化原料林也包括橡胶，是否重复。附图5中，大龙水库未标注，保护区建议在图中区分出饮用水源保护区和自然保护区。</w:t>
            </w:r>
          </w:p>
        </w:tc>
        <w:tc>
          <w:tcPr>
            <w:tcW w:w="4341" w:type="dxa"/>
            <w:tcBorders>
              <w:top w:val="nil"/>
              <w:left w:val="nil"/>
              <w:bottom w:val="single" w:color="auto" w:sz="8" w:space="0"/>
              <w:right w:val="single" w:color="auto" w:sz="8" w:space="0"/>
            </w:tcBorders>
            <w:vAlign w:val="center"/>
          </w:tcPr>
          <w:p w14:paraId="495433C1">
            <w:pPr>
              <w:widowControl/>
              <w:jc w:val="center"/>
              <w:rPr>
                <w:kern w:val="0"/>
                <w:sz w:val="24"/>
              </w:rPr>
            </w:pPr>
            <w:r>
              <w:rPr>
                <w:rFonts w:hint="eastAsia"/>
                <w:kern w:val="0"/>
                <w:sz w:val="24"/>
              </w:rPr>
              <w:t>附图1 公益林分天然林和人工林；商品林分果树林、林化原料林、速生丰产用材林、一般用材林等；因此不会存在重复。附图5 因规划不涉及大龙水库。</w:t>
            </w:r>
          </w:p>
        </w:tc>
      </w:tr>
      <w:tr w14:paraId="3EDE3F9B">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762860C4">
            <w:pPr>
              <w:widowControl/>
              <w:jc w:val="center"/>
              <w:rPr>
                <w:kern w:val="0"/>
                <w:sz w:val="24"/>
              </w:rPr>
            </w:pPr>
            <w:r>
              <w:rPr>
                <w:rFonts w:hint="eastAsia"/>
                <w:kern w:val="0"/>
                <w:sz w:val="24"/>
              </w:rPr>
              <w:t>31</w:t>
            </w:r>
          </w:p>
        </w:tc>
        <w:tc>
          <w:tcPr>
            <w:tcW w:w="2410" w:type="dxa"/>
            <w:tcBorders>
              <w:top w:val="nil"/>
              <w:left w:val="nil"/>
              <w:bottom w:val="single" w:color="auto" w:sz="8" w:space="0"/>
              <w:right w:val="single" w:color="auto" w:sz="8" w:space="0"/>
            </w:tcBorders>
            <w:vAlign w:val="center"/>
          </w:tcPr>
          <w:p w14:paraId="06154089">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785968A9">
            <w:pPr>
              <w:widowControl/>
              <w:jc w:val="left"/>
              <w:rPr>
                <w:kern w:val="0"/>
                <w:sz w:val="24"/>
              </w:rPr>
            </w:pPr>
            <w:r>
              <w:rPr>
                <w:rFonts w:hint="eastAsia"/>
                <w:kern w:val="0"/>
                <w:sz w:val="24"/>
              </w:rPr>
              <w:t>P22、23、25、28等个别句子出现错别字</w:t>
            </w:r>
          </w:p>
        </w:tc>
        <w:tc>
          <w:tcPr>
            <w:tcW w:w="4341" w:type="dxa"/>
            <w:tcBorders>
              <w:top w:val="nil"/>
              <w:left w:val="nil"/>
              <w:bottom w:val="single" w:color="auto" w:sz="8" w:space="0"/>
              <w:right w:val="single" w:color="auto" w:sz="8" w:space="0"/>
            </w:tcBorders>
            <w:vAlign w:val="center"/>
          </w:tcPr>
          <w:p w14:paraId="191111A2">
            <w:pPr>
              <w:widowControl/>
              <w:jc w:val="center"/>
              <w:rPr>
                <w:kern w:val="0"/>
                <w:sz w:val="24"/>
              </w:rPr>
            </w:pPr>
            <w:r>
              <w:rPr>
                <w:kern w:val="0"/>
                <w:sz w:val="24"/>
              </w:rPr>
              <w:t>已修改。</w:t>
            </w:r>
          </w:p>
        </w:tc>
      </w:tr>
      <w:tr w14:paraId="54B32559">
        <w:tblPrEx>
          <w:tblCellMar>
            <w:top w:w="0" w:type="dxa"/>
            <w:left w:w="108" w:type="dxa"/>
            <w:bottom w:w="0" w:type="dxa"/>
            <w:right w:w="108" w:type="dxa"/>
          </w:tblCellMar>
        </w:tblPrEx>
        <w:trPr>
          <w:trHeight w:val="615" w:hRule="atLeast"/>
        </w:trPr>
        <w:tc>
          <w:tcPr>
            <w:tcW w:w="724" w:type="dxa"/>
            <w:tcBorders>
              <w:top w:val="nil"/>
              <w:left w:val="single" w:color="auto" w:sz="8" w:space="0"/>
              <w:bottom w:val="single" w:color="auto" w:sz="8" w:space="0"/>
              <w:right w:val="single" w:color="auto" w:sz="8" w:space="0"/>
            </w:tcBorders>
            <w:vAlign w:val="center"/>
          </w:tcPr>
          <w:p w14:paraId="6F3AE949">
            <w:pPr>
              <w:widowControl/>
              <w:jc w:val="center"/>
              <w:rPr>
                <w:kern w:val="0"/>
                <w:sz w:val="24"/>
              </w:rPr>
            </w:pPr>
            <w:r>
              <w:rPr>
                <w:rFonts w:hint="eastAsia"/>
                <w:kern w:val="0"/>
                <w:sz w:val="24"/>
              </w:rPr>
              <w:t>32</w:t>
            </w:r>
          </w:p>
        </w:tc>
        <w:tc>
          <w:tcPr>
            <w:tcW w:w="2410" w:type="dxa"/>
            <w:tcBorders>
              <w:top w:val="nil"/>
              <w:left w:val="nil"/>
              <w:bottom w:val="single" w:color="auto" w:sz="8" w:space="0"/>
              <w:right w:val="single" w:color="auto" w:sz="8" w:space="0"/>
            </w:tcBorders>
            <w:vAlign w:val="center"/>
          </w:tcPr>
          <w:p w14:paraId="42147667">
            <w:pPr>
              <w:widowControl/>
              <w:jc w:val="center"/>
              <w:rPr>
                <w:kern w:val="0"/>
                <w:sz w:val="24"/>
              </w:rPr>
            </w:pPr>
            <w:r>
              <w:rPr>
                <w:kern w:val="0"/>
                <w:sz w:val="24"/>
              </w:rPr>
              <w:t>三亚市林业局</w:t>
            </w:r>
          </w:p>
        </w:tc>
        <w:tc>
          <w:tcPr>
            <w:tcW w:w="6291" w:type="dxa"/>
            <w:tcBorders>
              <w:top w:val="nil"/>
              <w:left w:val="nil"/>
              <w:bottom w:val="single" w:color="auto" w:sz="8" w:space="0"/>
              <w:right w:val="single" w:color="auto" w:sz="8" w:space="0"/>
            </w:tcBorders>
            <w:vAlign w:val="center"/>
          </w:tcPr>
          <w:p w14:paraId="260F2204">
            <w:pPr>
              <w:widowControl/>
              <w:jc w:val="left"/>
              <w:rPr>
                <w:kern w:val="0"/>
                <w:sz w:val="24"/>
              </w:rPr>
            </w:pPr>
            <w:r>
              <w:rPr>
                <w:rFonts w:hint="eastAsia"/>
                <w:kern w:val="0"/>
                <w:sz w:val="24"/>
              </w:rPr>
              <w:t>生态保护与修复产业规划章节中林业有害生物成灾率控制在千分之三以下而不是4%以下。</w:t>
            </w:r>
          </w:p>
        </w:tc>
        <w:tc>
          <w:tcPr>
            <w:tcW w:w="4341" w:type="dxa"/>
            <w:tcBorders>
              <w:top w:val="nil"/>
              <w:left w:val="nil"/>
              <w:bottom w:val="single" w:color="auto" w:sz="8" w:space="0"/>
              <w:right w:val="single" w:color="auto" w:sz="8" w:space="0"/>
            </w:tcBorders>
            <w:vAlign w:val="center"/>
          </w:tcPr>
          <w:p w14:paraId="2D98A9B4">
            <w:pPr>
              <w:widowControl/>
              <w:jc w:val="center"/>
              <w:rPr>
                <w:kern w:val="0"/>
                <w:sz w:val="24"/>
              </w:rPr>
            </w:pPr>
            <w:r>
              <w:rPr>
                <w:kern w:val="0"/>
                <w:sz w:val="24"/>
              </w:rPr>
              <w:t>已修改，规划第</w:t>
            </w:r>
            <w:r>
              <w:rPr>
                <w:rFonts w:hint="eastAsia"/>
                <w:kern w:val="0"/>
                <w:sz w:val="24"/>
              </w:rPr>
              <w:t>十一</w:t>
            </w:r>
            <w:r>
              <w:rPr>
                <w:kern w:val="0"/>
                <w:sz w:val="24"/>
              </w:rPr>
              <w:t>章，</w:t>
            </w:r>
            <w:r>
              <w:rPr>
                <w:rFonts w:hint="eastAsia"/>
                <w:kern w:val="0"/>
                <w:sz w:val="24"/>
              </w:rPr>
              <w:t>P108。</w:t>
            </w:r>
          </w:p>
        </w:tc>
      </w:tr>
      <w:tr w14:paraId="4148E518">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77ACA1B1">
            <w:pPr>
              <w:widowControl/>
              <w:jc w:val="center"/>
              <w:rPr>
                <w:kern w:val="0"/>
                <w:sz w:val="24"/>
              </w:rPr>
            </w:pPr>
            <w:r>
              <w:rPr>
                <w:rFonts w:hint="eastAsia"/>
                <w:kern w:val="0"/>
                <w:sz w:val="24"/>
              </w:rPr>
              <w:t>33</w:t>
            </w:r>
          </w:p>
        </w:tc>
        <w:tc>
          <w:tcPr>
            <w:tcW w:w="2410" w:type="dxa"/>
            <w:tcBorders>
              <w:top w:val="nil"/>
              <w:left w:val="nil"/>
              <w:bottom w:val="single" w:color="auto" w:sz="8" w:space="0"/>
              <w:right w:val="single" w:color="auto" w:sz="8" w:space="0"/>
            </w:tcBorders>
            <w:vAlign w:val="center"/>
          </w:tcPr>
          <w:p w14:paraId="34C405C0">
            <w:pPr>
              <w:widowControl/>
              <w:jc w:val="center"/>
              <w:rPr>
                <w:kern w:val="0"/>
                <w:sz w:val="24"/>
              </w:rPr>
            </w:pPr>
            <w:r>
              <w:rPr>
                <w:kern w:val="0"/>
                <w:sz w:val="24"/>
              </w:rPr>
              <w:t>三亚市公安局森林分局</w:t>
            </w:r>
          </w:p>
        </w:tc>
        <w:tc>
          <w:tcPr>
            <w:tcW w:w="6291" w:type="dxa"/>
            <w:tcBorders>
              <w:top w:val="nil"/>
              <w:left w:val="nil"/>
              <w:bottom w:val="single" w:color="auto" w:sz="8" w:space="0"/>
              <w:right w:val="single" w:color="auto" w:sz="8" w:space="0"/>
            </w:tcBorders>
            <w:vAlign w:val="center"/>
          </w:tcPr>
          <w:p w14:paraId="5F1D79BB">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08D3D2C1">
            <w:pPr>
              <w:widowControl/>
              <w:jc w:val="center"/>
              <w:rPr>
                <w:kern w:val="0"/>
                <w:sz w:val="24"/>
              </w:rPr>
            </w:pPr>
            <w:r>
              <w:rPr>
                <w:kern w:val="0"/>
                <w:sz w:val="24"/>
              </w:rPr>
              <w:t>　</w:t>
            </w:r>
          </w:p>
        </w:tc>
      </w:tr>
      <w:tr w14:paraId="7D116B68">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24899F4A">
            <w:pPr>
              <w:widowControl/>
              <w:jc w:val="center"/>
              <w:rPr>
                <w:kern w:val="0"/>
                <w:sz w:val="24"/>
              </w:rPr>
            </w:pPr>
            <w:r>
              <w:rPr>
                <w:rFonts w:hint="eastAsia"/>
                <w:kern w:val="0"/>
                <w:sz w:val="24"/>
              </w:rPr>
              <w:t>34</w:t>
            </w:r>
          </w:p>
        </w:tc>
        <w:tc>
          <w:tcPr>
            <w:tcW w:w="2410" w:type="dxa"/>
            <w:tcBorders>
              <w:top w:val="nil"/>
              <w:left w:val="nil"/>
              <w:bottom w:val="single" w:color="auto" w:sz="8" w:space="0"/>
              <w:right w:val="single" w:color="auto" w:sz="8" w:space="0"/>
            </w:tcBorders>
            <w:vAlign w:val="center"/>
          </w:tcPr>
          <w:p w14:paraId="4EB09DFE">
            <w:pPr>
              <w:widowControl/>
              <w:jc w:val="center"/>
              <w:rPr>
                <w:kern w:val="0"/>
                <w:sz w:val="24"/>
              </w:rPr>
            </w:pPr>
            <w:r>
              <w:rPr>
                <w:kern w:val="0"/>
                <w:sz w:val="24"/>
              </w:rPr>
              <w:t>三亚市卫生健康委员会</w:t>
            </w:r>
          </w:p>
        </w:tc>
        <w:tc>
          <w:tcPr>
            <w:tcW w:w="6291" w:type="dxa"/>
            <w:tcBorders>
              <w:top w:val="nil"/>
              <w:left w:val="nil"/>
              <w:bottom w:val="single" w:color="auto" w:sz="8" w:space="0"/>
              <w:right w:val="single" w:color="auto" w:sz="8" w:space="0"/>
            </w:tcBorders>
            <w:vAlign w:val="center"/>
          </w:tcPr>
          <w:p w14:paraId="68A9F762">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5B8449D6">
            <w:pPr>
              <w:widowControl/>
              <w:jc w:val="center"/>
              <w:rPr>
                <w:kern w:val="0"/>
                <w:sz w:val="24"/>
              </w:rPr>
            </w:pPr>
            <w:r>
              <w:rPr>
                <w:kern w:val="0"/>
                <w:sz w:val="24"/>
              </w:rPr>
              <w:t>　</w:t>
            </w:r>
          </w:p>
        </w:tc>
      </w:tr>
      <w:tr w14:paraId="4F30E29B">
        <w:tblPrEx>
          <w:tblCellMar>
            <w:top w:w="0" w:type="dxa"/>
            <w:left w:w="108" w:type="dxa"/>
            <w:bottom w:w="0" w:type="dxa"/>
            <w:right w:w="108" w:type="dxa"/>
          </w:tblCellMar>
        </w:tblPrEx>
        <w:trPr>
          <w:trHeight w:val="330" w:hRule="atLeast"/>
        </w:trPr>
        <w:tc>
          <w:tcPr>
            <w:tcW w:w="724" w:type="dxa"/>
            <w:tcBorders>
              <w:top w:val="nil"/>
              <w:left w:val="single" w:color="auto" w:sz="8" w:space="0"/>
              <w:bottom w:val="single" w:color="auto" w:sz="8" w:space="0"/>
              <w:right w:val="single" w:color="auto" w:sz="8" w:space="0"/>
            </w:tcBorders>
            <w:vAlign w:val="center"/>
          </w:tcPr>
          <w:p w14:paraId="20527EBA">
            <w:pPr>
              <w:widowControl/>
              <w:jc w:val="center"/>
              <w:rPr>
                <w:kern w:val="0"/>
                <w:sz w:val="24"/>
              </w:rPr>
            </w:pPr>
            <w:r>
              <w:rPr>
                <w:rFonts w:hint="eastAsia"/>
                <w:kern w:val="0"/>
                <w:sz w:val="24"/>
              </w:rPr>
              <w:t>35</w:t>
            </w:r>
          </w:p>
        </w:tc>
        <w:tc>
          <w:tcPr>
            <w:tcW w:w="2410" w:type="dxa"/>
            <w:tcBorders>
              <w:top w:val="nil"/>
              <w:left w:val="nil"/>
              <w:bottom w:val="single" w:color="auto" w:sz="8" w:space="0"/>
              <w:right w:val="single" w:color="auto" w:sz="8" w:space="0"/>
            </w:tcBorders>
            <w:vAlign w:val="center"/>
          </w:tcPr>
          <w:p w14:paraId="17D4687C">
            <w:pPr>
              <w:widowControl/>
              <w:jc w:val="center"/>
              <w:rPr>
                <w:kern w:val="0"/>
                <w:sz w:val="24"/>
              </w:rPr>
            </w:pPr>
            <w:r>
              <w:rPr>
                <w:kern w:val="0"/>
                <w:sz w:val="24"/>
              </w:rPr>
              <w:t>三亚市商务局</w:t>
            </w:r>
          </w:p>
        </w:tc>
        <w:tc>
          <w:tcPr>
            <w:tcW w:w="6291" w:type="dxa"/>
            <w:tcBorders>
              <w:top w:val="nil"/>
              <w:left w:val="nil"/>
              <w:bottom w:val="single" w:color="auto" w:sz="8" w:space="0"/>
              <w:right w:val="single" w:color="auto" w:sz="8" w:space="0"/>
            </w:tcBorders>
            <w:vAlign w:val="center"/>
          </w:tcPr>
          <w:p w14:paraId="4AB91864">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39E988C6">
            <w:pPr>
              <w:widowControl/>
              <w:jc w:val="center"/>
              <w:rPr>
                <w:kern w:val="0"/>
                <w:sz w:val="24"/>
              </w:rPr>
            </w:pPr>
            <w:r>
              <w:rPr>
                <w:kern w:val="0"/>
                <w:sz w:val="24"/>
              </w:rPr>
              <w:t>　</w:t>
            </w:r>
          </w:p>
        </w:tc>
      </w:tr>
      <w:tr w14:paraId="19A5CF54">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21722383">
            <w:pPr>
              <w:widowControl/>
              <w:jc w:val="center"/>
              <w:rPr>
                <w:kern w:val="0"/>
                <w:sz w:val="24"/>
              </w:rPr>
            </w:pPr>
            <w:r>
              <w:rPr>
                <w:rFonts w:hint="eastAsia"/>
                <w:kern w:val="0"/>
                <w:sz w:val="24"/>
              </w:rPr>
              <w:t>36</w:t>
            </w:r>
          </w:p>
        </w:tc>
        <w:tc>
          <w:tcPr>
            <w:tcW w:w="2410" w:type="dxa"/>
            <w:tcBorders>
              <w:top w:val="nil"/>
              <w:left w:val="nil"/>
              <w:bottom w:val="single" w:color="auto" w:sz="8" w:space="0"/>
              <w:right w:val="single" w:color="auto" w:sz="8" w:space="0"/>
            </w:tcBorders>
            <w:vAlign w:val="center"/>
          </w:tcPr>
          <w:p w14:paraId="32C90BD8">
            <w:pPr>
              <w:widowControl/>
              <w:jc w:val="center"/>
              <w:rPr>
                <w:kern w:val="0"/>
                <w:sz w:val="24"/>
              </w:rPr>
            </w:pPr>
            <w:r>
              <w:rPr>
                <w:kern w:val="0"/>
                <w:sz w:val="24"/>
              </w:rPr>
              <w:t>三亚市应急管理局</w:t>
            </w:r>
          </w:p>
        </w:tc>
        <w:tc>
          <w:tcPr>
            <w:tcW w:w="6291" w:type="dxa"/>
            <w:tcBorders>
              <w:top w:val="nil"/>
              <w:left w:val="nil"/>
              <w:bottom w:val="single" w:color="auto" w:sz="8" w:space="0"/>
              <w:right w:val="single" w:color="auto" w:sz="8" w:space="0"/>
            </w:tcBorders>
            <w:vAlign w:val="center"/>
          </w:tcPr>
          <w:p w14:paraId="65D81A3C">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2E73558D">
            <w:pPr>
              <w:widowControl/>
              <w:jc w:val="center"/>
              <w:rPr>
                <w:kern w:val="0"/>
                <w:sz w:val="24"/>
              </w:rPr>
            </w:pPr>
            <w:r>
              <w:rPr>
                <w:kern w:val="0"/>
                <w:sz w:val="24"/>
              </w:rPr>
              <w:t>　</w:t>
            </w:r>
          </w:p>
        </w:tc>
      </w:tr>
      <w:tr w14:paraId="787C01B8">
        <w:tblPrEx>
          <w:tblCellMar>
            <w:top w:w="0" w:type="dxa"/>
            <w:left w:w="108" w:type="dxa"/>
            <w:bottom w:w="0" w:type="dxa"/>
            <w:right w:w="108" w:type="dxa"/>
          </w:tblCellMar>
        </w:tblPrEx>
        <w:trPr>
          <w:trHeight w:val="870" w:hRule="atLeast"/>
        </w:trPr>
        <w:tc>
          <w:tcPr>
            <w:tcW w:w="724" w:type="dxa"/>
            <w:tcBorders>
              <w:top w:val="nil"/>
              <w:left w:val="single" w:color="auto" w:sz="8" w:space="0"/>
              <w:bottom w:val="single" w:color="auto" w:sz="8" w:space="0"/>
              <w:right w:val="single" w:color="auto" w:sz="8" w:space="0"/>
            </w:tcBorders>
            <w:vAlign w:val="center"/>
          </w:tcPr>
          <w:p w14:paraId="090F7979">
            <w:pPr>
              <w:widowControl/>
              <w:jc w:val="center"/>
              <w:rPr>
                <w:kern w:val="0"/>
                <w:sz w:val="24"/>
              </w:rPr>
            </w:pPr>
            <w:r>
              <w:rPr>
                <w:rFonts w:hint="eastAsia"/>
                <w:kern w:val="0"/>
                <w:sz w:val="24"/>
              </w:rPr>
              <w:t>37</w:t>
            </w:r>
          </w:p>
        </w:tc>
        <w:tc>
          <w:tcPr>
            <w:tcW w:w="2410" w:type="dxa"/>
            <w:tcBorders>
              <w:top w:val="nil"/>
              <w:left w:val="nil"/>
              <w:bottom w:val="single" w:color="auto" w:sz="8" w:space="0"/>
              <w:right w:val="single" w:color="auto" w:sz="8" w:space="0"/>
            </w:tcBorders>
            <w:vAlign w:val="center"/>
          </w:tcPr>
          <w:p w14:paraId="31B3D406">
            <w:pPr>
              <w:widowControl/>
              <w:jc w:val="center"/>
              <w:rPr>
                <w:kern w:val="0"/>
                <w:sz w:val="24"/>
              </w:rPr>
            </w:pPr>
            <w:r>
              <w:rPr>
                <w:kern w:val="0"/>
                <w:sz w:val="24"/>
              </w:rPr>
              <w:t>三亚市旅游和文化广电体育局</w:t>
            </w:r>
          </w:p>
        </w:tc>
        <w:tc>
          <w:tcPr>
            <w:tcW w:w="6291" w:type="dxa"/>
            <w:tcBorders>
              <w:top w:val="nil"/>
              <w:left w:val="nil"/>
              <w:bottom w:val="single" w:color="auto" w:sz="8" w:space="0"/>
              <w:right w:val="single" w:color="auto" w:sz="8" w:space="0"/>
            </w:tcBorders>
            <w:vAlign w:val="center"/>
          </w:tcPr>
          <w:p w14:paraId="5AD9C571">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6F786307">
            <w:pPr>
              <w:widowControl/>
              <w:jc w:val="center"/>
              <w:rPr>
                <w:kern w:val="0"/>
                <w:sz w:val="24"/>
              </w:rPr>
            </w:pPr>
            <w:r>
              <w:rPr>
                <w:kern w:val="0"/>
                <w:sz w:val="24"/>
              </w:rPr>
              <w:t>　</w:t>
            </w:r>
          </w:p>
        </w:tc>
      </w:tr>
      <w:tr w14:paraId="6640F28E">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485AEB8D">
            <w:pPr>
              <w:widowControl/>
              <w:jc w:val="center"/>
              <w:rPr>
                <w:kern w:val="0"/>
                <w:sz w:val="24"/>
              </w:rPr>
            </w:pPr>
            <w:r>
              <w:rPr>
                <w:rFonts w:hint="eastAsia"/>
                <w:kern w:val="0"/>
                <w:sz w:val="24"/>
              </w:rPr>
              <w:t>38</w:t>
            </w:r>
          </w:p>
        </w:tc>
        <w:tc>
          <w:tcPr>
            <w:tcW w:w="2410" w:type="dxa"/>
            <w:tcBorders>
              <w:top w:val="nil"/>
              <w:left w:val="nil"/>
              <w:bottom w:val="single" w:color="auto" w:sz="8" w:space="0"/>
              <w:right w:val="single" w:color="auto" w:sz="8" w:space="0"/>
            </w:tcBorders>
            <w:vAlign w:val="center"/>
          </w:tcPr>
          <w:p w14:paraId="630B55DD">
            <w:pPr>
              <w:widowControl/>
              <w:jc w:val="center"/>
              <w:rPr>
                <w:kern w:val="0"/>
                <w:sz w:val="24"/>
              </w:rPr>
            </w:pPr>
            <w:r>
              <w:rPr>
                <w:kern w:val="0"/>
                <w:sz w:val="24"/>
              </w:rPr>
              <w:t>三亚市住房和城乡建设局</w:t>
            </w:r>
          </w:p>
        </w:tc>
        <w:tc>
          <w:tcPr>
            <w:tcW w:w="6291" w:type="dxa"/>
            <w:tcBorders>
              <w:top w:val="nil"/>
              <w:left w:val="nil"/>
              <w:bottom w:val="single" w:color="auto" w:sz="8" w:space="0"/>
              <w:right w:val="single" w:color="auto" w:sz="8" w:space="0"/>
            </w:tcBorders>
            <w:vAlign w:val="center"/>
          </w:tcPr>
          <w:p w14:paraId="44E9F0BA">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5DC4E98F">
            <w:pPr>
              <w:widowControl/>
              <w:jc w:val="center"/>
              <w:rPr>
                <w:kern w:val="0"/>
                <w:sz w:val="24"/>
              </w:rPr>
            </w:pPr>
            <w:r>
              <w:rPr>
                <w:kern w:val="0"/>
                <w:sz w:val="24"/>
              </w:rPr>
              <w:t>　</w:t>
            </w:r>
          </w:p>
        </w:tc>
      </w:tr>
      <w:tr w14:paraId="3769A3CF">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64A62918">
            <w:pPr>
              <w:widowControl/>
              <w:jc w:val="center"/>
              <w:rPr>
                <w:kern w:val="0"/>
                <w:sz w:val="24"/>
              </w:rPr>
            </w:pPr>
            <w:r>
              <w:rPr>
                <w:kern w:val="0"/>
                <w:sz w:val="24"/>
              </w:rPr>
              <w:t>3</w:t>
            </w:r>
            <w:r>
              <w:rPr>
                <w:rFonts w:hint="eastAsia"/>
                <w:kern w:val="0"/>
                <w:sz w:val="24"/>
              </w:rPr>
              <w:t>9</w:t>
            </w:r>
          </w:p>
        </w:tc>
        <w:tc>
          <w:tcPr>
            <w:tcW w:w="2410" w:type="dxa"/>
            <w:tcBorders>
              <w:top w:val="nil"/>
              <w:left w:val="nil"/>
              <w:bottom w:val="single" w:color="auto" w:sz="8" w:space="0"/>
              <w:right w:val="single" w:color="auto" w:sz="8" w:space="0"/>
            </w:tcBorders>
            <w:vAlign w:val="center"/>
          </w:tcPr>
          <w:p w14:paraId="5583730E">
            <w:pPr>
              <w:widowControl/>
              <w:jc w:val="center"/>
              <w:rPr>
                <w:kern w:val="0"/>
                <w:sz w:val="24"/>
              </w:rPr>
            </w:pPr>
            <w:r>
              <w:rPr>
                <w:kern w:val="0"/>
                <w:sz w:val="24"/>
              </w:rPr>
              <w:t>三亚市科技工业信息化局</w:t>
            </w:r>
          </w:p>
        </w:tc>
        <w:tc>
          <w:tcPr>
            <w:tcW w:w="6291" w:type="dxa"/>
            <w:tcBorders>
              <w:top w:val="nil"/>
              <w:left w:val="nil"/>
              <w:bottom w:val="single" w:color="auto" w:sz="8" w:space="0"/>
              <w:right w:val="single" w:color="auto" w:sz="8" w:space="0"/>
            </w:tcBorders>
            <w:vAlign w:val="center"/>
          </w:tcPr>
          <w:p w14:paraId="2EE1CB29">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273BAD07">
            <w:pPr>
              <w:widowControl/>
              <w:jc w:val="center"/>
              <w:rPr>
                <w:kern w:val="0"/>
                <w:sz w:val="24"/>
              </w:rPr>
            </w:pPr>
            <w:r>
              <w:rPr>
                <w:kern w:val="0"/>
                <w:sz w:val="24"/>
              </w:rPr>
              <w:t>　</w:t>
            </w:r>
          </w:p>
        </w:tc>
      </w:tr>
      <w:tr w14:paraId="3669ED29">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6ABE13DD">
            <w:pPr>
              <w:widowControl/>
              <w:jc w:val="center"/>
              <w:rPr>
                <w:kern w:val="0"/>
                <w:sz w:val="24"/>
              </w:rPr>
            </w:pPr>
            <w:r>
              <w:rPr>
                <w:rFonts w:hint="eastAsia"/>
                <w:kern w:val="0"/>
                <w:sz w:val="24"/>
              </w:rPr>
              <w:t>40</w:t>
            </w:r>
          </w:p>
        </w:tc>
        <w:tc>
          <w:tcPr>
            <w:tcW w:w="2410" w:type="dxa"/>
            <w:tcBorders>
              <w:top w:val="nil"/>
              <w:left w:val="nil"/>
              <w:bottom w:val="single" w:color="auto" w:sz="8" w:space="0"/>
              <w:right w:val="single" w:color="auto" w:sz="8" w:space="0"/>
            </w:tcBorders>
            <w:vAlign w:val="center"/>
          </w:tcPr>
          <w:p w14:paraId="190CF30F">
            <w:pPr>
              <w:widowControl/>
              <w:jc w:val="center"/>
              <w:rPr>
                <w:kern w:val="0"/>
                <w:sz w:val="24"/>
              </w:rPr>
            </w:pPr>
            <w:r>
              <w:rPr>
                <w:kern w:val="0"/>
                <w:sz w:val="24"/>
              </w:rPr>
              <w:t>三亚市交通运输局</w:t>
            </w:r>
          </w:p>
        </w:tc>
        <w:tc>
          <w:tcPr>
            <w:tcW w:w="6291" w:type="dxa"/>
            <w:tcBorders>
              <w:top w:val="nil"/>
              <w:left w:val="nil"/>
              <w:bottom w:val="single" w:color="auto" w:sz="8" w:space="0"/>
              <w:right w:val="single" w:color="auto" w:sz="8" w:space="0"/>
            </w:tcBorders>
            <w:vAlign w:val="center"/>
          </w:tcPr>
          <w:p w14:paraId="20D53DE6">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2FB463EB">
            <w:pPr>
              <w:widowControl/>
              <w:jc w:val="center"/>
              <w:rPr>
                <w:kern w:val="0"/>
                <w:sz w:val="24"/>
              </w:rPr>
            </w:pPr>
            <w:r>
              <w:rPr>
                <w:kern w:val="0"/>
                <w:sz w:val="24"/>
              </w:rPr>
              <w:t>　</w:t>
            </w:r>
          </w:p>
        </w:tc>
      </w:tr>
      <w:tr w14:paraId="4E0CDDC5">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18BC1FFA">
            <w:pPr>
              <w:widowControl/>
              <w:jc w:val="center"/>
              <w:rPr>
                <w:kern w:val="0"/>
                <w:sz w:val="24"/>
              </w:rPr>
            </w:pPr>
            <w:r>
              <w:rPr>
                <w:rFonts w:hint="eastAsia"/>
                <w:kern w:val="0"/>
                <w:sz w:val="24"/>
              </w:rPr>
              <w:t>41</w:t>
            </w:r>
          </w:p>
        </w:tc>
        <w:tc>
          <w:tcPr>
            <w:tcW w:w="2410" w:type="dxa"/>
            <w:tcBorders>
              <w:top w:val="nil"/>
              <w:left w:val="nil"/>
              <w:bottom w:val="single" w:color="auto" w:sz="8" w:space="0"/>
              <w:right w:val="single" w:color="auto" w:sz="8" w:space="0"/>
            </w:tcBorders>
            <w:vAlign w:val="center"/>
          </w:tcPr>
          <w:p w14:paraId="04238ABF">
            <w:pPr>
              <w:widowControl/>
              <w:jc w:val="center"/>
              <w:rPr>
                <w:kern w:val="0"/>
                <w:sz w:val="24"/>
              </w:rPr>
            </w:pPr>
            <w:r>
              <w:rPr>
                <w:kern w:val="0"/>
                <w:sz w:val="24"/>
              </w:rPr>
              <w:t>三亚市市场监督管理局</w:t>
            </w:r>
          </w:p>
        </w:tc>
        <w:tc>
          <w:tcPr>
            <w:tcW w:w="6291" w:type="dxa"/>
            <w:tcBorders>
              <w:top w:val="nil"/>
              <w:left w:val="nil"/>
              <w:bottom w:val="single" w:color="auto" w:sz="8" w:space="0"/>
              <w:right w:val="single" w:color="auto" w:sz="8" w:space="0"/>
            </w:tcBorders>
            <w:vAlign w:val="center"/>
          </w:tcPr>
          <w:p w14:paraId="628E7B74">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0F230894">
            <w:pPr>
              <w:widowControl/>
              <w:jc w:val="center"/>
              <w:rPr>
                <w:kern w:val="0"/>
                <w:sz w:val="24"/>
              </w:rPr>
            </w:pPr>
            <w:r>
              <w:rPr>
                <w:kern w:val="0"/>
                <w:sz w:val="24"/>
              </w:rPr>
              <w:t>　</w:t>
            </w:r>
          </w:p>
        </w:tc>
      </w:tr>
      <w:tr w14:paraId="06992783">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8" w:space="0"/>
              <w:right w:val="single" w:color="auto" w:sz="8" w:space="0"/>
            </w:tcBorders>
            <w:vAlign w:val="center"/>
          </w:tcPr>
          <w:p w14:paraId="5EA4BDC2">
            <w:pPr>
              <w:widowControl/>
              <w:jc w:val="center"/>
              <w:rPr>
                <w:kern w:val="0"/>
                <w:sz w:val="24"/>
              </w:rPr>
            </w:pPr>
            <w:r>
              <w:rPr>
                <w:rFonts w:hint="eastAsia"/>
                <w:kern w:val="0"/>
                <w:sz w:val="24"/>
              </w:rPr>
              <w:t>42</w:t>
            </w:r>
          </w:p>
        </w:tc>
        <w:tc>
          <w:tcPr>
            <w:tcW w:w="2410" w:type="dxa"/>
            <w:tcBorders>
              <w:top w:val="nil"/>
              <w:left w:val="nil"/>
              <w:bottom w:val="single" w:color="auto" w:sz="8" w:space="0"/>
              <w:right w:val="single" w:color="auto" w:sz="8" w:space="0"/>
            </w:tcBorders>
            <w:vAlign w:val="center"/>
          </w:tcPr>
          <w:p w14:paraId="7110AA98">
            <w:pPr>
              <w:widowControl/>
              <w:jc w:val="center"/>
              <w:rPr>
                <w:kern w:val="0"/>
                <w:sz w:val="24"/>
              </w:rPr>
            </w:pPr>
            <w:r>
              <w:rPr>
                <w:kern w:val="0"/>
                <w:sz w:val="24"/>
              </w:rPr>
              <w:t>三亚市自然资源和规划局</w:t>
            </w:r>
          </w:p>
        </w:tc>
        <w:tc>
          <w:tcPr>
            <w:tcW w:w="6291" w:type="dxa"/>
            <w:tcBorders>
              <w:top w:val="nil"/>
              <w:left w:val="nil"/>
              <w:bottom w:val="single" w:color="auto" w:sz="8" w:space="0"/>
              <w:right w:val="single" w:color="auto" w:sz="8" w:space="0"/>
            </w:tcBorders>
            <w:vAlign w:val="center"/>
          </w:tcPr>
          <w:p w14:paraId="276D715F">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2CA30F92">
            <w:pPr>
              <w:widowControl/>
              <w:jc w:val="center"/>
              <w:rPr>
                <w:kern w:val="0"/>
                <w:sz w:val="24"/>
              </w:rPr>
            </w:pPr>
            <w:r>
              <w:rPr>
                <w:kern w:val="0"/>
                <w:sz w:val="24"/>
              </w:rPr>
              <w:t>　</w:t>
            </w:r>
          </w:p>
        </w:tc>
      </w:tr>
      <w:tr w14:paraId="3CD67342">
        <w:tblPrEx>
          <w:tblCellMar>
            <w:top w:w="0" w:type="dxa"/>
            <w:left w:w="108" w:type="dxa"/>
            <w:bottom w:w="0" w:type="dxa"/>
            <w:right w:w="108" w:type="dxa"/>
          </w:tblCellMar>
        </w:tblPrEx>
        <w:trPr>
          <w:trHeight w:val="585" w:hRule="atLeast"/>
        </w:trPr>
        <w:tc>
          <w:tcPr>
            <w:tcW w:w="724" w:type="dxa"/>
            <w:tcBorders>
              <w:top w:val="nil"/>
              <w:left w:val="single" w:color="auto" w:sz="8" w:space="0"/>
              <w:bottom w:val="single" w:color="auto" w:sz="4" w:space="0"/>
              <w:right w:val="single" w:color="auto" w:sz="8" w:space="0"/>
            </w:tcBorders>
            <w:vAlign w:val="center"/>
          </w:tcPr>
          <w:p w14:paraId="3C8D8D67">
            <w:pPr>
              <w:widowControl/>
              <w:jc w:val="center"/>
              <w:rPr>
                <w:kern w:val="0"/>
                <w:sz w:val="24"/>
              </w:rPr>
            </w:pPr>
            <w:r>
              <w:rPr>
                <w:rFonts w:hint="eastAsia"/>
                <w:kern w:val="0"/>
                <w:sz w:val="24"/>
              </w:rPr>
              <w:t>43</w:t>
            </w:r>
          </w:p>
        </w:tc>
        <w:tc>
          <w:tcPr>
            <w:tcW w:w="2410" w:type="dxa"/>
            <w:tcBorders>
              <w:top w:val="nil"/>
              <w:left w:val="nil"/>
              <w:bottom w:val="single" w:color="auto" w:sz="4" w:space="0"/>
              <w:right w:val="single" w:color="auto" w:sz="8" w:space="0"/>
            </w:tcBorders>
            <w:vAlign w:val="center"/>
          </w:tcPr>
          <w:p w14:paraId="1D7686D4">
            <w:pPr>
              <w:widowControl/>
              <w:jc w:val="center"/>
              <w:rPr>
                <w:kern w:val="0"/>
                <w:sz w:val="24"/>
              </w:rPr>
            </w:pPr>
            <w:r>
              <w:rPr>
                <w:kern w:val="0"/>
                <w:sz w:val="24"/>
              </w:rPr>
              <w:t>三亚市天涯区人民政府</w:t>
            </w:r>
          </w:p>
        </w:tc>
        <w:tc>
          <w:tcPr>
            <w:tcW w:w="6291" w:type="dxa"/>
            <w:tcBorders>
              <w:top w:val="nil"/>
              <w:left w:val="nil"/>
              <w:bottom w:val="single" w:color="auto" w:sz="4" w:space="0"/>
              <w:right w:val="single" w:color="auto" w:sz="8" w:space="0"/>
            </w:tcBorders>
            <w:vAlign w:val="center"/>
          </w:tcPr>
          <w:p w14:paraId="671F47C2">
            <w:pPr>
              <w:widowControl/>
              <w:jc w:val="center"/>
              <w:rPr>
                <w:kern w:val="0"/>
                <w:sz w:val="24"/>
              </w:rPr>
            </w:pPr>
            <w:r>
              <w:rPr>
                <w:kern w:val="0"/>
                <w:sz w:val="24"/>
              </w:rPr>
              <w:t>无</w:t>
            </w:r>
          </w:p>
        </w:tc>
        <w:tc>
          <w:tcPr>
            <w:tcW w:w="4341" w:type="dxa"/>
            <w:tcBorders>
              <w:top w:val="nil"/>
              <w:left w:val="nil"/>
              <w:bottom w:val="single" w:color="auto" w:sz="8" w:space="0"/>
              <w:right w:val="single" w:color="auto" w:sz="8" w:space="0"/>
            </w:tcBorders>
            <w:vAlign w:val="center"/>
          </w:tcPr>
          <w:p w14:paraId="3610C807">
            <w:pPr>
              <w:widowControl/>
              <w:jc w:val="center"/>
              <w:rPr>
                <w:kern w:val="0"/>
                <w:sz w:val="24"/>
              </w:rPr>
            </w:pPr>
            <w:r>
              <w:rPr>
                <w:kern w:val="0"/>
                <w:sz w:val="24"/>
              </w:rPr>
              <w:t>　</w:t>
            </w:r>
          </w:p>
        </w:tc>
      </w:tr>
      <w:tr w14:paraId="088F21AE">
        <w:tblPrEx>
          <w:tblCellMar>
            <w:top w:w="0" w:type="dxa"/>
            <w:left w:w="108" w:type="dxa"/>
            <w:bottom w:w="0" w:type="dxa"/>
            <w:right w:w="108" w:type="dxa"/>
          </w:tblCellMar>
        </w:tblPrEx>
        <w:trPr>
          <w:trHeight w:val="585" w:hRule="atLeast"/>
        </w:trPr>
        <w:tc>
          <w:tcPr>
            <w:tcW w:w="724" w:type="dxa"/>
            <w:tcBorders>
              <w:top w:val="single" w:color="auto" w:sz="4" w:space="0"/>
              <w:left w:val="single" w:color="auto" w:sz="4" w:space="0"/>
              <w:bottom w:val="single" w:color="auto" w:sz="4" w:space="0"/>
              <w:right w:val="single" w:color="auto" w:sz="4" w:space="0"/>
            </w:tcBorders>
            <w:vAlign w:val="center"/>
          </w:tcPr>
          <w:p w14:paraId="0A108618">
            <w:pPr>
              <w:widowControl/>
              <w:jc w:val="center"/>
              <w:rPr>
                <w:kern w:val="0"/>
                <w:sz w:val="24"/>
              </w:rPr>
            </w:pPr>
            <w:r>
              <w:rPr>
                <w:rFonts w:hint="eastAsia"/>
                <w:kern w:val="0"/>
                <w:sz w:val="24"/>
              </w:rPr>
              <w:t>44</w:t>
            </w:r>
          </w:p>
        </w:tc>
        <w:tc>
          <w:tcPr>
            <w:tcW w:w="2410" w:type="dxa"/>
            <w:tcBorders>
              <w:top w:val="single" w:color="auto" w:sz="4" w:space="0"/>
              <w:left w:val="single" w:color="auto" w:sz="4" w:space="0"/>
              <w:bottom w:val="single" w:color="auto" w:sz="4" w:space="0"/>
              <w:right w:val="single" w:color="auto" w:sz="4" w:space="0"/>
            </w:tcBorders>
            <w:vAlign w:val="center"/>
          </w:tcPr>
          <w:p w14:paraId="36F4F566">
            <w:pPr>
              <w:widowControl/>
              <w:jc w:val="center"/>
              <w:rPr>
                <w:kern w:val="0"/>
                <w:sz w:val="24"/>
              </w:rPr>
            </w:pPr>
            <w:r>
              <w:rPr>
                <w:kern w:val="0"/>
                <w:sz w:val="24"/>
              </w:rPr>
              <w:t>三亚市生态环境局</w:t>
            </w:r>
          </w:p>
        </w:tc>
        <w:tc>
          <w:tcPr>
            <w:tcW w:w="6291" w:type="dxa"/>
            <w:tcBorders>
              <w:top w:val="single" w:color="auto" w:sz="4" w:space="0"/>
              <w:left w:val="single" w:color="auto" w:sz="4" w:space="0"/>
              <w:bottom w:val="single" w:color="auto" w:sz="4" w:space="0"/>
              <w:right w:val="single" w:color="auto" w:sz="4" w:space="0"/>
            </w:tcBorders>
            <w:vAlign w:val="center"/>
          </w:tcPr>
          <w:p w14:paraId="6E772A1C">
            <w:pPr>
              <w:widowControl/>
              <w:jc w:val="center"/>
              <w:rPr>
                <w:kern w:val="0"/>
                <w:sz w:val="24"/>
              </w:rPr>
            </w:pPr>
            <w:r>
              <w:rPr>
                <w:kern w:val="0"/>
                <w:sz w:val="24"/>
              </w:rPr>
              <w:t>无</w:t>
            </w:r>
          </w:p>
        </w:tc>
        <w:tc>
          <w:tcPr>
            <w:tcW w:w="4341" w:type="dxa"/>
            <w:tcBorders>
              <w:top w:val="nil"/>
              <w:left w:val="single" w:color="auto" w:sz="4" w:space="0"/>
              <w:bottom w:val="single" w:color="auto" w:sz="4" w:space="0"/>
              <w:right w:val="single" w:color="auto" w:sz="8" w:space="0"/>
            </w:tcBorders>
            <w:vAlign w:val="center"/>
          </w:tcPr>
          <w:p w14:paraId="6C976F20">
            <w:pPr>
              <w:widowControl/>
              <w:jc w:val="center"/>
              <w:rPr>
                <w:kern w:val="0"/>
                <w:sz w:val="24"/>
              </w:rPr>
            </w:pPr>
            <w:r>
              <w:rPr>
                <w:kern w:val="0"/>
                <w:sz w:val="24"/>
              </w:rPr>
              <w:t>　</w:t>
            </w:r>
          </w:p>
        </w:tc>
      </w:tr>
      <w:tr w14:paraId="7265F515">
        <w:tblPrEx>
          <w:tblCellMar>
            <w:top w:w="0" w:type="dxa"/>
            <w:left w:w="108" w:type="dxa"/>
            <w:bottom w:w="0" w:type="dxa"/>
            <w:right w:w="108" w:type="dxa"/>
          </w:tblCellMar>
        </w:tblPrEx>
        <w:trPr>
          <w:trHeight w:val="585" w:hRule="atLeast"/>
        </w:trPr>
        <w:tc>
          <w:tcPr>
            <w:tcW w:w="724" w:type="dxa"/>
            <w:tcBorders>
              <w:top w:val="single" w:color="auto" w:sz="4" w:space="0"/>
              <w:left w:val="single" w:color="auto" w:sz="4" w:space="0"/>
              <w:bottom w:val="single" w:color="auto" w:sz="4" w:space="0"/>
              <w:right w:val="single" w:color="auto" w:sz="4" w:space="0"/>
            </w:tcBorders>
            <w:vAlign w:val="center"/>
          </w:tcPr>
          <w:p w14:paraId="760BB7D8">
            <w:pPr>
              <w:widowControl/>
              <w:jc w:val="center"/>
              <w:rPr>
                <w:kern w:val="0"/>
                <w:sz w:val="24"/>
              </w:rPr>
            </w:pPr>
            <w:r>
              <w:rPr>
                <w:rFonts w:hint="eastAsia"/>
                <w:kern w:val="0"/>
                <w:sz w:val="24"/>
              </w:rPr>
              <w:t>45</w:t>
            </w:r>
          </w:p>
        </w:tc>
        <w:tc>
          <w:tcPr>
            <w:tcW w:w="2410" w:type="dxa"/>
            <w:tcBorders>
              <w:top w:val="single" w:color="auto" w:sz="4" w:space="0"/>
              <w:left w:val="single" w:color="auto" w:sz="4" w:space="0"/>
              <w:bottom w:val="single" w:color="auto" w:sz="4" w:space="0"/>
              <w:right w:val="single" w:color="auto" w:sz="4" w:space="0"/>
            </w:tcBorders>
            <w:vAlign w:val="center"/>
          </w:tcPr>
          <w:p w14:paraId="3A98DD0B">
            <w:pPr>
              <w:widowControl/>
              <w:jc w:val="center"/>
              <w:rPr>
                <w:kern w:val="0"/>
                <w:sz w:val="24"/>
              </w:rPr>
            </w:pPr>
            <w:r>
              <w:rPr>
                <w:kern w:val="0"/>
                <w:sz w:val="24"/>
              </w:rPr>
              <w:t>三亚市农业农村局</w:t>
            </w:r>
          </w:p>
        </w:tc>
        <w:tc>
          <w:tcPr>
            <w:tcW w:w="6291" w:type="dxa"/>
            <w:tcBorders>
              <w:top w:val="single" w:color="auto" w:sz="4" w:space="0"/>
              <w:left w:val="single" w:color="auto" w:sz="4" w:space="0"/>
              <w:bottom w:val="single" w:color="auto" w:sz="4" w:space="0"/>
              <w:right w:val="single" w:color="auto" w:sz="4" w:space="0"/>
            </w:tcBorders>
            <w:vAlign w:val="center"/>
          </w:tcPr>
          <w:p w14:paraId="1564C757">
            <w:pPr>
              <w:widowControl/>
              <w:jc w:val="center"/>
              <w:rPr>
                <w:kern w:val="0"/>
                <w:sz w:val="24"/>
              </w:rPr>
            </w:pPr>
            <w:r>
              <w:rPr>
                <w:kern w:val="0"/>
                <w:sz w:val="24"/>
              </w:rPr>
              <w:t>无</w:t>
            </w:r>
          </w:p>
        </w:tc>
        <w:tc>
          <w:tcPr>
            <w:tcW w:w="4341" w:type="dxa"/>
            <w:tcBorders>
              <w:top w:val="single" w:color="auto" w:sz="4" w:space="0"/>
              <w:left w:val="single" w:color="auto" w:sz="4" w:space="0"/>
              <w:bottom w:val="single" w:color="auto" w:sz="4" w:space="0"/>
              <w:right w:val="single" w:color="auto" w:sz="4" w:space="0"/>
            </w:tcBorders>
            <w:vAlign w:val="center"/>
          </w:tcPr>
          <w:p w14:paraId="56400E00">
            <w:pPr>
              <w:widowControl/>
              <w:jc w:val="center"/>
              <w:rPr>
                <w:kern w:val="0"/>
                <w:sz w:val="24"/>
              </w:rPr>
            </w:pPr>
            <w:r>
              <w:rPr>
                <w:kern w:val="0"/>
                <w:sz w:val="24"/>
              </w:rPr>
              <w:t>　</w:t>
            </w:r>
          </w:p>
        </w:tc>
      </w:tr>
      <w:tr w14:paraId="08F52E81">
        <w:tblPrEx>
          <w:tblCellMar>
            <w:top w:w="0" w:type="dxa"/>
            <w:left w:w="108" w:type="dxa"/>
            <w:bottom w:w="0" w:type="dxa"/>
            <w:right w:w="108" w:type="dxa"/>
          </w:tblCellMar>
        </w:tblPrEx>
        <w:trPr>
          <w:trHeight w:val="585" w:hRule="atLeast"/>
        </w:trPr>
        <w:tc>
          <w:tcPr>
            <w:tcW w:w="724" w:type="dxa"/>
            <w:tcBorders>
              <w:top w:val="single" w:color="auto" w:sz="4" w:space="0"/>
              <w:left w:val="single" w:color="auto" w:sz="8" w:space="0"/>
              <w:bottom w:val="single" w:color="auto" w:sz="4" w:space="0"/>
              <w:right w:val="single" w:color="auto" w:sz="8" w:space="0"/>
            </w:tcBorders>
            <w:vAlign w:val="center"/>
          </w:tcPr>
          <w:p w14:paraId="4C7813B9">
            <w:pPr>
              <w:widowControl/>
              <w:jc w:val="center"/>
              <w:rPr>
                <w:kern w:val="0"/>
                <w:sz w:val="24"/>
              </w:rPr>
            </w:pPr>
            <w:r>
              <w:rPr>
                <w:rFonts w:hint="eastAsia"/>
                <w:kern w:val="0"/>
                <w:sz w:val="24"/>
              </w:rPr>
              <w:t>46</w:t>
            </w:r>
          </w:p>
        </w:tc>
        <w:tc>
          <w:tcPr>
            <w:tcW w:w="2410" w:type="dxa"/>
            <w:tcBorders>
              <w:top w:val="single" w:color="auto" w:sz="4" w:space="0"/>
              <w:left w:val="nil"/>
              <w:bottom w:val="single" w:color="auto" w:sz="4" w:space="0"/>
              <w:right w:val="single" w:color="auto" w:sz="8" w:space="0"/>
            </w:tcBorders>
            <w:vAlign w:val="center"/>
          </w:tcPr>
          <w:p w14:paraId="35998C08">
            <w:pPr>
              <w:widowControl/>
              <w:jc w:val="center"/>
              <w:rPr>
                <w:kern w:val="0"/>
                <w:sz w:val="24"/>
              </w:rPr>
            </w:pPr>
            <w:r>
              <w:rPr>
                <w:kern w:val="0"/>
                <w:sz w:val="24"/>
              </w:rPr>
              <w:t>三亚市综合行政执法局</w:t>
            </w:r>
          </w:p>
        </w:tc>
        <w:tc>
          <w:tcPr>
            <w:tcW w:w="6291" w:type="dxa"/>
            <w:tcBorders>
              <w:top w:val="single" w:color="auto" w:sz="4" w:space="0"/>
              <w:left w:val="nil"/>
              <w:bottom w:val="single" w:color="auto" w:sz="4" w:space="0"/>
              <w:right w:val="single" w:color="auto" w:sz="4" w:space="0"/>
            </w:tcBorders>
            <w:vAlign w:val="center"/>
          </w:tcPr>
          <w:p w14:paraId="5E9DD0FE">
            <w:pPr>
              <w:widowControl/>
              <w:jc w:val="center"/>
              <w:rPr>
                <w:kern w:val="0"/>
                <w:sz w:val="24"/>
              </w:rPr>
            </w:pPr>
            <w:r>
              <w:rPr>
                <w:kern w:val="0"/>
                <w:sz w:val="24"/>
              </w:rPr>
              <w:t>无</w:t>
            </w:r>
          </w:p>
        </w:tc>
        <w:tc>
          <w:tcPr>
            <w:tcW w:w="4341" w:type="dxa"/>
            <w:tcBorders>
              <w:top w:val="single" w:color="auto" w:sz="4" w:space="0"/>
              <w:left w:val="single" w:color="auto" w:sz="4" w:space="0"/>
              <w:bottom w:val="single" w:color="auto" w:sz="4" w:space="0"/>
              <w:right w:val="single" w:color="auto" w:sz="4" w:space="0"/>
            </w:tcBorders>
            <w:vAlign w:val="center"/>
          </w:tcPr>
          <w:p w14:paraId="6767820E">
            <w:pPr>
              <w:widowControl/>
              <w:jc w:val="center"/>
              <w:rPr>
                <w:kern w:val="0"/>
                <w:sz w:val="24"/>
              </w:rPr>
            </w:pPr>
            <w:r>
              <w:rPr>
                <w:kern w:val="0"/>
                <w:sz w:val="24"/>
              </w:rPr>
              <w:t>　</w:t>
            </w:r>
          </w:p>
        </w:tc>
      </w:tr>
      <w:tr w14:paraId="5BCE1573">
        <w:tblPrEx>
          <w:tblCellMar>
            <w:top w:w="0" w:type="dxa"/>
            <w:left w:w="108" w:type="dxa"/>
            <w:bottom w:w="0" w:type="dxa"/>
            <w:right w:w="108" w:type="dxa"/>
          </w:tblCellMar>
        </w:tblPrEx>
        <w:trPr>
          <w:trHeight w:val="585" w:hRule="atLeast"/>
        </w:trPr>
        <w:tc>
          <w:tcPr>
            <w:tcW w:w="724" w:type="dxa"/>
            <w:tcBorders>
              <w:top w:val="single" w:color="auto" w:sz="4" w:space="0"/>
              <w:left w:val="single" w:color="auto" w:sz="8" w:space="0"/>
              <w:bottom w:val="single" w:color="auto" w:sz="4" w:space="0"/>
              <w:right w:val="single" w:color="auto" w:sz="8" w:space="0"/>
            </w:tcBorders>
            <w:vAlign w:val="center"/>
          </w:tcPr>
          <w:p w14:paraId="4105AF0E">
            <w:pPr>
              <w:widowControl/>
              <w:jc w:val="center"/>
              <w:rPr>
                <w:kern w:val="0"/>
                <w:sz w:val="24"/>
              </w:rPr>
            </w:pPr>
            <w:r>
              <w:rPr>
                <w:rFonts w:hint="eastAsia"/>
                <w:kern w:val="0"/>
                <w:sz w:val="24"/>
              </w:rPr>
              <w:t>47</w:t>
            </w:r>
          </w:p>
        </w:tc>
        <w:tc>
          <w:tcPr>
            <w:tcW w:w="2410" w:type="dxa"/>
            <w:tcBorders>
              <w:top w:val="single" w:color="auto" w:sz="4" w:space="0"/>
              <w:left w:val="nil"/>
              <w:bottom w:val="single" w:color="auto" w:sz="4" w:space="0"/>
              <w:right w:val="single" w:color="auto" w:sz="8" w:space="0"/>
            </w:tcBorders>
            <w:vAlign w:val="center"/>
          </w:tcPr>
          <w:p w14:paraId="12197BAA">
            <w:pPr>
              <w:widowControl/>
              <w:jc w:val="center"/>
              <w:rPr>
                <w:kern w:val="0"/>
                <w:sz w:val="24"/>
              </w:rPr>
            </w:pPr>
            <w:r>
              <w:rPr>
                <w:kern w:val="0"/>
                <w:sz w:val="24"/>
              </w:rPr>
              <w:t>三亚市吉阳区人民政府</w:t>
            </w:r>
          </w:p>
        </w:tc>
        <w:tc>
          <w:tcPr>
            <w:tcW w:w="6291" w:type="dxa"/>
            <w:tcBorders>
              <w:top w:val="single" w:color="auto" w:sz="4" w:space="0"/>
              <w:left w:val="nil"/>
              <w:bottom w:val="single" w:color="auto" w:sz="4" w:space="0"/>
              <w:right w:val="single" w:color="auto" w:sz="4" w:space="0"/>
            </w:tcBorders>
            <w:vAlign w:val="center"/>
          </w:tcPr>
          <w:p w14:paraId="76A9D87C">
            <w:pPr>
              <w:widowControl/>
              <w:jc w:val="center"/>
              <w:rPr>
                <w:kern w:val="0"/>
                <w:sz w:val="24"/>
              </w:rPr>
            </w:pPr>
            <w:r>
              <w:rPr>
                <w:kern w:val="0"/>
                <w:sz w:val="24"/>
              </w:rPr>
              <w:t>无</w:t>
            </w:r>
          </w:p>
        </w:tc>
        <w:tc>
          <w:tcPr>
            <w:tcW w:w="4341" w:type="dxa"/>
            <w:tcBorders>
              <w:top w:val="single" w:color="auto" w:sz="4" w:space="0"/>
              <w:left w:val="single" w:color="auto" w:sz="4" w:space="0"/>
              <w:bottom w:val="single" w:color="auto" w:sz="4" w:space="0"/>
              <w:right w:val="single" w:color="auto" w:sz="4" w:space="0"/>
            </w:tcBorders>
            <w:vAlign w:val="center"/>
          </w:tcPr>
          <w:p w14:paraId="6CE301EF">
            <w:pPr>
              <w:widowControl/>
              <w:jc w:val="center"/>
              <w:rPr>
                <w:kern w:val="0"/>
                <w:sz w:val="24"/>
              </w:rPr>
            </w:pPr>
          </w:p>
        </w:tc>
      </w:tr>
      <w:tr w14:paraId="1866D38B">
        <w:tblPrEx>
          <w:tblCellMar>
            <w:top w:w="0" w:type="dxa"/>
            <w:left w:w="108" w:type="dxa"/>
            <w:bottom w:w="0" w:type="dxa"/>
            <w:right w:w="108" w:type="dxa"/>
          </w:tblCellMar>
        </w:tblPrEx>
        <w:trPr>
          <w:trHeight w:val="585" w:hRule="atLeast"/>
        </w:trPr>
        <w:tc>
          <w:tcPr>
            <w:tcW w:w="724" w:type="dxa"/>
            <w:tcBorders>
              <w:top w:val="single" w:color="auto" w:sz="4" w:space="0"/>
              <w:left w:val="single" w:color="auto" w:sz="8" w:space="0"/>
              <w:bottom w:val="single" w:color="auto" w:sz="8" w:space="0"/>
              <w:right w:val="single" w:color="auto" w:sz="8" w:space="0"/>
            </w:tcBorders>
            <w:vAlign w:val="center"/>
          </w:tcPr>
          <w:p w14:paraId="0C19BEB6">
            <w:pPr>
              <w:widowControl/>
              <w:jc w:val="center"/>
              <w:rPr>
                <w:kern w:val="0"/>
                <w:sz w:val="24"/>
              </w:rPr>
            </w:pPr>
            <w:r>
              <w:rPr>
                <w:rFonts w:hint="eastAsia"/>
                <w:kern w:val="0"/>
                <w:sz w:val="24"/>
              </w:rPr>
              <w:t>48</w:t>
            </w:r>
          </w:p>
        </w:tc>
        <w:tc>
          <w:tcPr>
            <w:tcW w:w="2410" w:type="dxa"/>
            <w:tcBorders>
              <w:top w:val="single" w:color="auto" w:sz="4" w:space="0"/>
              <w:left w:val="nil"/>
              <w:bottom w:val="single" w:color="auto" w:sz="8" w:space="0"/>
              <w:right w:val="single" w:color="auto" w:sz="8" w:space="0"/>
            </w:tcBorders>
            <w:vAlign w:val="center"/>
          </w:tcPr>
          <w:p w14:paraId="52B60F1A">
            <w:pPr>
              <w:widowControl/>
              <w:jc w:val="center"/>
              <w:rPr>
                <w:kern w:val="0"/>
                <w:sz w:val="24"/>
              </w:rPr>
            </w:pPr>
            <w:r>
              <w:rPr>
                <w:kern w:val="0"/>
                <w:sz w:val="24"/>
              </w:rPr>
              <w:t>三亚市崖州区人民政府</w:t>
            </w:r>
          </w:p>
        </w:tc>
        <w:tc>
          <w:tcPr>
            <w:tcW w:w="6291" w:type="dxa"/>
            <w:tcBorders>
              <w:top w:val="single" w:color="auto" w:sz="4" w:space="0"/>
              <w:left w:val="nil"/>
              <w:bottom w:val="single" w:color="auto" w:sz="8" w:space="0"/>
              <w:right w:val="single" w:color="auto" w:sz="4" w:space="0"/>
            </w:tcBorders>
            <w:vAlign w:val="center"/>
          </w:tcPr>
          <w:p w14:paraId="2D6E411F">
            <w:pPr>
              <w:widowControl/>
              <w:jc w:val="center"/>
              <w:rPr>
                <w:kern w:val="0"/>
                <w:sz w:val="24"/>
              </w:rPr>
            </w:pPr>
            <w:r>
              <w:rPr>
                <w:kern w:val="0"/>
                <w:sz w:val="24"/>
              </w:rPr>
              <w:t>无</w:t>
            </w:r>
          </w:p>
        </w:tc>
        <w:tc>
          <w:tcPr>
            <w:tcW w:w="4341" w:type="dxa"/>
            <w:tcBorders>
              <w:top w:val="single" w:color="auto" w:sz="4" w:space="0"/>
              <w:left w:val="single" w:color="auto" w:sz="4" w:space="0"/>
              <w:bottom w:val="single" w:color="auto" w:sz="4" w:space="0"/>
              <w:right w:val="single" w:color="auto" w:sz="4" w:space="0"/>
            </w:tcBorders>
            <w:vAlign w:val="center"/>
          </w:tcPr>
          <w:p w14:paraId="79C51295">
            <w:pPr>
              <w:widowControl/>
              <w:jc w:val="center"/>
              <w:rPr>
                <w:kern w:val="0"/>
                <w:sz w:val="24"/>
              </w:rPr>
            </w:pPr>
          </w:p>
        </w:tc>
      </w:tr>
    </w:tbl>
    <w:p w14:paraId="3BCE4740"/>
    <w:p w14:paraId="73902E39">
      <w:pPr>
        <w:spacing w:line="360" w:lineRule="auto"/>
        <w:outlineLvl w:val="1"/>
        <w:rPr>
          <w:rFonts w:eastAsia="黑体"/>
          <w:sz w:val="32"/>
          <w:szCs w:val="32"/>
        </w:rPr>
        <w:sectPr>
          <w:pgSz w:w="16838" w:h="11905" w:orient="landscape"/>
          <w:pgMar w:top="1803" w:right="1440" w:bottom="1803" w:left="1440" w:header="851" w:footer="992" w:gutter="0"/>
          <w:cols w:space="720" w:num="1"/>
          <w:docGrid w:type="lines" w:linePitch="319" w:charSpace="0"/>
        </w:sectPr>
      </w:pPr>
    </w:p>
    <w:p w14:paraId="7D4A47F3">
      <w:pPr>
        <w:spacing w:line="360" w:lineRule="auto"/>
        <w:outlineLvl w:val="1"/>
        <w:rPr>
          <w:rFonts w:eastAsia="黑体"/>
          <w:sz w:val="32"/>
          <w:szCs w:val="32"/>
        </w:rPr>
        <w:sectPr>
          <w:pgSz w:w="11905" w:h="16838"/>
          <w:pgMar w:top="1440" w:right="1803" w:bottom="1440" w:left="1803" w:header="851" w:footer="992" w:gutter="0"/>
          <w:cols w:space="720" w:num="1"/>
          <w:docGrid w:type="lines" w:linePitch="319" w:charSpace="0"/>
        </w:sectPr>
      </w:pPr>
      <w:r>
        <w:rPr>
          <w:lang w:val="en-US" w:eastAsia="zh-CN"/>
        </w:rPr>
        <w:drawing>
          <wp:anchor distT="0" distB="0" distL="114300" distR="114300" simplePos="0" relativeHeight="251662336" behindDoc="0" locked="0" layoutInCell="1" allowOverlap="1">
            <wp:simplePos x="0" y="0"/>
            <wp:positionH relativeFrom="column">
              <wp:posOffset>-530225</wp:posOffset>
            </wp:positionH>
            <wp:positionV relativeFrom="paragraph">
              <wp:posOffset>-173355</wp:posOffset>
            </wp:positionV>
            <wp:extent cx="6400800" cy="8798560"/>
            <wp:effectExtent l="0" t="0" r="0" b="0"/>
            <wp:wrapSquare wrapText="bothSides"/>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400800" cy="8798560"/>
                    </a:xfrm>
                    <a:prstGeom prst="rect">
                      <a:avLst/>
                    </a:prstGeom>
                    <a:noFill/>
                    <a:ln>
                      <a:noFill/>
                    </a:ln>
                  </pic:spPr>
                </pic:pic>
              </a:graphicData>
            </a:graphic>
          </wp:anchor>
        </w:drawing>
      </w:r>
      <w:r>
        <w:rPr>
          <w:rFonts w:eastAsia="黑体"/>
          <w:sz w:val="32"/>
          <w:szCs w:val="32"/>
        </w:rPr>
        <w:br w:type="page"/>
      </w:r>
      <w:r>
        <w:rPr>
          <w:rFonts w:eastAsia="黑体"/>
          <w:sz w:val="32"/>
          <w:szCs w:val="32"/>
          <w:lang w:val="en-US" w:eastAsia="zh-CN"/>
        </w:rPr>
        <w:drawing>
          <wp:anchor distT="0" distB="0" distL="114300" distR="114300" simplePos="0" relativeHeight="251663360" behindDoc="0" locked="0" layoutInCell="1" allowOverlap="1">
            <wp:simplePos x="0" y="0"/>
            <wp:positionH relativeFrom="column">
              <wp:posOffset>-546100</wp:posOffset>
            </wp:positionH>
            <wp:positionV relativeFrom="paragraph">
              <wp:posOffset>-429260</wp:posOffset>
            </wp:positionV>
            <wp:extent cx="6038215" cy="9005570"/>
            <wp:effectExtent l="0" t="0" r="0" b="0"/>
            <wp:wrapSquare wrapText="bothSides"/>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6038215" cy="9005570"/>
                    </a:xfrm>
                    <a:prstGeom prst="rect">
                      <a:avLst/>
                    </a:prstGeom>
                    <a:noFill/>
                    <a:ln>
                      <a:noFill/>
                    </a:ln>
                  </pic:spPr>
                </pic:pic>
              </a:graphicData>
            </a:graphic>
          </wp:anchor>
        </w:drawing>
      </w:r>
    </w:p>
    <w:p w14:paraId="25B7303D">
      <w:pPr>
        <w:spacing w:line="360" w:lineRule="auto"/>
        <w:outlineLvl w:val="1"/>
        <w:rPr>
          <w:rFonts w:eastAsia="黑体"/>
          <w:sz w:val="32"/>
          <w:szCs w:val="32"/>
        </w:rPr>
        <w:sectPr>
          <w:pgSz w:w="11905" w:h="16838"/>
          <w:pgMar w:top="1440" w:right="1803" w:bottom="1440" w:left="1803" w:header="851" w:footer="992" w:gutter="0"/>
          <w:cols w:space="720" w:num="1"/>
          <w:docGrid w:type="lines" w:linePitch="319" w:charSpace="0"/>
        </w:sectPr>
      </w:pPr>
      <w:r>
        <w:rPr>
          <w:lang w:val="en-US" w:eastAsia="zh-CN"/>
        </w:rPr>
        <w:drawing>
          <wp:anchor distT="0" distB="0" distL="114300" distR="114300" simplePos="0" relativeHeight="251666432" behindDoc="0" locked="0" layoutInCell="1" allowOverlap="1">
            <wp:simplePos x="0" y="0"/>
            <wp:positionH relativeFrom="column">
              <wp:posOffset>-657225</wp:posOffset>
            </wp:positionH>
            <wp:positionV relativeFrom="paragraph">
              <wp:posOffset>-126365</wp:posOffset>
            </wp:positionV>
            <wp:extent cx="6558915" cy="8891905"/>
            <wp:effectExtent l="0" t="0" r="0" b="0"/>
            <wp:wrapSquare wrapText="bothSides"/>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558915" cy="8891905"/>
                    </a:xfrm>
                    <a:prstGeom prst="rect">
                      <a:avLst/>
                    </a:prstGeom>
                    <a:noFill/>
                    <a:ln>
                      <a:noFill/>
                    </a:ln>
                  </pic:spPr>
                </pic:pic>
              </a:graphicData>
            </a:graphic>
          </wp:anchor>
        </w:drawing>
      </w:r>
    </w:p>
    <w:p w14:paraId="7FC24A7B">
      <w:pPr>
        <w:spacing w:line="360" w:lineRule="auto"/>
        <w:outlineLvl w:val="1"/>
        <w:rPr>
          <w:rFonts w:eastAsia="黑体"/>
          <w:sz w:val="32"/>
          <w:szCs w:val="32"/>
        </w:rPr>
        <w:sectPr>
          <w:pgSz w:w="11905" w:h="16838"/>
          <w:pgMar w:top="1440" w:right="1803" w:bottom="1440" w:left="1803" w:header="851" w:footer="992" w:gutter="0"/>
          <w:cols w:space="720" w:num="1"/>
          <w:docGrid w:type="lines" w:linePitch="319" w:charSpace="0"/>
        </w:sectPr>
      </w:pPr>
      <w:r>
        <w:rPr>
          <w:lang w:val="en-US" w:eastAsia="zh-CN"/>
        </w:rPr>
        <w:drawing>
          <wp:anchor distT="0" distB="0" distL="114300" distR="114300" simplePos="0" relativeHeight="251665408" behindDoc="0" locked="0" layoutInCell="1" allowOverlap="1">
            <wp:simplePos x="0" y="0"/>
            <wp:positionH relativeFrom="column">
              <wp:posOffset>-499110</wp:posOffset>
            </wp:positionH>
            <wp:positionV relativeFrom="paragraph">
              <wp:posOffset>-346710</wp:posOffset>
            </wp:positionV>
            <wp:extent cx="6243320" cy="8970645"/>
            <wp:effectExtent l="0" t="0" r="0" b="0"/>
            <wp:wrapSquare wrapText="bothSides"/>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243320" cy="8970645"/>
                    </a:xfrm>
                    <a:prstGeom prst="rect">
                      <a:avLst/>
                    </a:prstGeom>
                    <a:noFill/>
                    <a:ln>
                      <a:noFill/>
                    </a:ln>
                  </pic:spPr>
                </pic:pic>
              </a:graphicData>
            </a:graphic>
          </wp:anchor>
        </w:drawing>
      </w:r>
    </w:p>
    <w:p w14:paraId="5BB044F9">
      <w:pPr>
        <w:spacing w:line="360" w:lineRule="auto"/>
        <w:outlineLvl w:val="1"/>
        <w:rPr>
          <w:lang w:val="en-US" w:eastAsia="zh-CN"/>
        </w:rPr>
        <w:sectPr>
          <w:pgSz w:w="11905" w:h="16838"/>
          <w:pgMar w:top="1440" w:right="1803" w:bottom="1440" w:left="1803" w:header="851" w:footer="992" w:gutter="0"/>
          <w:cols w:space="720" w:num="1"/>
          <w:docGrid w:type="lines" w:linePitch="319" w:charSpace="0"/>
        </w:sectPr>
      </w:pPr>
      <w:r>
        <w:rPr>
          <w:lang w:val="en-US" w:eastAsia="zh-CN"/>
        </w:rPr>
        <w:drawing>
          <wp:anchor distT="0" distB="0" distL="114300" distR="114300" simplePos="0" relativeHeight="251664384" behindDoc="0" locked="0" layoutInCell="1" allowOverlap="1">
            <wp:simplePos x="0" y="0"/>
            <wp:positionH relativeFrom="column">
              <wp:posOffset>-262255</wp:posOffset>
            </wp:positionH>
            <wp:positionV relativeFrom="paragraph">
              <wp:posOffset>-173355</wp:posOffset>
            </wp:positionV>
            <wp:extent cx="6281420" cy="8592185"/>
            <wp:effectExtent l="0" t="0" r="0" b="0"/>
            <wp:wrapSquare wrapText="bothSides"/>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6281420" cy="8592185"/>
                    </a:xfrm>
                    <a:prstGeom prst="rect">
                      <a:avLst/>
                    </a:prstGeom>
                    <a:noFill/>
                    <a:ln>
                      <a:noFill/>
                    </a:ln>
                  </pic:spPr>
                </pic:pic>
              </a:graphicData>
            </a:graphic>
          </wp:anchor>
        </w:drawing>
      </w:r>
    </w:p>
    <w:p w14:paraId="1452DAB4">
      <w:pPr>
        <w:spacing w:line="360" w:lineRule="auto"/>
        <w:outlineLvl w:val="1"/>
        <w:rPr>
          <w:rFonts w:hint="eastAsia" w:eastAsia="黑体"/>
          <w:sz w:val="32"/>
          <w:szCs w:val="32"/>
        </w:rPr>
      </w:pPr>
      <w:r>
        <w:rPr>
          <w:rFonts w:hint="eastAsia" w:eastAsia="黑体"/>
          <w:sz w:val="32"/>
          <w:szCs w:val="32"/>
          <w:lang w:val="en-US" w:eastAsia="zh-CN"/>
        </w:rPr>
        <w:drawing>
          <wp:anchor distT="0" distB="0" distL="114300" distR="114300" simplePos="0" relativeHeight="251667456" behindDoc="0" locked="0" layoutInCell="1" allowOverlap="1">
            <wp:simplePos x="0" y="0"/>
            <wp:positionH relativeFrom="column">
              <wp:posOffset>-293370</wp:posOffset>
            </wp:positionH>
            <wp:positionV relativeFrom="paragraph">
              <wp:posOffset>-375285</wp:posOffset>
            </wp:positionV>
            <wp:extent cx="6604635" cy="9015095"/>
            <wp:effectExtent l="0" t="0" r="0" b="0"/>
            <wp:wrapSquare wrapText="bothSides"/>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6604635" cy="9015095"/>
                    </a:xfrm>
                    <a:prstGeom prst="rect">
                      <a:avLst/>
                    </a:prstGeom>
                    <a:noFill/>
                    <a:ln>
                      <a:noFill/>
                    </a:ln>
                  </pic:spPr>
                </pic:pic>
              </a:graphicData>
            </a:graphic>
          </wp:anchor>
        </w:drawing>
      </w:r>
    </w:p>
    <w:p w14:paraId="499CE17D">
      <w:pPr>
        <w:spacing w:line="360" w:lineRule="auto"/>
        <w:outlineLvl w:val="1"/>
        <w:rPr>
          <w:rFonts w:eastAsia="黑体"/>
          <w:sz w:val="32"/>
          <w:szCs w:val="32"/>
        </w:rPr>
        <w:sectPr>
          <w:pgSz w:w="11905" w:h="16838"/>
          <w:pgMar w:top="1440" w:right="1803" w:bottom="1440" w:left="1803" w:header="851" w:footer="992" w:gutter="0"/>
          <w:cols w:space="720" w:num="1"/>
          <w:docGrid w:type="lines" w:linePitch="319" w:charSpace="0"/>
        </w:sectPr>
      </w:pPr>
    </w:p>
    <w:p w14:paraId="228357CC">
      <w:pPr>
        <w:jc w:val="center"/>
        <w:rPr>
          <w:b/>
          <w:sz w:val="32"/>
        </w:rPr>
      </w:pPr>
      <w:r>
        <w:rPr>
          <w:b/>
          <w:sz w:val="32"/>
        </w:rPr>
        <w:t>专家评审意见处理表</w:t>
      </w:r>
    </w:p>
    <w:p w14:paraId="23CBE95B">
      <w:pPr>
        <w:spacing w:line="360" w:lineRule="auto"/>
        <w:ind w:firstLine="480" w:firstLineChars="200"/>
        <w:rPr>
          <w:sz w:val="24"/>
        </w:rPr>
      </w:pPr>
      <w:r>
        <w:rPr>
          <w:sz w:val="24"/>
        </w:rPr>
        <w:t>根据专家评估意见对《三亚市林业产业发展规划（2021-2035年）》进行了修编，现对评估意见做具体回复如下：</w:t>
      </w:r>
    </w:p>
    <w:tbl>
      <w:tblPr>
        <w:tblStyle w:val="18"/>
        <w:tblW w:w="13907" w:type="dxa"/>
        <w:tblInd w:w="93" w:type="dxa"/>
        <w:tblLayout w:type="autofit"/>
        <w:tblCellMar>
          <w:top w:w="0" w:type="dxa"/>
          <w:left w:w="108" w:type="dxa"/>
          <w:bottom w:w="0" w:type="dxa"/>
          <w:right w:w="108" w:type="dxa"/>
        </w:tblCellMar>
      </w:tblPr>
      <w:tblGrid>
        <w:gridCol w:w="700"/>
        <w:gridCol w:w="5127"/>
        <w:gridCol w:w="5528"/>
        <w:gridCol w:w="2552"/>
      </w:tblGrid>
      <w:tr w14:paraId="0CB99BEE">
        <w:tblPrEx>
          <w:tblCellMar>
            <w:top w:w="0" w:type="dxa"/>
            <w:left w:w="108" w:type="dxa"/>
            <w:bottom w:w="0" w:type="dxa"/>
            <w:right w:w="108" w:type="dxa"/>
          </w:tblCellMar>
        </w:tblPrEx>
        <w:trPr>
          <w:trHeight w:val="435" w:hRule="atLeast"/>
          <w:tblHeader/>
        </w:trPr>
        <w:tc>
          <w:tcPr>
            <w:tcW w:w="700" w:type="dxa"/>
            <w:tcBorders>
              <w:top w:val="single" w:color="auto" w:sz="4" w:space="0"/>
              <w:left w:val="single" w:color="auto" w:sz="4" w:space="0"/>
              <w:bottom w:val="single" w:color="auto" w:sz="4" w:space="0"/>
              <w:right w:val="single" w:color="auto" w:sz="4" w:space="0"/>
            </w:tcBorders>
            <w:vAlign w:val="center"/>
          </w:tcPr>
          <w:p w14:paraId="60C3FD08">
            <w:pPr>
              <w:widowControl/>
              <w:jc w:val="center"/>
              <w:rPr>
                <w:b/>
                <w:bCs/>
                <w:kern w:val="0"/>
                <w:sz w:val="24"/>
              </w:rPr>
            </w:pPr>
            <w:r>
              <w:rPr>
                <w:b/>
                <w:bCs/>
                <w:kern w:val="0"/>
                <w:sz w:val="24"/>
              </w:rPr>
              <w:t>序号</w:t>
            </w:r>
          </w:p>
        </w:tc>
        <w:tc>
          <w:tcPr>
            <w:tcW w:w="5127" w:type="dxa"/>
            <w:tcBorders>
              <w:top w:val="single" w:color="auto" w:sz="4" w:space="0"/>
              <w:left w:val="nil"/>
              <w:bottom w:val="single" w:color="auto" w:sz="4" w:space="0"/>
              <w:right w:val="single" w:color="auto" w:sz="4" w:space="0"/>
            </w:tcBorders>
            <w:vAlign w:val="center"/>
          </w:tcPr>
          <w:p w14:paraId="59CF05DB">
            <w:pPr>
              <w:widowControl/>
              <w:jc w:val="center"/>
              <w:rPr>
                <w:b/>
                <w:bCs/>
                <w:kern w:val="0"/>
                <w:sz w:val="24"/>
              </w:rPr>
            </w:pPr>
            <w:r>
              <w:rPr>
                <w:b/>
                <w:bCs/>
                <w:kern w:val="0"/>
                <w:sz w:val="24"/>
              </w:rPr>
              <w:t>评审会提出意见</w:t>
            </w:r>
          </w:p>
        </w:tc>
        <w:tc>
          <w:tcPr>
            <w:tcW w:w="5528" w:type="dxa"/>
            <w:tcBorders>
              <w:top w:val="single" w:color="auto" w:sz="4" w:space="0"/>
              <w:left w:val="nil"/>
              <w:bottom w:val="single" w:color="auto" w:sz="4" w:space="0"/>
              <w:right w:val="single" w:color="auto" w:sz="4" w:space="0"/>
            </w:tcBorders>
            <w:vAlign w:val="center"/>
          </w:tcPr>
          <w:p w14:paraId="76207640">
            <w:pPr>
              <w:widowControl/>
              <w:jc w:val="center"/>
              <w:rPr>
                <w:b/>
                <w:bCs/>
                <w:kern w:val="0"/>
                <w:sz w:val="24"/>
              </w:rPr>
            </w:pPr>
            <w:r>
              <w:rPr>
                <w:b/>
                <w:bCs/>
                <w:kern w:val="0"/>
                <w:sz w:val="24"/>
              </w:rPr>
              <w:t>修改反馈</w:t>
            </w:r>
          </w:p>
        </w:tc>
        <w:tc>
          <w:tcPr>
            <w:tcW w:w="2552" w:type="dxa"/>
            <w:tcBorders>
              <w:top w:val="single" w:color="auto" w:sz="4" w:space="0"/>
              <w:left w:val="nil"/>
              <w:bottom w:val="single" w:color="auto" w:sz="4" w:space="0"/>
              <w:right w:val="single" w:color="auto" w:sz="4" w:space="0"/>
            </w:tcBorders>
            <w:vAlign w:val="center"/>
          </w:tcPr>
          <w:p w14:paraId="56657155">
            <w:pPr>
              <w:widowControl/>
              <w:jc w:val="center"/>
              <w:rPr>
                <w:b/>
                <w:bCs/>
                <w:kern w:val="0"/>
                <w:sz w:val="24"/>
              </w:rPr>
            </w:pPr>
            <w:r>
              <w:rPr>
                <w:b/>
                <w:bCs/>
                <w:kern w:val="0"/>
                <w:sz w:val="24"/>
              </w:rPr>
              <w:t>具体修改情况</w:t>
            </w:r>
          </w:p>
        </w:tc>
      </w:tr>
      <w:tr w14:paraId="109DCF8A">
        <w:tblPrEx>
          <w:tblCellMar>
            <w:top w:w="0" w:type="dxa"/>
            <w:left w:w="108" w:type="dxa"/>
            <w:bottom w:w="0" w:type="dxa"/>
            <w:right w:w="108" w:type="dxa"/>
          </w:tblCellMar>
        </w:tblPrEx>
        <w:trPr>
          <w:trHeight w:val="866" w:hRule="atLeast"/>
        </w:trPr>
        <w:tc>
          <w:tcPr>
            <w:tcW w:w="700" w:type="dxa"/>
            <w:tcBorders>
              <w:top w:val="nil"/>
              <w:left w:val="single" w:color="auto" w:sz="4" w:space="0"/>
              <w:bottom w:val="single" w:color="auto" w:sz="4" w:space="0"/>
              <w:right w:val="single" w:color="auto" w:sz="4" w:space="0"/>
            </w:tcBorders>
            <w:vAlign w:val="center"/>
          </w:tcPr>
          <w:p w14:paraId="479FA8F7">
            <w:pPr>
              <w:widowControl/>
              <w:jc w:val="center"/>
              <w:rPr>
                <w:kern w:val="0"/>
                <w:sz w:val="24"/>
              </w:rPr>
            </w:pPr>
            <w:r>
              <w:rPr>
                <w:kern w:val="0"/>
                <w:sz w:val="24"/>
              </w:rPr>
              <w:t>1</w:t>
            </w:r>
          </w:p>
        </w:tc>
        <w:tc>
          <w:tcPr>
            <w:tcW w:w="5127" w:type="dxa"/>
            <w:tcBorders>
              <w:top w:val="nil"/>
              <w:left w:val="nil"/>
              <w:bottom w:val="single" w:color="auto" w:sz="4" w:space="0"/>
              <w:right w:val="single" w:color="auto" w:sz="4" w:space="0"/>
            </w:tcBorders>
            <w:vAlign w:val="center"/>
          </w:tcPr>
          <w:p w14:paraId="5321EBB6">
            <w:pPr>
              <w:widowControl/>
              <w:jc w:val="left"/>
              <w:rPr>
                <w:sz w:val="24"/>
              </w:rPr>
            </w:pPr>
            <w:r>
              <w:rPr>
                <w:rFonts w:hint="eastAsia" w:ascii="宋体" w:hAnsi="宋体" w:cs="宋体"/>
                <w:sz w:val="24"/>
              </w:rPr>
              <w:t>①</w:t>
            </w:r>
            <w:r>
              <w:rPr>
                <w:sz w:val="24"/>
              </w:rPr>
              <w:t>规划数据指标需要考核，要与其它规划相衔接；</w:t>
            </w:r>
          </w:p>
          <w:p w14:paraId="575C991B">
            <w:pPr>
              <w:widowControl/>
              <w:jc w:val="left"/>
              <w:rPr>
                <w:sz w:val="24"/>
              </w:rPr>
            </w:pPr>
            <w:r>
              <w:rPr>
                <w:rFonts w:hint="eastAsia" w:ascii="宋体" w:hAnsi="宋体" w:cs="宋体"/>
                <w:sz w:val="24"/>
              </w:rPr>
              <w:t>②</w:t>
            </w:r>
            <w:r>
              <w:rPr>
                <w:sz w:val="24"/>
              </w:rPr>
              <w:t>6大产业规划排序可参照第一、二、三产业；</w:t>
            </w:r>
          </w:p>
          <w:p w14:paraId="166A818B">
            <w:pPr>
              <w:widowControl/>
              <w:jc w:val="left"/>
              <w:rPr>
                <w:sz w:val="24"/>
              </w:rPr>
            </w:pPr>
            <w:r>
              <w:rPr>
                <w:rFonts w:hint="eastAsia" w:ascii="宋体" w:hAnsi="宋体" w:cs="宋体"/>
                <w:sz w:val="24"/>
              </w:rPr>
              <w:t>③</w:t>
            </w:r>
            <w:r>
              <w:rPr>
                <w:sz w:val="24"/>
              </w:rPr>
              <w:t>三亚市森林覆盖率达69%，大规模营造林不现实，更多应在于提质；</w:t>
            </w:r>
          </w:p>
          <w:p w14:paraId="0EF87815">
            <w:pPr>
              <w:widowControl/>
              <w:jc w:val="left"/>
              <w:rPr>
                <w:sz w:val="24"/>
              </w:rPr>
            </w:pPr>
            <w:r>
              <w:rPr>
                <w:rFonts w:hint="eastAsia" w:ascii="宋体" w:hAnsi="宋体" w:cs="宋体"/>
                <w:sz w:val="24"/>
              </w:rPr>
              <w:t>④</w:t>
            </w:r>
            <w:r>
              <w:rPr>
                <w:sz w:val="24"/>
              </w:rPr>
              <w:t>森林发挥价值较低，在广度上体现出来，如经济林改生态林；</w:t>
            </w:r>
          </w:p>
          <w:p w14:paraId="6D237526">
            <w:pPr>
              <w:widowControl/>
              <w:jc w:val="left"/>
              <w:rPr>
                <w:kern w:val="0"/>
                <w:sz w:val="24"/>
              </w:rPr>
            </w:pPr>
            <w:r>
              <w:rPr>
                <w:rFonts w:hint="eastAsia" w:ascii="宋体" w:hAnsi="宋体" w:cs="宋体"/>
                <w:sz w:val="24"/>
              </w:rPr>
              <w:t>⑤</w:t>
            </w:r>
            <w:r>
              <w:rPr>
                <w:sz w:val="24"/>
              </w:rPr>
              <w:t>林木种苗与花卉繁育基地增加面积。</w:t>
            </w:r>
          </w:p>
        </w:tc>
        <w:tc>
          <w:tcPr>
            <w:tcW w:w="5528" w:type="dxa"/>
            <w:tcBorders>
              <w:top w:val="nil"/>
              <w:left w:val="nil"/>
              <w:bottom w:val="single" w:color="auto" w:sz="4" w:space="0"/>
              <w:right w:val="single" w:color="auto" w:sz="4" w:space="0"/>
            </w:tcBorders>
            <w:vAlign w:val="center"/>
          </w:tcPr>
          <w:p w14:paraId="04522380">
            <w:pPr>
              <w:widowControl/>
              <w:jc w:val="left"/>
              <w:rPr>
                <w:sz w:val="24"/>
              </w:rPr>
            </w:pPr>
            <w:r>
              <w:rPr>
                <w:rFonts w:hint="eastAsia" w:ascii="宋体" w:hAnsi="宋体" w:cs="宋体"/>
                <w:sz w:val="24"/>
              </w:rPr>
              <w:t>①</w:t>
            </w:r>
            <w:r>
              <w:rPr>
                <w:sz w:val="24"/>
              </w:rPr>
              <w:t>已采纳。规划的项目参考三亚市国民经济和社会发展第十四个五年规划和二〇三五年远景目标纲要、三亚市林业发展“十四五”规划等。</w:t>
            </w:r>
          </w:p>
          <w:p w14:paraId="5E28A02B">
            <w:pPr>
              <w:widowControl/>
              <w:jc w:val="left"/>
              <w:rPr>
                <w:sz w:val="24"/>
              </w:rPr>
            </w:pPr>
            <w:r>
              <w:rPr>
                <w:rFonts w:hint="eastAsia" w:ascii="宋体" w:hAnsi="宋体" w:cs="宋体"/>
                <w:sz w:val="24"/>
              </w:rPr>
              <w:t>②</w:t>
            </w:r>
            <w:r>
              <w:rPr>
                <w:sz w:val="24"/>
              </w:rPr>
              <w:t>6大产业排序修改为森林旅游与森林康养产业、林木种苗与花卉产业、用材林产业、经济林产业、林下经济产业和生态保护与修复产业。</w:t>
            </w:r>
          </w:p>
          <w:p w14:paraId="57957413">
            <w:pPr>
              <w:widowControl/>
              <w:jc w:val="left"/>
              <w:rPr>
                <w:sz w:val="24"/>
              </w:rPr>
            </w:pPr>
            <w:r>
              <w:rPr>
                <w:rFonts w:hint="eastAsia" w:ascii="宋体" w:hAnsi="宋体" w:cs="宋体"/>
                <w:sz w:val="24"/>
              </w:rPr>
              <w:t>③</w:t>
            </w:r>
            <w:r>
              <w:rPr>
                <w:sz w:val="24"/>
              </w:rPr>
              <w:t>已采纳。在用材林产业中森林质量精准提升工程项目体现。</w:t>
            </w:r>
          </w:p>
          <w:p w14:paraId="1B92F0AB">
            <w:pPr>
              <w:widowControl/>
              <w:jc w:val="left"/>
              <w:rPr>
                <w:sz w:val="24"/>
              </w:rPr>
            </w:pPr>
            <w:r>
              <w:rPr>
                <w:rFonts w:hint="eastAsia" w:ascii="宋体" w:hAnsi="宋体" w:cs="宋体"/>
                <w:sz w:val="24"/>
              </w:rPr>
              <w:t>④</w:t>
            </w:r>
            <w:r>
              <w:rPr>
                <w:sz w:val="24"/>
              </w:rPr>
              <w:t>已采纳。在经济林产业中经济林改生态林项目体现。</w:t>
            </w:r>
          </w:p>
          <w:p w14:paraId="6F279BF2">
            <w:pPr>
              <w:widowControl/>
              <w:jc w:val="left"/>
              <w:rPr>
                <w:sz w:val="24"/>
              </w:rPr>
            </w:pPr>
            <w:r>
              <w:rPr>
                <w:rFonts w:hint="eastAsia" w:ascii="宋体" w:hAnsi="宋体" w:cs="宋体"/>
                <w:sz w:val="24"/>
              </w:rPr>
              <w:t>⑤</w:t>
            </w:r>
            <w:r>
              <w:rPr>
                <w:sz w:val="24"/>
              </w:rPr>
              <w:t>繁育基地面积参照三亚市国民经济和社会发展第十四个五年规划和二〇三五年远景目标纲要中所涉及“育才后花园”。</w:t>
            </w:r>
          </w:p>
          <w:p w14:paraId="5D968C39">
            <w:pPr>
              <w:widowControl/>
              <w:jc w:val="left"/>
              <w:rPr>
                <w:sz w:val="24"/>
              </w:rPr>
            </w:pPr>
          </w:p>
        </w:tc>
        <w:tc>
          <w:tcPr>
            <w:tcW w:w="2552" w:type="dxa"/>
            <w:tcBorders>
              <w:top w:val="nil"/>
              <w:left w:val="nil"/>
              <w:bottom w:val="single" w:color="auto" w:sz="4" w:space="0"/>
              <w:right w:val="single" w:color="auto" w:sz="4" w:space="0"/>
            </w:tcBorders>
            <w:vAlign w:val="center"/>
          </w:tcPr>
          <w:p w14:paraId="738E438A">
            <w:pPr>
              <w:widowControl/>
              <w:jc w:val="left"/>
              <w:rPr>
                <w:sz w:val="24"/>
              </w:rPr>
            </w:pPr>
            <w:r>
              <w:rPr>
                <w:rFonts w:hint="eastAsia" w:ascii="宋体" w:hAnsi="宋体" w:cs="宋体"/>
                <w:sz w:val="24"/>
              </w:rPr>
              <w:t>①</w:t>
            </w:r>
            <w:r>
              <w:rPr>
                <w:sz w:val="24"/>
              </w:rPr>
              <w:t>~</w:t>
            </w:r>
            <w:r>
              <w:rPr>
                <w:rFonts w:hint="eastAsia" w:ascii="宋体" w:hAnsi="宋体" w:cs="宋体"/>
                <w:sz w:val="24"/>
              </w:rPr>
              <w:t>②</w:t>
            </w:r>
            <w:r>
              <w:rPr>
                <w:sz w:val="24"/>
              </w:rPr>
              <w:t>详见规划文本；</w:t>
            </w:r>
          </w:p>
          <w:p w14:paraId="33C2075C">
            <w:pPr>
              <w:widowControl/>
              <w:jc w:val="left"/>
              <w:rPr>
                <w:sz w:val="24"/>
              </w:rPr>
            </w:pPr>
            <w:r>
              <w:rPr>
                <w:rFonts w:hint="eastAsia" w:ascii="宋体" w:hAnsi="宋体" w:cs="宋体"/>
                <w:sz w:val="24"/>
              </w:rPr>
              <w:t>③</w:t>
            </w:r>
            <w:r>
              <w:rPr>
                <w:sz w:val="24"/>
              </w:rPr>
              <w:t>详见P72-</w:t>
            </w:r>
            <w:r>
              <w:rPr>
                <w:rFonts w:hint="eastAsia"/>
                <w:sz w:val="24"/>
              </w:rPr>
              <w:t>73</w:t>
            </w:r>
            <w:r>
              <w:rPr>
                <w:sz w:val="24"/>
              </w:rPr>
              <w:t>；</w:t>
            </w:r>
          </w:p>
          <w:p w14:paraId="35A12293">
            <w:pPr>
              <w:widowControl/>
              <w:jc w:val="left"/>
              <w:rPr>
                <w:sz w:val="24"/>
              </w:rPr>
            </w:pPr>
            <w:r>
              <w:rPr>
                <w:rFonts w:hint="eastAsia" w:ascii="宋体" w:hAnsi="宋体" w:cs="宋体"/>
                <w:sz w:val="24"/>
              </w:rPr>
              <w:t>④</w:t>
            </w:r>
            <w:r>
              <w:rPr>
                <w:sz w:val="24"/>
              </w:rPr>
              <w:t>详见P</w:t>
            </w:r>
            <w:r>
              <w:rPr>
                <w:rFonts w:hint="eastAsia"/>
                <w:sz w:val="24"/>
              </w:rPr>
              <w:t>86-</w:t>
            </w:r>
            <w:r>
              <w:rPr>
                <w:sz w:val="24"/>
              </w:rPr>
              <w:t>87；</w:t>
            </w:r>
          </w:p>
          <w:p w14:paraId="01B82631">
            <w:pPr>
              <w:widowControl/>
              <w:jc w:val="left"/>
              <w:rPr>
                <w:sz w:val="24"/>
              </w:rPr>
            </w:pPr>
            <w:r>
              <w:rPr>
                <w:rFonts w:hint="eastAsia" w:ascii="宋体" w:hAnsi="宋体" w:cs="宋体"/>
                <w:sz w:val="24"/>
              </w:rPr>
              <w:t>⑤</w:t>
            </w:r>
            <w:r>
              <w:rPr>
                <w:sz w:val="24"/>
              </w:rPr>
              <w:t>详见P62-</w:t>
            </w:r>
            <w:r>
              <w:rPr>
                <w:rFonts w:hint="eastAsia"/>
                <w:sz w:val="24"/>
              </w:rPr>
              <w:t>63</w:t>
            </w:r>
            <w:r>
              <w:rPr>
                <w:sz w:val="24"/>
              </w:rPr>
              <w:t>。</w:t>
            </w:r>
          </w:p>
        </w:tc>
      </w:tr>
      <w:tr w14:paraId="04A1A1FA">
        <w:tblPrEx>
          <w:tblCellMar>
            <w:top w:w="0" w:type="dxa"/>
            <w:left w:w="108" w:type="dxa"/>
            <w:bottom w:w="0" w:type="dxa"/>
            <w:right w:w="108" w:type="dxa"/>
          </w:tblCellMar>
        </w:tblPrEx>
        <w:trPr>
          <w:trHeight w:val="866" w:hRule="atLeast"/>
        </w:trPr>
        <w:tc>
          <w:tcPr>
            <w:tcW w:w="700" w:type="dxa"/>
            <w:tcBorders>
              <w:top w:val="single" w:color="auto" w:sz="4" w:space="0"/>
              <w:left w:val="single" w:color="auto" w:sz="4" w:space="0"/>
              <w:bottom w:val="single" w:color="auto" w:sz="4" w:space="0"/>
              <w:right w:val="single" w:color="auto" w:sz="4" w:space="0"/>
            </w:tcBorders>
            <w:vAlign w:val="center"/>
          </w:tcPr>
          <w:p w14:paraId="112F9B48">
            <w:pPr>
              <w:widowControl/>
              <w:jc w:val="center"/>
              <w:rPr>
                <w:kern w:val="0"/>
                <w:sz w:val="24"/>
              </w:rPr>
            </w:pPr>
            <w:r>
              <w:rPr>
                <w:kern w:val="0"/>
                <w:sz w:val="24"/>
              </w:rPr>
              <w:t>2</w:t>
            </w:r>
          </w:p>
        </w:tc>
        <w:tc>
          <w:tcPr>
            <w:tcW w:w="5127" w:type="dxa"/>
            <w:tcBorders>
              <w:top w:val="single" w:color="auto" w:sz="4" w:space="0"/>
              <w:left w:val="nil"/>
              <w:bottom w:val="single" w:color="auto" w:sz="4" w:space="0"/>
              <w:right w:val="single" w:color="auto" w:sz="4" w:space="0"/>
            </w:tcBorders>
            <w:vAlign w:val="center"/>
          </w:tcPr>
          <w:p w14:paraId="6A64E1D6">
            <w:pPr>
              <w:widowControl/>
              <w:jc w:val="left"/>
              <w:rPr>
                <w:sz w:val="24"/>
              </w:rPr>
            </w:pPr>
            <w:r>
              <w:rPr>
                <w:rFonts w:hint="eastAsia" w:ascii="宋体" w:hAnsi="宋体" w:cs="宋体"/>
                <w:sz w:val="24"/>
              </w:rPr>
              <w:t>①</w:t>
            </w:r>
            <w:r>
              <w:rPr>
                <w:sz w:val="24"/>
              </w:rPr>
              <w:t>规划封面征求意见稿应修改为评审稿；</w:t>
            </w:r>
          </w:p>
          <w:p w14:paraId="3B38AFED">
            <w:pPr>
              <w:widowControl/>
              <w:jc w:val="left"/>
              <w:rPr>
                <w:sz w:val="24"/>
              </w:rPr>
            </w:pPr>
            <w:r>
              <w:rPr>
                <w:rFonts w:hint="eastAsia" w:ascii="宋体" w:hAnsi="宋体" w:cs="宋体"/>
                <w:sz w:val="24"/>
              </w:rPr>
              <w:t>②</w:t>
            </w:r>
            <w:r>
              <w:rPr>
                <w:sz w:val="24"/>
              </w:rPr>
              <w:t>规划理念尚未，可参考结合三亚实际情况，以森林旅游与森林康养产业为重点，大力发展林木种苗与花卉产业，提升用材林和经济林产业，带动林下经济产业发展，健全生态保护与修复产业；</w:t>
            </w:r>
          </w:p>
          <w:p w14:paraId="08C1E121">
            <w:pPr>
              <w:widowControl/>
              <w:jc w:val="left"/>
              <w:rPr>
                <w:sz w:val="24"/>
              </w:rPr>
            </w:pPr>
            <w:r>
              <w:rPr>
                <w:rFonts w:hint="eastAsia" w:ascii="宋体" w:hAnsi="宋体" w:cs="宋体"/>
                <w:sz w:val="24"/>
              </w:rPr>
              <w:t>③</w:t>
            </w:r>
            <w:r>
              <w:rPr>
                <w:sz w:val="24"/>
              </w:rPr>
              <w:t>三亚市经济林以芒果、槟榔为主，考虑山竹、榴莲为热带特色水果；</w:t>
            </w:r>
          </w:p>
          <w:p w14:paraId="10E67426">
            <w:pPr>
              <w:widowControl/>
              <w:jc w:val="left"/>
              <w:rPr>
                <w:sz w:val="24"/>
              </w:rPr>
            </w:pPr>
            <w:r>
              <w:rPr>
                <w:rFonts w:hint="eastAsia" w:ascii="宋体" w:hAnsi="宋体" w:cs="宋体"/>
                <w:sz w:val="24"/>
              </w:rPr>
              <w:t>④</w:t>
            </w:r>
            <w:r>
              <w:rPr>
                <w:sz w:val="24"/>
              </w:rPr>
              <w:t>建议增加加工产业，将各个产业的加工业合并再此章节；红树林苗圃调整到林木种苗与花卉产业；</w:t>
            </w:r>
          </w:p>
          <w:p w14:paraId="7402A261">
            <w:pPr>
              <w:widowControl/>
              <w:jc w:val="left"/>
              <w:rPr>
                <w:sz w:val="24"/>
              </w:rPr>
            </w:pPr>
            <w:r>
              <w:rPr>
                <w:rFonts w:hint="eastAsia" w:ascii="宋体" w:hAnsi="宋体" w:cs="宋体"/>
                <w:sz w:val="24"/>
              </w:rPr>
              <w:t>⑤</w:t>
            </w:r>
            <w:r>
              <w:rPr>
                <w:sz w:val="24"/>
              </w:rPr>
              <w:t>保障措施建议按照组织、政策、资金和技术保障措施阐述；</w:t>
            </w:r>
          </w:p>
          <w:p w14:paraId="241C5582">
            <w:pPr>
              <w:widowControl/>
              <w:jc w:val="left"/>
              <w:rPr>
                <w:sz w:val="24"/>
              </w:rPr>
            </w:pPr>
            <w:r>
              <w:rPr>
                <w:rFonts w:hint="eastAsia" w:ascii="宋体" w:hAnsi="宋体" w:cs="宋体"/>
                <w:sz w:val="24"/>
              </w:rPr>
              <w:t>⑥</w:t>
            </w:r>
            <w:r>
              <w:rPr>
                <w:sz w:val="24"/>
              </w:rPr>
              <w:t>经济、生态效益方面应增加财务分析，森林产值；</w:t>
            </w:r>
          </w:p>
          <w:p w14:paraId="6E090FDA">
            <w:pPr>
              <w:widowControl/>
              <w:jc w:val="left"/>
              <w:rPr>
                <w:sz w:val="24"/>
              </w:rPr>
            </w:pPr>
            <w:r>
              <w:rPr>
                <w:rFonts w:hint="eastAsia" w:ascii="宋体" w:hAnsi="宋体" w:cs="宋体"/>
                <w:sz w:val="24"/>
              </w:rPr>
              <w:t>⑦</w:t>
            </w:r>
            <w:r>
              <w:rPr>
                <w:sz w:val="24"/>
              </w:rPr>
              <w:t>附图1建议修改为三亚市森林资源分布图。</w:t>
            </w:r>
          </w:p>
        </w:tc>
        <w:tc>
          <w:tcPr>
            <w:tcW w:w="5528" w:type="dxa"/>
            <w:tcBorders>
              <w:top w:val="single" w:color="auto" w:sz="4" w:space="0"/>
              <w:left w:val="nil"/>
              <w:bottom w:val="single" w:color="auto" w:sz="4" w:space="0"/>
              <w:right w:val="single" w:color="auto" w:sz="4" w:space="0"/>
            </w:tcBorders>
            <w:vAlign w:val="center"/>
          </w:tcPr>
          <w:p w14:paraId="6CB1FDCD">
            <w:pPr>
              <w:widowControl/>
              <w:jc w:val="left"/>
              <w:rPr>
                <w:sz w:val="24"/>
              </w:rPr>
            </w:pPr>
            <w:r>
              <w:rPr>
                <w:rFonts w:hint="eastAsia" w:ascii="宋体" w:hAnsi="宋体" w:cs="宋体"/>
                <w:sz w:val="24"/>
              </w:rPr>
              <w:t>①</w:t>
            </w:r>
            <w:r>
              <w:rPr>
                <w:sz w:val="24"/>
              </w:rPr>
              <w:t>已采纳。</w:t>
            </w:r>
          </w:p>
          <w:p w14:paraId="036298FD">
            <w:pPr>
              <w:widowControl/>
              <w:jc w:val="left"/>
              <w:rPr>
                <w:sz w:val="24"/>
              </w:rPr>
            </w:pPr>
            <w:r>
              <w:rPr>
                <w:rFonts w:hint="eastAsia" w:ascii="宋体" w:hAnsi="宋体" w:cs="宋体"/>
                <w:sz w:val="24"/>
              </w:rPr>
              <w:t>②</w:t>
            </w:r>
            <w:r>
              <w:rPr>
                <w:sz w:val="24"/>
              </w:rPr>
              <w:t>已采纳。增加规划理念以调整三亚市林业支柱产业结构为切入点，强化驱动创新，发展新兴业态，实施品牌战略，以兴林富民为宗旨，以森林旅游与森林康养产业为重点，大力发展林木种苗与花卉产业，提升用材林和经济林产业，带动林下经济产业发展，健全生态保护与修复产业，实现增景、增色、增收、增效。加快林业产业转型升级，推动绿色产业增长。</w:t>
            </w:r>
          </w:p>
          <w:p w14:paraId="7893CA98">
            <w:pPr>
              <w:widowControl/>
              <w:jc w:val="left"/>
              <w:rPr>
                <w:sz w:val="24"/>
              </w:rPr>
            </w:pPr>
            <w:r>
              <w:rPr>
                <w:rFonts w:hint="eastAsia" w:ascii="宋体" w:hAnsi="宋体" w:cs="宋体"/>
                <w:sz w:val="24"/>
              </w:rPr>
              <w:t>③</w:t>
            </w:r>
            <w:r>
              <w:rPr>
                <w:sz w:val="24"/>
              </w:rPr>
              <w:t>已采纳。在经济林产业中体现。</w:t>
            </w:r>
          </w:p>
          <w:p w14:paraId="58D01B42">
            <w:pPr>
              <w:widowControl/>
              <w:jc w:val="left"/>
              <w:rPr>
                <w:sz w:val="24"/>
              </w:rPr>
            </w:pPr>
            <w:r>
              <w:rPr>
                <w:rFonts w:hint="eastAsia" w:ascii="宋体" w:hAnsi="宋体" w:cs="宋体"/>
                <w:sz w:val="24"/>
              </w:rPr>
              <w:t>④</w:t>
            </w:r>
            <w:r>
              <w:rPr>
                <w:sz w:val="24"/>
              </w:rPr>
              <w:t>根据三亚实际情况，规划思路以做优第一产、做精第二产、做强第三，因此不宜增加加工产业；红树林种苗属于红树林生态修复与保护中一个项目内容。</w:t>
            </w:r>
          </w:p>
          <w:p w14:paraId="42B29E80">
            <w:pPr>
              <w:widowControl/>
              <w:jc w:val="left"/>
              <w:rPr>
                <w:sz w:val="24"/>
              </w:rPr>
            </w:pPr>
            <w:r>
              <w:rPr>
                <w:rFonts w:hint="eastAsia" w:ascii="宋体" w:hAnsi="宋体" w:cs="宋体"/>
                <w:sz w:val="24"/>
              </w:rPr>
              <w:t>⑤</w:t>
            </w:r>
            <w:r>
              <w:rPr>
                <w:sz w:val="24"/>
              </w:rPr>
              <w:t>已采纳。</w:t>
            </w:r>
          </w:p>
          <w:p w14:paraId="59776113">
            <w:pPr>
              <w:widowControl/>
              <w:jc w:val="left"/>
              <w:rPr>
                <w:sz w:val="24"/>
              </w:rPr>
            </w:pPr>
            <w:r>
              <w:rPr>
                <w:rFonts w:hint="eastAsia" w:ascii="宋体" w:hAnsi="宋体" w:cs="宋体"/>
                <w:sz w:val="24"/>
              </w:rPr>
              <w:t>⑥</w:t>
            </w:r>
            <w:r>
              <w:rPr>
                <w:sz w:val="24"/>
              </w:rPr>
              <w:t>已采纳。</w:t>
            </w:r>
          </w:p>
          <w:p w14:paraId="53D4082B">
            <w:pPr>
              <w:widowControl/>
              <w:jc w:val="left"/>
              <w:rPr>
                <w:sz w:val="24"/>
              </w:rPr>
            </w:pPr>
            <w:r>
              <w:rPr>
                <w:rFonts w:hint="eastAsia" w:ascii="宋体" w:hAnsi="宋体" w:cs="宋体"/>
                <w:sz w:val="24"/>
              </w:rPr>
              <w:t>⑦</w:t>
            </w:r>
            <w:r>
              <w:rPr>
                <w:sz w:val="24"/>
              </w:rPr>
              <w:t>已采纳。</w:t>
            </w:r>
          </w:p>
          <w:p w14:paraId="084A338A">
            <w:pPr>
              <w:widowControl/>
              <w:jc w:val="left"/>
              <w:rPr>
                <w:sz w:val="24"/>
              </w:rPr>
            </w:pPr>
          </w:p>
        </w:tc>
        <w:tc>
          <w:tcPr>
            <w:tcW w:w="2552" w:type="dxa"/>
            <w:tcBorders>
              <w:top w:val="single" w:color="auto" w:sz="4" w:space="0"/>
              <w:left w:val="nil"/>
              <w:bottom w:val="single" w:color="auto" w:sz="4" w:space="0"/>
              <w:right w:val="single" w:color="auto" w:sz="4" w:space="0"/>
            </w:tcBorders>
            <w:vAlign w:val="center"/>
          </w:tcPr>
          <w:p w14:paraId="21A7E769">
            <w:pPr>
              <w:widowControl/>
              <w:jc w:val="left"/>
              <w:rPr>
                <w:sz w:val="24"/>
              </w:rPr>
            </w:pPr>
            <w:r>
              <w:rPr>
                <w:rFonts w:hint="eastAsia" w:ascii="宋体" w:hAnsi="宋体" w:cs="宋体"/>
                <w:sz w:val="24"/>
              </w:rPr>
              <w:t>①</w:t>
            </w:r>
            <w:r>
              <w:rPr>
                <w:sz w:val="24"/>
              </w:rPr>
              <w:t>详见封面；</w:t>
            </w:r>
          </w:p>
          <w:p w14:paraId="41657C6A">
            <w:pPr>
              <w:widowControl/>
              <w:jc w:val="left"/>
              <w:rPr>
                <w:sz w:val="24"/>
              </w:rPr>
            </w:pPr>
            <w:r>
              <w:rPr>
                <w:rFonts w:hint="eastAsia" w:ascii="宋体" w:hAnsi="宋体" w:cs="宋体"/>
                <w:sz w:val="24"/>
              </w:rPr>
              <w:t>②</w:t>
            </w:r>
            <w:r>
              <w:rPr>
                <w:sz w:val="24"/>
              </w:rPr>
              <w:t>详见P36；</w:t>
            </w:r>
          </w:p>
          <w:p w14:paraId="6D62BD1B">
            <w:pPr>
              <w:widowControl/>
              <w:jc w:val="left"/>
              <w:rPr>
                <w:sz w:val="24"/>
              </w:rPr>
            </w:pPr>
            <w:r>
              <w:rPr>
                <w:rFonts w:hint="eastAsia" w:ascii="宋体" w:hAnsi="宋体" w:cs="宋体"/>
                <w:sz w:val="24"/>
              </w:rPr>
              <w:t>③</w:t>
            </w:r>
            <w:r>
              <w:rPr>
                <w:sz w:val="24"/>
              </w:rPr>
              <w:t>详见P88-89；</w:t>
            </w:r>
          </w:p>
          <w:p w14:paraId="7FFDA366">
            <w:pPr>
              <w:widowControl/>
              <w:jc w:val="left"/>
              <w:rPr>
                <w:sz w:val="24"/>
              </w:rPr>
            </w:pPr>
            <w:r>
              <w:rPr>
                <w:rFonts w:hint="eastAsia" w:ascii="宋体" w:hAnsi="宋体" w:cs="宋体"/>
                <w:sz w:val="24"/>
              </w:rPr>
              <w:t>④</w:t>
            </w:r>
            <w:r>
              <w:rPr>
                <w:sz w:val="24"/>
              </w:rPr>
              <w:t>详见P106；</w:t>
            </w:r>
          </w:p>
          <w:p w14:paraId="40728427">
            <w:pPr>
              <w:widowControl/>
              <w:jc w:val="left"/>
              <w:rPr>
                <w:sz w:val="24"/>
              </w:rPr>
            </w:pPr>
            <w:r>
              <w:rPr>
                <w:rFonts w:hint="eastAsia" w:ascii="宋体" w:hAnsi="宋体" w:cs="宋体"/>
                <w:sz w:val="24"/>
              </w:rPr>
              <w:t>⑤</w:t>
            </w:r>
            <w:r>
              <w:rPr>
                <w:sz w:val="24"/>
              </w:rPr>
              <w:t>详见P114-118；</w:t>
            </w:r>
          </w:p>
          <w:p w14:paraId="0444AF01">
            <w:pPr>
              <w:widowControl/>
              <w:jc w:val="left"/>
              <w:rPr>
                <w:sz w:val="24"/>
              </w:rPr>
            </w:pPr>
            <w:r>
              <w:rPr>
                <w:rFonts w:hint="eastAsia" w:ascii="宋体" w:hAnsi="宋体" w:cs="宋体"/>
                <w:sz w:val="24"/>
              </w:rPr>
              <w:t>⑥</w:t>
            </w:r>
            <w:r>
              <w:rPr>
                <w:sz w:val="24"/>
              </w:rPr>
              <w:t>详见P120-122；</w:t>
            </w:r>
          </w:p>
          <w:p w14:paraId="59FA5CE1">
            <w:pPr>
              <w:widowControl/>
              <w:jc w:val="left"/>
              <w:rPr>
                <w:sz w:val="24"/>
              </w:rPr>
            </w:pPr>
            <w:r>
              <w:rPr>
                <w:rFonts w:hint="eastAsia" w:ascii="宋体" w:hAnsi="宋体" w:cs="宋体"/>
                <w:sz w:val="24"/>
              </w:rPr>
              <w:t>⑦</w:t>
            </w:r>
            <w:r>
              <w:rPr>
                <w:sz w:val="24"/>
              </w:rPr>
              <w:t>详见P145。</w:t>
            </w:r>
          </w:p>
          <w:p w14:paraId="74CA0152">
            <w:pPr>
              <w:widowControl/>
              <w:jc w:val="left"/>
              <w:rPr>
                <w:sz w:val="24"/>
              </w:rPr>
            </w:pPr>
          </w:p>
        </w:tc>
      </w:tr>
      <w:tr w14:paraId="1862D385">
        <w:tblPrEx>
          <w:tblCellMar>
            <w:top w:w="0" w:type="dxa"/>
            <w:left w:w="108" w:type="dxa"/>
            <w:bottom w:w="0" w:type="dxa"/>
            <w:right w:w="108" w:type="dxa"/>
          </w:tblCellMar>
        </w:tblPrEx>
        <w:trPr>
          <w:trHeight w:val="866" w:hRule="atLeast"/>
        </w:trPr>
        <w:tc>
          <w:tcPr>
            <w:tcW w:w="700" w:type="dxa"/>
            <w:tcBorders>
              <w:top w:val="single" w:color="auto" w:sz="4" w:space="0"/>
              <w:left w:val="single" w:color="auto" w:sz="4" w:space="0"/>
              <w:bottom w:val="single" w:color="auto" w:sz="4" w:space="0"/>
              <w:right w:val="single" w:color="auto" w:sz="4" w:space="0"/>
            </w:tcBorders>
            <w:vAlign w:val="center"/>
          </w:tcPr>
          <w:p w14:paraId="47CF989C">
            <w:pPr>
              <w:widowControl/>
              <w:jc w:val="center"/>
              <w:rPr>
                <w:kern w:val="0"/>
                <w:sz w:val="24"/>
              </w:rPr>
            </w:pPr>
            <w:r>
              <w:rPr>
                <w:kern w:val="0"/>
                <w:sz w:val="24"/>
              </w:rPr>
              <w:t>3</w:t>
            </w:r>
          </w:p>
        </w:tc>
        <w:tc>
          <w:tcPr>
            <w:tcW w:w="5127" w:type="dxa"/>
            <w:tcBorders>
              <w:top w:val="single" w:color="auto" w:sz="4" w:space="0"/>
              <w:left w:val="nil"/>
              <w:bottom w:val="single" w:color="auto" w:sz="4" w:space="0"/>
              <w:right w:val="single" w:color="auto" w:sz="4" w:space="0"/>
            </w:tcBorders>
            <w:vAlign w:val="center"/>
          </w:tcPr>
          <w:p w14:paraId="021E79A2">
            <w:pPr>
              <w:widowControl/>
              <w:jc w:val="left"/>
              <w:rPr>
                <w:sz w:val="24"/>
              </w:rPr>
            </w:pPr>
            <w:r>
              <w:rPr>
                <w:rFonts w:hint="eastAsia" w:ascii="宋体" w:hAnsi="宋体" w:cs="宋体"/>
                <w:sz w:val="24"/>
              </w:rPr>
              <w:t>①</w:t>
            </w:r>
            <w:r>
              <w:rPr>
                <w:sz w:val="24"/>
              </w:rPr>
              <w:t>规划重点项目多，不突出亮点；</w:t>
            </w:r>
          </w:p>
          <w:p w14:paraId="662CF0F9">
            <w:pPr>
              <w:widowControl/>
              <w:jc w:val="left"/>
              <w:rPr>
                <w:sz w:val="24"/>
              </w:rPr>
            </w:pPr>
            <w:r>
              <w:rPr>
                <w:rFonts w:hint="eastAsia" w:ascii="宋体" w:hAnsi="宋体" w:cs="宋体"/>
                <w:sz w:val="24"/>
              </w:rPr>
              <w:t>②</w:t>
            </w:r>
            <w:r>
              <w:rPr>
                <w:sz w:val="24"/>
              </w:rPr>
              <w:t>5大水源池生态修复应重点改造；</w:t>
            </w:r>
          </w:p>
          <w:p w14:paraId="65257858">
            <w:pPr>
              <w:widowControl/>
              <w:jc w:val="left"/>
              <w:rPr>
                <w:sz w:val="24"/>
              </w:rPr>
            </w:pPr>
            <w:r>
              <w:rPr>
                <w:rFonts w:hint="eastAsia" w:ascii="宋体" w:hAnsi="宋体" w:cs="宋体"/>
                <w:sz w:val="24"/>
              </w:rPr>
              <w:t>③</w:t>
            </w:r>
            <w:r>
              <w:rPr>
                <w:sz w:val="24"/>
              </w:rPr>
              <w:t>森林康养项目应结合森林公园；</w:t>
            </w:r>
          </w:p>
          <w:p w14:paraId="6986AA6C">
            <w:pPr>
              <w:widowControl/>
              <w:jc w:val="left"/>
              <w:rPr>
                <w:sz w:val="24"/>
              </w:rPr>
            </w:pPr>
            <w:r>
              <w:rPr>
                <w:rFonts w:hint="eastAsia" w:ascii="宋体" w:hAnsi="宋体" w:cs="宋体"/>
                <w:sz w:val="24"/>
              </w:rPr>
              <w:t>④</w:t>
            </w:r>
            <w:r>
              <w:rPr>
                <w:sz w:val="24"/>
              </w:rPr>
              <w:t>三亚市森林覆盖率应保持海南省下达文件中的森林覆盖率67%</w:t>
            </w:r>
          </w:p>
        </w:tc>
        <w:tc>
          <w:tcPr>
            <w:tcW w:w="5528" w:type="dxa"/>
            <w:tcBorders>
              <w:top w:val="single" w:color="auto" w:sz="4" w:space="0"/>
              <w:left w:val="nil"/>
              <w:bottom w:val="single" w:color="auto" w:sz="4" w:space="0"/>
              <w:right w:val="single" w:color="auto" w:sz="4" w:space="0"/>
            </w:tcBorders>
            <w:vAlign w:val="center"/>
          </w:tcPr>
          <w:p w14:paraId="6E44E4FF">
            <w:pPr>
              <w:widowControl/>
              <w:jc w:val="left"/>
              <w:rPr>
                <w:sz w:val="24"/>
              </w:rPr>
            </w:pPr>
            <w:r>
              <w:rPr>
                <w:rFonts w:hint="eastAsia" w:ascii="宋体" w:hAnsi="宋体" w:cs="宋体"/>
                <w:sz w:val="24"/>
              </w:rPr>
              <w:t>①</w:t>
            </w:r>
            <w:r>
              <w:rPr>
                <w:sz w:val="24"/>
              </w:rPr>
              <w:t>规划分为6大产业，每个产业均有重点项目；</w:t>
            </w:r>
          </w:p>
          <w:p w14:paraId="6411FCD3">
            <w:pPr>
              <w:widowControl/>
              <w:jc w:val="left"/>
              <w:rPr>
                <w:sz w:val="24"/>
              </w:rPr>
            </w:pPr>
            <w:r>
              <w:rPr>
                <w:rFonts w:hint="eastAsia" w:ascii="宋体" w:hAnsi="宋体" w:cs="宋体"/>
                <w:sz w:val="24"/>
              </w:rPr>
              <w:t>②</w:t>
            </w:r>
            <w:r>
              <w:rPr>
                <w:sz w:val="24"/>
              </w:rPr>
              <w:t>在经济林产业中体现。</w:t>
            </w:r>
          </w:p>
          <w:p w14:paraId="211D23F7">
            <w:pPr>
              <w:widowControl/>
              <w:jc w:val="left"/>
              <w:rPr>
                <w:sz w:val="24"/>
              </w:rPr>
            </w:pPr>
            <w:r>
              <w:rPr>
                <w:rFonts w:hint="eastAsia" w:ascii="宋体" w:hAnsi="宋体" w:cs="宋体"/>
                <w:sz w:val="24"/>
              </w:rPr>
              <w:t>③</w:t>
            </w:r>
            <w:r>
              <w:rPr>
                <w:sz w:val="24"/>
              </w:rPr>
              <w:t>在森林旅游与森林康养产业中体现。</w:t>
            </w:r>
          </w:p>
          <w:p w14:paraId="75F97120">
            <w:pPr>
              <w:widowControl/>
              <w:jc w:val="left"/>
              <w:rPr>
                <w:sz w:val="24"/>
              </w:rPr>
            </w:pPr>
            <w:r>
              <w:rPr>
                <w:rFonts w:hint="eastAsia" w:ascii="宋体" w:hAnsi="宋体" w:cs="宋体"/>
                <w:sz w:val="24"/>
              </w:rPr>
              <w:t>④</w:t>
            </w:r>
            <w:r>
              <w:rPr>
                <w:sz w:val="24"/>
              </w:rPr>
              <w:t>经咨询，三亚市森林覆盖率为</w:t>
            </w:r>
            <w:r>
              <w:rPr>
                <w:rFonts w:hint="eastAsia"/>
                <w:sz w:val="24"/>
              </w:rPr>
              <w:t>70.08</w:t>
            </w:r>
            <w:r>
              <w:rPr>
                <w:sz w:val="24"/>
              </w:rPr>
              <w:t>%。</w:t>
            </w:r>
          </w:p>
        </w:tc>
        <w:tc>
          <w:tcPr>
            <w:tcW w:w="2552" w:type="dxa"/>
            <w:tcBorders>
              <w:top w:val="single" w:color="auto" w:sz="4" w:space="0"/>
              <w:left w:val="nil"/>
              <w:bottom w:val="single" w:color="auto" w:sz="4" w:space="0"/>
              <w:right w:val="single" w:color="auto" w:sz="4" w:space="0"/>
            </w:tcBorders>
            <w:vAlign w:val="center"/>
          </w:tcPr>
          <w:p w14:paraId="7D75D3E1">
            <w:pPr>
              <w:widowControl/>
              <w:jc w:val="left"/>
              <w:rPr>
                <w:kern w:val="0"/>
                <w:sz w:val="24"/>
              </w:rPr>
            </w:pPr>
            <w:r>
              <w:rPr>
                <w:rFonts w:hint="eastAsia" w:ascii="宋体" w:hAnsi="宋体" w:cs="宋体"/>
                <w:kern w:val="0"/>
                <w:sz w:val="24"/>
              </w:rPr>
              <w:t>①</w:t>
            </w:r>
            <w:r>
              <w:rPr>
                <w:kern w:val="0"/>
                <w:sz w:val="24"/>
              </w:rPr>
              <w:t>详见规划文本，第五章；</w:t>
            </w:r>
          </w:p>
          <w:p w14:paraId="2C4E574D">
            <w:pPr>
              <w:widowControl/>
              <w:jc w:val="left"/>
              <w:rPr>
                <w:kern w:val="0"/>
                <w:sz w:val="24"/>
              </w:rPr>
            </w:pPr>
            <w:r>
              <w:rPr>
                <w:rFonts w:hint="eastAsia" w:ascii="宋体" w:hAnsi="宋体" w:cs="宋体"/>
                <w:kern w:val="0"/>
                <w:sz w:val="24"/>
              </w:rPr>
              <w:t>②</w:t>
            </w:r>
            <w:r>
              <w:rPr>
                <w:kern w:val="0"/>
                <w:sz w:val="24"/>
              </w:rPr>
              <w:t>详见P86-87；</w:t>
            </w:r>
          </w:p>
          <w:p w14:paraId="5477E27D">
            <w:pPr>
              <w:widowControl/>
              <w:jc w:val="left"/>
              <w:rPr>
                <w:kern w:val="0"/>
                <w:sz w:val="24"/>
              </w:rPr>
            </w:pPr>
            <w:r>
              <w:rPr>
                <w:rFonts w:hint="eastAsia" w:ascii="宋体" w:hAnsi="宋体" w:cs="宋体"/>
                <w:kern w:val="0"/>
                <w:sz w:val="24"/>
              </w:rPr>
              <w:t>③</w:t>
            </w:r>
            <w:r>
              <w:rPr>
                <w:kern w:val="0"/>
                <w:sz w:val="24"/>
              </w:rPr>
              <w:t>详见P52-53；</w:t>
            </w:r>
          </w:p>
          <w:p w14:paraId="1638B41F">
            <w:pPr>
              <w:widowControl/>
              <w:jc w:val="left"/>
              <w:rPr>
                <w:kern w:val="0"/>
                <w:sz w:val="24"/>
              </w:rPr>
            </w:pPr>
            <w:r>
              <w:rPr>
                <w:rFonts w:hint="eastAsia" w:ascii="宋体" w:hAnsi="宋体" w:cs="宋体"/>
                <w:kern w:val="0"/>
                <w:sz w:val="24"/>
              </w:rPr>
              <w:t>④</w:t>
            </w:r>
            <w:r>
              <w:rPr>
                <w:kern w:val="0"/>
                <w:sz w:val="24"/>
              </w:rPr>
              <w:t>规划文本中森林覆盖率为</w:t>
            </w:r>
            <w:r>
              <w:rPr>
                <w:rFonts w:hint="eastAsia"/>
                <w:kern w:val="0"/>
                <w:sz w:val="24"/>
              </w:rPr>
              <w:t>70.08</w:t>
            </w:r>
            <w:r>
              <w:rPr>
                <w:kern w:val="0"/>
                <w:sz w:val="24"/>
              </w:rPr>
              <w:t>%。</w:t>
            </w:r>
          </w:p>
        </w:tc>
      </w:tr>
      <w:tr w14:paraId="3BAE91D0">
        <w:tblPrEx>
          <w:tblCellMar>
            <w:top w:w="0" w:type="dxa"/>
            <w:left w:w="108" w:type="dxa"/>
            <w:bottom w:w="0" w:type="dxa"/>
            <w:right w:w="108" w:type="dxa"/>
          </w:tblCellMar>
        </w:tblPrEx>
        <w:trPr>
          <w:trHeight w:val="866" w:hRule="atLeast"/>
        </w:trPr>
        <w:tc>
          <w:tcPr>
            <w:tcW w:w="700" w:type="dxa"/>
            <w:tcBorders>
              <w:top w:val="single" w:color="auto" w:sz="4" w:space="0"/>
              <w:left w:val="single" w:color="auto" w:sz="4" w:space="0"/>
              <w:bottom w:val="single" w:color="auto" w:sz="4" w:space="0"/>
              <w:right w:val="single" w:color="auto" w:sz="4" w:space="0"/>
            </w:tcBorders>
            <w:vAlign w:val="center"/>
          </w:tcPr>
          <w:p w14:paraId="22594905">
            <w:pPr>
              <w:widowControl/>
              <w:jc w:val="center"/>
              <w:rPr>
                <w:kern w:val="0"/>
                <w:sz w:val="24"/>
              </w:rPr>
            </w:pPr>
            <w:r>
              <w:rPr>
                <w:kern w:val="0"/>
                <w:sz w:val="24"/>
              </w:rPr>
              <w:t>4</w:t>
            </w:r>
          </w:p>
        </w:tc>
        <w:tc>
          <w:tcPr>
            <w:tcW w:w="5127" w:type="dxa"/>
            <w:tcBorders>
              <w:top w:val="single" w:color="auto" w:sz="4" w:space="0"/>
              <w:left w:val="nil"/>
              <w:bottom w:val="single" w:color="auto" w:sz="4" w:space="0"/>
              <w:right w:val="single" w:color="auto" w:sz="4" w:space="0"/>
            </w:tcBorders>
            <w:vAlign w:val="center"/>
          </w:tcPr>
          <w:p w14:paraId="56530507">
            <w:pPr>
              <w:widowControl/>
              <w:jc w:val="left"/>
              <w:rPr>
                <w:sz w:val="24"/>
              </w:rPr>
            </w:pPr>
            <w:r>
              <w:rPr>
                <w:rFonts w:hint="eastAsia" w:ascii="宋体" w:hAnsi="宋体" w:cs="宋体"/>
                <w:sz w:val="24"/>
              </w:rPr>
              <w:t>①</w:t>
            </w:r>
            <w:r>
              <w:rPr>
                <w:sz w:val="24"/>
              </w:rPr>
              <w:t>规划基础数据要明确，数据来源依据充分研究，土地资源利用现状数据建议以三调数据为主；</w:t>
            </w:r>
          </w:p>
          <w:p w14:paraId="49F4D0EF">
            <w:pPr>
              <w:widowControl/>
              <w:jc w:val="left"/>
              <w:rPr>
                <w:sz w:val="24"/>
              </w:rPr>
            </w:pPr>
            <w:r>
              <w:rPr>
                <w:rFonts w:hint="eastAsia" w:ascii="宋体" w:hAnsi="宋体" w:cs="宋体"/>
                <w:sz w:val="24"/>
              </w:rPr>
              <w:t>②</w:t>
            </w:r>
            <w:r>
              <w:rPr>
                <w:sz w:val="24"/>
              </w:rPr>
              <w:t>林业产业制约因素方面，建议增加耕地保护压力与林业产业发展空间的矛盾；</w:t>
            </w:r>
          </w:p>
          <w:p w14:paraId="5000302C">
            <w:pPr>
              <w:widowControl/>
              <w:jc w:val="left"/>
              <w:rPr>
                <w:sz w:val="24"/>
              </w:rPr>
            </w:pPr>
            <w:r>
              <w:rPr>
                <w:rFonts w:hint="eastAsia" w:ascii="宋体" w:hAnsi="宋体" w:cs="宋体"/>
                <w:sz w:val="24"/>
              </w:rPr>
              <w:t>③</w:t>
            </w:r>
            <w:r>
              <w:rPr>
                <w:sz w:val="24"/>
              </w:rPr>
              <w:t>建议增加林业产业发展空间布局的阐述；</w:t>
            </w:r>
          </w:p>
          <w:p w14:paraId="3244EF89">
            <w:pPr>
              <w:widowControl/>
              <w:jc w:val="left"/>
              <w:rPr>
                <w:sz w:val="24"/>
              </w:rPr>
            </w:pPr>
            <w:r>
              <w:rPr>
                <w:rFonts w:hint="eastAsia" w:ascii="宋体" w:hAnsi="宋体" w:cs="宋体"/>
                <w:sz w:val="24"/>
              </w:rPr>
              <w:t>④</w:t>
            </w:r>
            <w:r>
              <w:rPr>
                <w:sz w:val="24"/>
              </w:rPr>
              <w:t>规划对生态保护红线、环境质量底线、资源利用上线是否产生影响；</w:t>
            </w:r>
          </w:p>
          <w:p w14:paraId="19A635A9">
            <w:pPr>
              <w:widowControl/>
              <w:jc w:val="left"/>
              <w:rPr>
                <w:sz w:val="24"/>
              </w:rPr>
            </w:pPr>
            <w:r>
              <w:rPr>
                <w:rFonts w:hint="eastAsia" w:ascii="宋体" w:hAnsi="宋体" w:cs="宋体"/>
                <w:sz w:val="24"/>
              </w:rPr>
              <w:t>⑤</w:t>
            </w:r>
            <w:r>
              <w:rPr>
                <w:sz w:val="24"/>
              </w:rPr>
              <w:t>规划与三亚市总体规划、海南省总体规划等应相衔接；</w:t>
            </w:r>
          </w:p>
          <w:p w14:paraId="18655489">
            <w:pPr>
              <w:widowControl/>
              <w:jc w:val="left"/>
              <w:rPr>
                <w:sz w:val="24"/>
              </w:rPr>
            </w:pPr>
            <w:r>
              <w:rPr>
                <w:rFonts w:hint="eastAsia" w:ascii="宋体" w:hAnsi="宋体" w:cs="宋体"/>
                <w:sz w:val="24"/>
              </w:rPr>
              <w:t>⑥</w:t>
            </w:r>
            <w:r>
              <w:rPr>
                <w:sz w:val="24"/>
              </w:rPr>
              <w:t>资金筹措应做分析，以测算体现政府和社会投资的数额。</w:t>
            </w:r>
          </w:p>
        </w:tc>
        <w:tc>
          <w:tcPr>
            <w:tcW w:w="5528" w:type="dxa"/>
            <w:tcBorders>
              <w:top w:val="single" w:color="auto" w:sz="4" w:space="0"/>
              <w:left w:val="nil"/>
              <w:bottom w:val="single" w:color="auto" w:sz="4" w:space="0"/>
              <w:right w:val="single" w:color="auto" w:sz="4" w:space="0"/>
            </w:tcBorders>
            <w:vAlign w:val="center"/>
          </w:tcPr>
          <w:p w14:paraId="0268D1D5">
            <w:pPr>
              <w:widowControl/>
              <w:jc w:val="left"/>
              <w:rPr>
                <w:sz w:val="24"/>
              </w:rPr>
            </w:pPr>
            <w:r>
              <w:rPr>
                <w:rFonts w:hint="eastAsia" w:ascii="宋体" w:hAnsi="宋体" w:cs="宋体"/>
                <w:sz w:val="24"/>
              </w:rPr>
              <w:t>①</w:t>
            </w:r>
            <w:r>
              <w:rPr>
                <w:sz w:val="24"/>
              </w:rPr>
              <w:t>已采纳。规划基础数据以2020年为准，数据来源均引用相关文件材料。</w:t>
            </w:r>
          </w:p>
          <w:p w14:paraId="0A46857D">
            <w:pPr>
              <w:widowControl/>
              <w:jc w:val="left"/>
              <w:rPr>
                <w:sz w:val="24"/>
              </w:rPr>
            </w:pPr>
            <w:r>
              <w:rPr>
                <w:rFonts w:hint="eastAsia" w:ascii="宋体" w:hAnsi="宋体" w:cs="宋体"/>
                <w:sz w:val="24"/>
              </w:rPr>
              <w:t>②</w:t>
            </w:r>
            <w:r>
              <w:rPr>
                <w:sz w:val="24"/>
              </w:rPr>
              <w:t>耕地保护与林业产业发展空间的矛盾主要在林木种苗与花卉产业存在的问题中体现。</w:t>
            </w:r>
          </w:p>
          <w:p w14:paraId="4E7BCD3A">
            <w:pPr>
              <w:widowControl/>
              <w:jc w:val="left"/>
              <w:rPr>
                <w:sz w:val="24"/>
              </w:rPr>
            </w:pPr>
            <w:r>
              <w:rPr>
                <w:rFonts w:hint="eastAsia" w:ascii="宋体" w:hAnsi="宋体" w:cs="宋体"/>
                <w:sz w:val="24"/>
              </w:rPr>
              <w:t>③</w:t>
            </w:r>
            <w:r>
              <w:rPr>
                <w:sz w:val="24"/>
              </w:rPr>
              <w:t>规划文本4.3.1总体布局。</w:t>
            </w:r>
          </w:p>
          <w:p w14:paraId="7E7CF91B">
            <w:pPr>
              <w:widowControl/>
              <w:jc w:val="left"/>
              <w:rPr>
                <w:sz w:val="24"/>
              </w:rPr>
            </w:pPr>
            <w:r>
              <w:rPr>
                <w:rFonts w:hint="eastAsia" w:ascii="宋体" w:hAnsi="宋体" w:cs="宋体"/>
                <w:sz w:val="24"/>
              </w:rPr>
              <w:t>④</w:t>
            </w:r>
            <w:r>
              <w:rPr>
                <w:sz w:val="24"/>
              </w:rPr>
              <w:t>规划对生态保护红线、环境质量底线、资源利用上线是本规划建设中必须严格坚守。</w:t>
            </w:r>
          </w:p>
          <w:p w14:paraId="1B6D89EE">
            <w:pPr>
              <w:widowControl/>
              <w:jc w:val="left"/>
              <w:rPr>
                <w:sz w:val="24"/>
              </w:rPr>
            </w:pPr>
            <w:r>
              <w:rPr>
                <w:rFonts w:hint="eastAsia" w:ascii="宋体" w:hAnsi="宋体" w:cs="宋体"/>
                <w:sz w:val="24"/>
              </w:rPr>
              <w:t>⑤</w:t>
            </w:r>
            <w:r>
              <w:rPr>
                <w:sz w:val="24"/>
              </w:rPr>
              <w:t>规划重点项目均参考三亚市林业发展“十四五”规划等。</w:t>
            </w:r>
          </w:p>
          <w:p w14:paraId="54513285">
            <w:pPr>
              <w:widowControl/>
              <w:jc w:val="left"/>
              <w:rPr>
                <w:sz w:val="24"/>
              </w:rPr>
            </w:pPr>
            <w:r>
              <w:rPr>
                <w:rFonts w:hint="eastAsia" w:ascii="宋体" w:hAnsi="宋体" w:cs="宋体"/>
                <w:sz w:val="24"/>
              </w:rPr>
              <w:t>⑥</w:t>
            </w:r>
            <w:r>
              <w:rPr>
                <w:sz w:val="24"/>
              </w:rPr>
              <w:t xml:space="preserve">本着“政府引导、市场运作、社会参与”的原则筹措资金，强化政府对资金、技术、市场、服务等要素资源的宏观调控和管理，产业资金以企业自筹为主。 </w:t>
            </w:r>
          </w:p>
        </w:tc>
        <w:tc>
          <w:tcPr>
            <w:tcW w:w="2552" w:type="dxa"/>
            <w:tcBorders>
              <w:top w:val="single" w:color="auto" w:sz="4" w:space="0"/>
              <w:left w:val="nil"/>
              <w:bottom w:val="single" w:color="auto" w:sz="4" w:space="0"/>
              <w:right w:val="single" w:color="auto" w:sz="4" w:space="0"/>
            </w:tcBorders>
            <w:vAlign w:val="center"/>
          </w:tcPr>
          <w:p w14:paraId="4A0C07F6">
            <w:pPr>
              <w:widowControl/>
              <w:jc w:val="left"/>
              <w:rPr>
                <w:kern w:val="0"/>
                <w:sz w:val="24"/>
              </w:rPr>
            </w:pPr>
            <w:r>
              <w:rPr>
                <w:rFonts w:hint="eastAsia" w:ascii="宋体" w:hAnsi="宋体" w:cs="宋体"/>
                <w:kern w:val="0"/>
                <w:sz w:val="24"/>
              </w:rPr>
              <w:t>①</w:t>
            </w:r>
            <w:r>
              <w:rPr>
                <w:kern w:val="0"/>
                <w:sz w:val="24"/>
              </w:rPr>
              <w:t>详见规划文本；</w:t>
            </w:r>
          </w:p>
          <w:p w14:paraId="4A9A3492">
            <w:pPr>
              <w:widowControl/>
              <w:jc w:val="left"/>
              <w:rPr>
                <w:kern w:val="0"/>
                <w:sz w:val="24"/>
              </w:rPr>
            </w:pPr>
            <w:r>
              <w:rPr>
                <w:rFonts w:hint="eastAsia" w:ascii="宋体" w:hAnsi="宋体" w:cs="宋体"/>
                <w:kern w:val="0"/>
                <w:sz w:val="24"/>
              </w:rPr>
              <w:t>②</w:t>
            </w:r>
            <w:r>
              <w:rPr>
                <w:kern w:val="0"/>
                <w:sz w:val="24"/>
              </w:rPr>
              <w:t>详见P58；</w:t>
            </w:r>
          </w:p>
          <w:p w14:paraId="18DF9477">
            <w:pPr>
              <w:widowControl/>
              <w:jc w:val="left"/>
              <w:rPr>
                <w:kern w:val="0"/>
                <w:sz w:val="24"/>
              </w:rPr>
            </w:pPr>
            <w:r>
              <w:rPr>
                <w:rFonts w:hint="eastAsia" w:ascii="宋体" w:hAnsi="宋体" w:cs="宋体"/>
                <w:kern w:val="0"/>
                <w:sz w:val="24"/>
              </w:rPr>
              <w:t>③</w:t>
            </w:r>
            <w:r>
              <w:rPr>
                <w:kern w:val="0"/>
                <w:sz w:val="24"/>
              </w:rPr>
              <w:t>详见P28-29；</w:t>
            </w:r>
          </w:p>
          <w:p w14:paraId="544F6163">
            <w:pPr>
              <w:widowControl/>
              <w:jc w:val="left"/>
              <w:rPr>
                <w:kern w:val="0"/>
                <w:sz w:val="24"/>
              </w:rPr>
            </w:pPr>
            <w:r>
              <w:rPr>
                <w:rFonts w:hint="eastAsia" w:ascii="宋体" w:hAnsi="宋体" w:cs="宋体"/>
                <w:kern w:val="0"/>
                <w:sz w:val="24"/>
              </w:rPr>
              <w:t>④</w:t>
            </w:r>
            <w:r>
              <w:rPr>
                <w:kern w:val="0"/>
                <w:sz w:val="24"/>
              </w:rPr>
              <w:t>~</w:t>
            </w:r>
            <w:r>
              <w:rPr>
                <w:rFonts w:hint="eastAsia" w:ascii="宋体" w:hAnsi="宋体" w:cs="宋体"/>
                <w:kern w:val="0"/>
                <w:sz w:val="24"/>
              </w:rPr>
              <w:t>⑤</w:t>
            </w:r>
            <w:r>
              <w:rPr>
                <w:kern w:val="0"/>
                <w:sz w:val="24"/>
              </w:rPr>
              <w:t>详见规划文本；</w:t>
            </w:r>
          </w:p>
          <w:p w14:paraId="0457E9BC">
            <w:pPr>
              <w:widowControl/>
              <w:jc w:val="left"/>
              <w:rPr>
                <w:kern w:val="0"/>
                <w:sz w:val="24"/>
              </w:rPr>
            </w:pPr>
            <w:r>
              <w:rPr>
                <w:rFonts w:hint="eastAsia" w:ascii="宋体" w:hAnsi="宋体" w:cs="宋体"/>
                <w:kern w:val="0"/>
                <w:sz w:val="24"/>
              </w:rPr>
              <w:t>⑥</w:t>
            </w:r>
            <w:r>
              <w:rPr>
                <w:kern w:val="0"/>
                <w:sz w:val="24"/>
              </w:rPr>
              <w:t>详见P113-114。</w:t>
            </w:r>
          </w:p>
        </w:tc>
      </w:tr>
      <w:tr w14:paraId="45883230">
        <w:tblPrEx>
          <w:tblCellMar>
            <w:top w:w="0" w:type="dxa"/>
            <w:left w:w="108" w:type="dxa"/>
            <w:bottom w:w="0" w:type="dxa"/>
            <w:right w:w="108" w:type="dxa"/>
          </w:tblCellMar>
        </w:tblPrEx>
        <w:trPr>
          <w:trHeight w:val="866" w:hRule="atLeast"/>
        </w:trPr>
        <w:tc>
          <w:tcPr>
            <w:tcW w:w="700" w:type="dxa"/>
            <w:tcBorders>
              <w:top w:val="single" w:color="auto" w:sz="4" w:space="0"/>
              <w:left w:val="single" w:color="auto" w:sz="4" w:space="0"/>
              <w:bottom w:val="single" w:color="auto" w:sz="4" w:space="0"/>
              <w:right w:val="single" w:color="auto" w:sz="4" w:space="0"/>
            </w:tcBorders>
            <w:vAlign w:val="center"/>
          </w:tcPr>
          <w:p w14:paraId="331C9B1A">
            <w:pPr>
              <w:widowControl/>
              <w:jc w:val="center"/>
              <w:rPr>
                <w:kern w:val="0"/>
                <w:sz w:val="24"/>
              </w:rPr>
            </w:pPr>
            <w:r>
              <w:rPr>
                <w:kern w:val="0"/>
                <w:sz w:val="24"/>
              </w:rPr>
              <w:t>5</w:t>
            </w:r>
          </w:p>
        </w:tc>
        <w:tc>
          <w:tcPr>
            <w:tcW w:w="5127" w:type="dxa"/>
            <w:tcBorders>
              <w:top w:val="single" w:color="auto" w:sz="4" w:space="0"/>
              <w:left w:val="nil"/>
              <w:bottom w:val="single" w:color="auto" w:sz="4" w:space="0"/>
              <w:right w:val="single" w:color="auto" w:sz="4" w:space="0"/>
            </w:tcBorders>
            <w:vAlign w:val="center"/>
          </w:tcPr>
          <w:p w14:paraId="6B76F34F">
            <w:pPr>
              <w:widowControl/>
              <w:jc w:val="left"/>
              <w:rPr>
                <w:sz w:val="24"/>
              </w:rPr>
            </w:pPr>
            <w:r>
              <w:rPr>
                <w:rFonts w:hint="eastAsia" w:ascii="宋体" w:hAnsi="宋体" w:cs="宋体"/>
                <w:sz w:val="24"/>
              </w:rPr>
              <w:t>①</w:t>
            </w:r>
            <w:r>
              <w:rPr>
                <w:sz w:val="24"/>
              </w:rPr>
              <w:t>三亚市林业发展是以“十四五</w:t>
            </w:r>
            <w:r>
              <w:rPr>
                <w:rFonts w:hint="eastAsia"/>
                <w:sz w:val="24"/>
                <w:lang w:eastAsia="zh-CN"/>
              </w:rPr>
              <w:t>”</w:t>
            </w:r>
            <w:r>
              <w:rPr>
                <w:sz w:val="24"/>
              </w:rPr>
              <w:t>规划的基础上做三亚市林业产业发展规划，建议改成“十四五”规划与2035年远景目标清晰，较为合适；</w:t>
            </w:r>
          </w:p>
          <w:p w14:paraId="4D6106C0">
            <w:pPr>
              <w:widowControl/>
              <w:jc w:val="left"/>
              <w:rPr>
                <w:sz w:val="24"/>
              </w:rPr>
            </w:pPr>
            <w:r>
              <w:rPr>
                <w:rFonts w:hint="eastAsia" w:ascii="宋体" w:hAnsi="宋体" w:cs="宋体"/>
                <w:sz w:val="24"/>
              </w:rPr>
              <w:t>②</w:t>
            </w:r>
            <w:r>
              <w:rPr>
                <w:sz w:val="24"/>
              </w:rPr>
              <w:t>建议建设林产品交易中心、种苗市场交易中心、产业科技示范园；</w:t>
            </w:r>
          </w:p>
          <w:p w14:paraId="1E4CC0B4">
            <w:pPr>
              <w:widowControl/>
              <w:jc w:val="left"/>
              <w:rPr>
                <w:sz w:val="24"/>
              </w:rPr>
            </w:pPr>
            <w:r>
              <w:rPr>
                <w:rFonts w:hint="eastAsia" w:ascii="宋体" w:hAnsi="宋体" w:cs="宋体"/>
                <w:sz w:val="24"/>
              </w:rPr>
              <w:t>③</w:t>
            </w:r>
            <w:r>
              <w:rPr>
                <w:sz w:val="24"/>
              </w:rPr>
              <w:t>科技支撑与科技不断提升，建议提出具体措施。</w:t>
            </w:r>
          </w:p>
        </w:tc>
        <w:tc>
          <w:tcPr>
            <w:tcW w:w="5528" w:type="dxa"/>
            <w:tcBorders>
              <w:top w:val="single" w:color="auto" w:sz="4" w:space="0"/>
              <w:left w:val="nil"/>
              <w:bottom w:val="single" w:color="auto" w:sz="4" w:space="0"/>
              <w:right w:val="single" w:color="auto" w:sz="4" w:space="0"/>
            </w:tcBorders>
            <w:vAlign w:val="center"/>
          </w:tcPr>
          <w:p w14:paraId="018981C7">
            <w:pPr>
              <w:widowControl/>
              <w:jc w:val="left"/>
              <w:rPr>
                <w:sz w:val="24"/>
              </w:rPr>
            </w:pPr>
            <w:r>
              <w:rPr>
                <w:rFonts w:hint="eastAsia" w:ascii="宋体" w:hAnsi="宋体" w:cs="宋体"/>
                <w:sz w:val="24"/>
              </w:rPr>
              <w:t>①</w:t>
            </w:r>
            <w:r>
              <w:rPr>
                <w:sz w:val="24"/>
              </w:rPr>
              <w:t>因与林业“十四五”规划区别，15年产业规划目标分为近期目标（2021~2025年）和中长期目标（2026~2035年）。</w:t>
            </w:r>
          </w:p>
          <w:p w14:paraId="13444E3E">
            <w:pPr>
              <w:widowControl/>
              <w:jc w:val="left"/>
              <w:rPr>
                <w:sz w:val="24"/>
              </w:rPr>
            </w:pPr>
            <w:r>
              <w:rPr>
                <w:rFonts w:hint="eastAsia" w:ascii="宋体" w:hAnsi="宋体" w:cs="宋体"/>
                <w:sz w:val="24"/>
              </w:rPr>
              <w:t>②</w:t>
            </w:r>
            <w:r>
              <w:rPr>
                <w:sz w:val="24"/>
              </w:rPr>
              <w:t>在林木种苗与花卉产业中体现。</w:t>
            </w:r>
          </w:p>
          <w:p w14:paraId="3E7A54AD">
            <w:pPr>
              <w:widowControl/>
              <w:jc w:val="left"/>
              <w:rPr>
                <w:sz w:val="24"/>
              </w:rPr>
            </w:pPr>
            <w:r>
              <w:rPr>
                <w:rFonts w:hint="eastAsia" w:ascii="宋体" w:hAnsi="宋体" w:cs="宋体"/>
                <w:sz w:val="24"/>
              </w:rPr>
              <w:t>③</w:t>
            </w:r>
            <w:r>
              <w:rPr>
                <w:sz w:val="24"/>
              </w:rPr>
              <w:t>在保障措施中技术保障体现。</w:t>
            </w:r>
          </w:p>
        </w:tc>
        <w:tc>
          <w:tcPr>
            <w:tcW w:w="2552" w:type="dxa"/>
            <w:tcBorders>
              <w:top w:val="single" w:color="auto" w:sz="4" w:space="0"/>
              <w:left w:val="nil"/>
              <w:bottom w:val="single" w:color="auto" w:sz="4" w:space="0"/>
              <w:right w:val="single" w:color="auto" w:sz="4" w:space="0"/>
            </w:tcBorders>
            <w:vAlign w:val="center"/>
          </w:tcPr>
          <w:p w14:paraId="760F4002">
            <w:pPr>
              <w:widowControl/>
              <w:jc w:val="left"/>
              <w:rPr>
                <w:kern w:val="0"/>
                <w:sz w:val="24"/>
              </w:rPr>
            </w:pPr>
            <w:r>
              <w:rPr>
                <w:rFonts w:hint="eastAsia" w:ascii="宋体" w:hAnsi="宋体" w:cs="宋体"/>
                <w:kern w:val="0"/>
                <w:sz w:val="24"/>
              </w:rPr>
              <w:t>①</w:t>
            </w:r>
            <w:r>
              <w:rPr>
                <w:kern w:val="0"/>
                <w:sz w:val="24"/>
              </w:rPr>
              <w:t>详见规划文本；</w:t>
            </w:r>
          </w:p>
          <w:p w14:paraId="42177613">
            <w:pPr>
              <w:widowControl/>
              <w:jc w:val="left"/>
              <w:rPr>
                <w:kern w:val="0"/>
                <w:sz w:val="24"/>
              </w:rPr>
            </w:pPr>
            <w:r>
              <w:rPr>
                <w:rFonts w:hint="eastAsia" w:ascii="宋体" w:hAnsi="宋体" w:cs="宋体"/>
                <w:kern w:val="0"/>
                <w:sz w:val="24"/>
              </w:rPr>
              <w:t>②</w:t>
            </w:r>
            <w:r>
              <w:rPr>
                <w:kern w:val="0"/>
                <w:sz w:val="24"/>
              </w:rPr>
              <w:t>详见P65-66；</w:t>
            </w:r>
          </w:p>
          <w:p w14:paraId="19199FBB">
            <w:pPr>
              <w:widowControl/>
              <w:jc w:val="left"/>
              <w:rPr>
                <w:kern w:val="0"/>
                <w:sz w:val="24"/>
              </w:rPr>
            </w:pPr>
            <w:r>
              <w:rPr>
                <w:rFonts w:hint="eastAsia" w:ascii="宋体" w:hAnsi="宋体" w:cs="宋体"/>
                <w:kern w:val="0"/>
                <w:sz w:val="24"/>
              </w:rPr>
              <w:t>③</w:t>
            </w:r>
            <w:r>
              <w:rPr>
                <w:kern w:val="0"/>
                <w:sz w:val="24"/>
              </w:rPr>
              <w:t>详见P116-118。</w:t>
            </w:r>
          </w:p>
          <w:p w14:paraId="071180D5">
            <w:pPr>
              <w:widowControl/>
              <w:jc w:val="left"/>
              <w:rPr>
                <w:kern w:val="0"/>
                <w:sz w:val="24"/>
              </w:rPr>
            </w:pPr>
          </w:p>
        </w:tc>
      </w:tr>
      <w:tr w14:paraId="66270698">
        <w:tblPrEx>
          <w:tblCellMar>
            <w:top w:w="0" w:type="dxa"/>
            <w:left w:w="108" w:type="dxa"/>
            <w:bottom w:w="0" w:type="dxa"/>
            <w:right w:w="108" w:type="dxa"/>
          </w:tblCellMar>
        </w:tblPrEx>
        <w:trPr>
          <w:trHeight w:val="866" w:hRule="atLeast"/>
        </w:trPr>
        <w:tc>
          <w:tcPr>
            <w:tcW w:w="700" w:type="dxa"/>
            <w:tcBorders>
              <w:top w:val="single" w:color="auto" w:sz="4" w:space="0"/>
              <w:left w:val="single" w:color="auto" w:sz="4" w:space="0"/>
              <w:bottom w:val="single" w:color="auto" w:sz="4" w:space="0"/>
              <w:right w:val="single" w:color="auto" w:sz="4" w:space="0"/>
            </w:tcBorders>
            <w:vAlign w:val="center"/>
          </w:tcPr>
          <w:p w14:paraId="14FA27DE">
            <w:pPr>
              <w:widowControl/>
              <w:jc w:val="center"/>
              <w:rPr>
                <w:sz w:val="24"/>
              </w:rPr>
            </w:pPr>
            <w:r>
              <w:rPr>
                <w:sz w:val="24"/>
              </w:rPr>
              <w:t>6</w:t>
            </w:r>
          </w:p>
        </w:tc>
        <w:tc>
          <w:tcPr>
            <w:tcW w:w="5127" w:type="dxa"/>
            <w:tcBorders>
              <w:top w:val="single" w:color="auto" w:sz="4" w:space="0"/>
              <w:left w:val="nil"/>
              <w:bottom w:val="single" w:color="auto" w:sz="4" w:space="0"/>
              <w:right w:val="single" w:color="auto" w:sz="4" w:space="0"/>
            </w:tcBorders>
            <w:vAlign w:val="center"/>
          </w:tcPr>
          <w:p w14:paraId="5BD82D9D">
            <w:pPr>
              <w:widowControl/>
              <w:jc w:val="left"/>
              <w:rPr>
                <w:sz w:val="24"/>
              </w:rPr>
            </w:pPr>
            <w:r>
              <w:rPr>
                <w:rFonts w:hint="eastAsia" w:ascii="宋体" w:hAnsi="宋体" w:cs="宋体"/>
                <w:sz w:val="24"/>
              </w:rPr>
              <w:t>①</w:t>
            </w:r>
            <w:r>
              <w:rPr>
                <w:sz w:val="24"/>
              </w:rPr>
              <w:t>建议对规划文本中的“章”进行调整：把各产业规划合并在一章中写，另增加一章“重点工程规划”；</w:t>
            </w:r>
          </w:p>
          <w:p w14:paraId="0F5AC232">
            <w:pPr>
              <w:widowControl/>
              <w:jc w:val="left"/>
              <w:rPr>
                <w:sz w:val="24"/>
              </w:rPr>
            </w:pPr>
            <w:r>
              <w:rPr>
                <w:rFonts w:hint="eastAsia" w:ascii="宋体" w:hAnsi="宋体" w:cs="宋体"/>
                <w:sz w:val="24"/>
              </w:rPr>
              <w:t>②</w:t>
            </w:r>
            <w:r>
              <w:rPr>
                <w:sz w:val="24"/>
              </w:rPr>
              <w:t>总体布局太空泛，应从三亚地貌、森林资源分布特征和产业发展方向进行阐述。如三带：北部生态屏障、南部海岸生态保护、中部产业发展；</w:t>
            </w:r>
          </w:p>
          <w:p w14:paraId="27D8A9B2">
            <w:pPr>
              <w:widowControl/>
              <w:jc w:val="left"/>
              <w:rPr>
                <w:sz w:val="24"/>
              </w:rPr>
            </w:pPr>
            <w:r>
              <w:rPr>
                <w:rFonts w:hint="eastAsia" w:ascii="宋体" w:hAnsi="宋体" w:cs="宋体"/>
                <w:sz w:val="24"/>
              </w:rPr>
              <w:t>③</w:t>
            </w:r>
            <w:r>
              <w:rPr>
                <w:sz w:val="24"/>
              </w:rPr>
              <w:t>保障措施最好归为四大方面写：即政策扶植指施、强化管理措施、资金保障措施、科技支撑措施。其中：110页，成立专门领导小组恐怕不可行。</w:t>
            </w:r>
          </w:p>
          <w:p w14:paraId="3DF2C79D">
            <w:pPr>
              <w:widowControl/>
              <w:jc w:val="left"/>
              <w:rPr>
                <w:sz w:val="24"/>
              </w:rPr>
            </w:pPr>
            <w:r>
              <w:rPr>
                <w:rFonts w:hint="eastAsia" w:ascii="宋体" w:hAnsi="宋体" w:cs="宋体"/>
                <w:sz w:val="24"/>
              </w:rPr>
              <w:t>④</w:t>
            </w:r>
            <w:r>
              <w:rPr>
                <w:sz w:val="24"/>
              </w:rPr>
              <w:t>第28页（4）中去掉“龙头”，保持各条原则字数相同。（5）坚持高新科技和技术提升，改为“坚持科技支撑和推广应用”。</w:t>
            </w:r>
          </w:p>
        </w:tc>
        <w:tc>
          <w:tcPr>
            <w:tcW w:w="5528" w:type="dxa"/>
            <w:tcBorders>
              <w:top w:val="single" w:color="auto" w:sz="4" w:space="0"/>
              <w:left w:val="nil"/>
              <w:bottom w:val="single" w:color="auto" w:sz="4" w:space="0"/>
              <w:right w:val="single" w:color="auto" w:sz="4" w:space="0"/>
            </w:tcBorders>
            <w:vAlign w:val="center"/>
          </w:tcPr>
          <w:p w14:paraId="25E0A37C">
            <w:pPr>
              <w:widowControl/>
              <w:jc w:val="left"/>
              <w:rPr>
                <w:sz w:val="24"/>
              </w:rPr>
            </w:pPr>
            <w:r>
              <w:rPr>
                <w:rFonts w:hint="eastAsia" w:ascii="宋体" w:hAnsi="宋体" w:cs="宋体"/>
                <w:sz w:val="24"/>
              </w:rPr>
              <w:t>①</w:t>
            </w:r>
            <w:r>
              <w:rPr>
                <w:sz w:val="24"/>
              </w:rPr>
              <w:t>已采纳。增加第五章重点工程规划。</w:t>
            </w:r>
          </w:p>
          <w:p w14:paraId="35EC9088">
            <w:pPr>
              <w:widowControl/>
              <w:jc w:val="left"/>
              <w:rPr>
                <w:sz w:val="24"/>
              </w:rPr>
            </w:pPr>
            <w:r>
              <w:rPr>
                <w:rFonts w:hint="eastAsia" w:ascii="宋体" w:hAnsi="宋体" w:cs="宋体"/>
                <w:sz w:val="24"/>
              </w:rPr>
              <w:t>②</w:t>
            </w:r>
            <w:r>
              <w:rPr>
                <w:sz w:val="24"/>
              </w:rPr>
              <w:t>规划6大产业涉及第一、二、三产业，项目分布较广，既要保护生态又要合理开发利用。</w:t>
            </w:r>
          </w:p>
          <w:p w14:paraId="4F718BFE">
            <w:pPr>
              <w:widowControl/>
              <w:jc w:val="left"/>
              <w:rPr>
                <w:sz w:val="24"/>
              </w:rPr>
            </w:pPr>
            <w:r>
              <w:rPr>
                <w:rFonts w:hint="eastAsia" w:ascii="宋体" w:hAnsi="宋体" w:cs="宋体"/>
                <w:sz w:val="24"/>
              </w:rPr>
              <w:t>③</w:t>
            </w:r>
            <w:r>
              <w:rPr>
                <w:sz w:val="24"/>
              </w:rPr>
              <w:t>已采纳。</w:t>
            </w:r>
          </w:p>
          <w:p w14:paraId="52148044">
            <w:pPr>
              <w:widowControl/>
              <w:jc w:val="left"/>
              <w:rPr>
                <w:sz w:val="24"/>
              </w:rPr>
            </w:pPr>
            <w:r>
              <w:rPr>
                <w:rFonts w:hint="eastAsia" w:ascii="宋体" w:hAnsi="宋体" w:cs="宋体"/>
                <w:sz w:val="24"/>
              </w:rPr>
              <w:t>④</w:t>
            </w:r>
            <w:r>
              <w:rPr>
                <w:sz w:val="24"/>
              </w:rPr>
              <w:t>已采纳。</w:t>
            </w:r>
          </w:p>
        </w:tc>
        <w:tc>
          <w:tcPr>
            <w:tcW w:w="2552" w:type="dxa"/>
            <w:tcBorders>
              <w:top w:val="single" w:color="auto" w:sz="4" w:space="0"/>
              <w:left w:val="nil"/>
              <w:bottom w:val="single" w:color="auto" w:sz="4" w:space="0"/>
              <w:right w:val="single" w:color="auto" w:sz="4" w:space="0"/>
            </w:tcBorders>
            <w:vAlign w:val="center"/>
          </w:tcPr>
          <w:p w14:paraId="7789873E">
            <w:pPr>
              <w:widowControl/>
              <w:jc w:val="left"/>
              <w:rPr>
                <w:kern w:val="0"/>
                <w:sz w:val="24"/>
              </w:rPr>
            </w:pPr>
            <w:r>
              <w:rPr>
                <w:rFonts w:hint="eastAsia" w:ascii="宋体" w:hAnsi="宋体" w:cs="宋体"/>
                <w:kern w:val="0"/>
                <w:sz w:val="24"/>
              </w:rPr>
              <w:t>①</w:t>
            </w:r>
            <w:r>
              <w:rPr>
                <w:kern w:val="0"/>
                <w:sz w:val="24"/>
              </w:rPr>
              <w:t>详见P36-38；</w:t>
            </w:r>
          </w:p>
          <w:p w14:paraId="72164DDB">
            <w:pPr>
              <w:widowControl/>
              <w:jc w:val="left"/>
              <w:rPr>
                <w:kern w:val="0"/>
                <w:sz w:val="24"/>
              </w:rPr>
            </w:pPr>
            <w:r>
              <w:rPr>
                <w:rFonts w:hint="eastAsia" w:ascii="宋体" w:hAnsi="宋体" w:cs="宋体"/>
                <w:kern w:val="0"/>
                <w:sz w:val="24"/>
              </w:rPr>
              <w:t>②</w:t>
            </w:r>
            <w:r>
              <w:rPr>
                <w:kern w:val="0"/>
                <w:sz w:val="24"/>
              </w:rPr>
              <w:t>详见P28-29；</w:t>
            </w:r>
          </w:p>
          <w:p w14:paraId="5CB5BFF8">
            <w:pPr>
              <w:widowControl/>
              <w:jc w:val="left"/>
              <w:rPr>
                <w:kern w:val="0"/>
                <w:sz w:val="24"/>
              </w:rPr>
            </w:pPr>
            <w:r>
              <w:rPr>
                <w:rFonts w:hint="eastAsia" w:ascii="宋体" w:hAnsi="宋体" w:cs="宋体"/>
                <w:kern w:val="0"/>
                <w:sz w:val="24"/>
              </w:rPr>
              <w:t>③</w:t>
            </w:r>
            <w:r>
              <w:rPr>
                <w:kern w:val="0"/>
                <w:sz w:val="24"/>
              </w:rPr>
              <w:t>详见P114-118；</w:t>
            </w:r>
          </w:p>
          <w:p w14:paraId="43927F36">
            <w:pPr>
              <w:widowControl/>
              <w:jc w:val="left"/>
              <w:rPr>
                <w:kern w:val="0"/>
                <w:sz w:val="24"/>
              </w:rPr>
            </w:pPr>
            <w:r>
              <w:rPr>
                <w:rFonts w:hint="eastAsia" w:ascii="宋体" w:hAnsi="宋体" w:cs="宋体"/>
                <w:kern w:val="0"/>
                <w:sz w:val="24"/>
              </w:rPr>
              <w:t>④</w:t>
            </w:r>
            <w:r>
              <w:rPr>
                <w:kern w:val="0"/>
                <w:sz w:val="24"/>
              </w:rPr>
              <w:t>详见P30-31。</w:t>
            </w:r>
          </w:p>
        </w:tc>
      </w:tr>
    </w:tbl>
    <w:p w14:paraId="0234D61B">
      <w:pPr>
        <w:spacing w:line="360" w:lineRule="auto"/>
        <w:outlineLvl w:val="1"/>
        <w:rPr>
          <w:rFonts w:eastAsia="黑体"/>
          <w:sz w:val="32"/>
          <w:szCs w:val="32"/>
        </w:rPr>
      </w:pPr>
    </w:p>
    <w:sectPr>
      <w:pgSz w:w="16838" w:h="11905" w:orient="landscape"/>
      <w:pgMar w:top="1803" w:right="1440" w:bottom="1803" w:left="1440" w:header="851" w:footer="992" w:gutter="0"/>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方正小标宋简体">
    <w:altName w:val="微软雅黑"/>
    <w:panose1 w:val="00000000000000000000"/>
    <w:charset w:val="86"/>
    <w:family w:val="auto"/>
    <w:pitch w:val="default"/>
    <w:sig w:usb0="00000000" w:usb1="00000000" w:usb2="00000000" w:usb3="00000000" w:csb0="00040000" w:csb1="00000000"/>
  </w:font>
  <w:font w:name="仿宋_GB2312">
    <w:altName w:val="仿宋"/>
    <w:panose1 w:val="00000000000000000000"/>
    <w:charset w:val="86"/>
    <w:family w:val="modern"/>
    <w:pitch w:val="default"/>
    <w:sig w:usb0="00000000" w:usb1="00000000" w:usb2="00000000" w:usb3="00000000" w:csb0="00040000" w:csb1="00000000"/>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F4E88">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957A97">
    <w:pPr>
      <w:pStyle w:val="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F41F0D">
    <w:pPr>
      <w:pStyle w:val="10"/>
      <w:jc w:val="center"/>
    </w:pPr>
    <w:r>
      <w:rPr>
        <w:lang w:val="zh-CN"/>
      </w:rPr>
      <w:t xml:space="preserve"> </w:t>
    </w:r>
    <w:r>
      <w:rPr>
        <w:b/>
        <w:bCs/>
        <w:sz w:val="24"/>
      </w:rPr>
      <w:fldChar w:fldCharType="begin"/>
    </w:r>
    <w:r>
      <w:rPr>
        <w:b/>
        <w:bCs/>
      </w:rPr>
      <w:instrText xml:space="preserve">PAGE</w:instrText>
    </w:r>
    <w:r>
      <w:rPr>
        <w:b/>
        <w:bCs/>
        <w:sz w:val="24"/>
      </w:rPr>
      <w:fldChar w:fldCharType="separate"/>
    </w:r>
    <w:r>
      <w:rPr>
        <w:b/>
        <w:bCs/>
        <w:lang w:val="en-US" w:eastAsia="zh-CN"/>
      </w:rPr>
      <w:t>8</w:t>
    </w:r>
    <w:r>
      <w:rPr>
        <w:b/>
        <w:bCs/>
        <w:sz w:val="24"/>
      </w:rPr>
      <w:fldChar w:fldCharType="end"/>
    </w:r>
    <w:r>
      <w:rPr>
        <w:lang w:val="zh-CN"/>
      </w:rPr>
      <w:t xml:space="preserve"> / </w:t>
    </w:r>
    <w:r>
      <w:rPr>
        <w:b/>
        <w:bCs/>
        <w:sz w:val="24"/>
      </w:rPr>
      <w:fldChar w:fldCharType="begin"/>
    </w:r>
    <w:r>
      <w:rPr>
        <w:b/>
        <w:bCs/>
      </w:rPr>
      <w:instrText xml:space="preserve">NUMPAGES</w:instrText>
    </w:r>
    <w:r>
      <w:rPr>
        <w:b/>
        <w:bCs/>
        <w:sz w:val="24"/>
      </w:rPr>
      <w:fldChar w:fldCharType="separate"/>
    </w:r>
    <w:r>
      <w:rPr>
        <w:b/>
        <w:bCs/>
        <w:lang w:val="en-US" w:eastAsia="zh-CN"/>
      </w:rPr>
      <w:t>174</w:t>
    </w:r>
    <w:r>
      <w:rPr>
        <w:b/>
        <w:bCs/>
        <w:sz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7465DC">
    <w:pPr>
      <w:pStyle w:val="10"/>
      <w:jc w:val="center"/>
    </w:pPr>
    <w:r>
      <w:rPr>
        <w:lang w:val="zh-CN"/>
      </w:rPr>
      <w:t xml:space="preserve"> </w:t>
    </w:r>
    <w:r>
      <w:rPr>
        <w:b/>
        <w:bCs/>
        <w:sz w:val="24"/>
      </w:rPr>
      <w:fldChar w:fldCharType="begin"/>
    </w:r>
    <w:r>
      <w:rPr>
        <w:b/>
        <w:bCs/>
      </w:rPr>
      <w:instrText xml:space="preserve">PAGE</w:instrText>
    </w:r>
    <w:r>
      <w:rPr>
        <w:b/>
        <w:bCs/>
        <w:sz w:val="24"/>
      </w:rPr>
      <w:fldChar w:fldCharType="separate"/>
    </w:r>
    <w:r>
      <w:rPr>
        <w:b/>
        <w:bCs/>
        <w:lang w:val="en-US" w:eastAsia="zh-CN"/>
      </w:rPr>
      <w:t>124</w:t>
    </w:r>
    <w:r>
      <w:rPr>
        <w:b/>
        <w:bCs/>
        <w:sz w:val="24"/>
      </w:rPr>
      <w:fldChar w:fldCharType="end"/>
    </w:r>
    <w:r>
      <w:rPr>
        <w:lang w:val="zh-CN"/>
      </w:rPr>
      <w:t xml:space="preserve"> / </w:t>
    </w:r>
    <w:r>
      <w:rPr>
        <w:b/>
        <w:bCs/>
        <w:sz w:val="24"/>
      </w:rPr>
      <w:fldChar w:fldCharType="begin"/>
    </w:r>
    <w:r>
      <w:rPr>
        <w:b/>
        <w:bCs/>
      </w:rPr>
      <w:instrText xml:space="preserve">NUMPAGES</w:instrText>
    </w:r>
    <w:r>
      <w:rPr>
        <w:b/>
        <w:bCs/>
        <w:sz w:val="24"/>
      </w:rPr>
      <w:fldChar w:fldCharType="separate"/>
    </w:r>
    <w:r>
      <w:rPr>
        <w:b/>
        <w:bCs/>
        <w:lang w:val="en-US" w:eastAsia="zh-CN"/>
      </w:rPr>
      <w:t>174</w:t>
    </w:r>
    <w:r>
      <w:rPr>
        <w:b/>
        <w:bCs/>
        <w:sz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4D530E">
    <w:pPr>
      <w:pStyle w:val="1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E197DD"/>
    <w:multiLevelType w:val="singleLevel"/>
    <w:tmpl w:val="BCE197DD"/>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420"/>
  <w:drawingGridHorizontalSpacing w:val="105"/>
  <w:drawingGridVerticalSpacing w:val="319"/>
  <w:displayHorizont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435"/>
    <w:rsid w:val="00000080"/>
    <w:rsid w:val="00007468"/>
    <w:rsid w:val="00015EE7"/>
    <w:rsid w:val="0001622E"/>
    <w:rsid w:val="000215D8"/>
    <w:rsid w:val="000246CF"/>
    <w:rsid w:val="00030B7B"/>
    <w:rsid w:val="0003169B"/>
    <w:rsid w:val="00034854"/>
    <w:rsid w:val="00035EA0"/>
    <w:rsid w:val="00037DCC"/>
    <w:rsid w:val="00040AE0"/>
    <w:rsid w:val="00041793"/>
    <w:rsid w:val="00041D01"/>
    <w:rsid w:val="00050684"/>
    <w:rsid w:val="00050A98"/>
    <w:rsid w:val="00050B5B"/>
    <w:rsid w:val="00052759"/>
    <w:rsid w:val="000553C1"/>
    <w:rsid w:val="00062F3E"/>
    <w:rsid w:val="00063091"/>
    <w:rsid w:val="00063E16"/>
    <w:rsid w:val="00066138"/>
    <w:rsid w:val="00067A47"/>
    <w:rsid w:val="00067AE5"/>
    <w:rsid w:val="00067B77"/>
    <w:rsid w:val="00071013"/>
    <w:rsid w:val="000716F0"/>
    <w:rsid w:val="0007257C"/>
    <w:rsid w:val="00074058"/>
    <w:rsid w:val="00075ADB"/>
    <w:rsid w:val="00077665"/>
    <w:rsid w:val="00081A77"/>
    <w:rsid w:val="00083341"/>
    <w:rsid w:val="000848AF"/>
    <w:rsid w:val="00084972"/>
    <w:rsid w:val="00085084"/>
    <w:rsid w:val="000855F2"/>
    <w:rsid w:val="00092FDF"/>
    <w:rsid w:val="00093554"/>
    <w:rsid w:val="000957C4"/>
    <w:rsid w:val="00096303"/>
    <w:rsid w:val="00096326"/>
    <w:rsid w:val="0009632C"/>
    <w:rsid w:val="00096A0D"/>
    <w:rsid w:val="000A279E"/>
    <w:rsid w:val="000A4124"/>
    <w:rsid w:val="000A512C"/>
    <w:rsid w:val="000A5EB2"/>
    <w:rsid w:val="000B1B29"/>
    <w:rsid w:val="000B26BB"/>
    <w:rsid w:val="000B54F8"/>
    <w:rsid w:val="000B59CE"/>
    <w:rsid w:val="000B7481"/>
    <w:rsid w:val="000C0F6C"/>
    <w:rsid w:val="000C21E8"/>
    <w:rsid w:val="000C3199"/>
    <w:rsid w:val="000C6FA0"/>
    <w:rsid w:val="000D0E2E"/>
    <w:rsid w:val="000D7831"/>
    <w:rsid w:val="000D7CE4"/>
    <w:rsid w:val="000E00C5"/>
    <w:rsid w:val="000E2EC6"/>
    <w:rsid w:val="000E3C03"/>
    <w:rsid w:val="000E54A1"/>
    <w:rsid w:val="000E6AA6"/>
    <w:rsid w:val="000E7392"/>
    <w:rsid w:val="000F0499"/>
    <w:rsid w:val="000F1120"/>
    <w:rsid w:val="000F6ADF"/>
    <w:rsid w:val="00100AB5"/>
    <w:rsid w:val="001012A5"/>
    <w:rsid w:val="00102C57"/>
    <w:rsid w:val="001047EC"/>
    <w:rsid w:val="00107D37"/>
    <w:rsid w:val="00112D21"/>
    <w:rsid w:val="00113D8D"/>
    <w:rsid w:val="0011526E"/>
    <w:rsid w:val="0011596D"/>
    <w:rsid w:val="00115FB6"/>
    <w:rsid w:val="001173C0"/>
    <w:rsid w:val="0012199C"/>
    <w:rsid w:val="001223FE"/>
    <w:rsid w:val="00125E8B"/>
    <w:rsid w:val="00126924"/>
    <w:rsid w:val="00131117"/>
    <w:rsid w:val="00131C81"/>
    <w:rsid w:val="00136B2A"/>
    <w:rsid w:val="00136BDD"/>
    <w:rsid w:val="0014011A"/>
    <w:rsid w:val="0014115B"/>
    <w:rsid w:val="00145D57"/>
    <w:rsid w:val="0014684A"/>
    <w:rsid w:val="001469C0"/>
    <w:rsid w:val="00152271"/>
    <w:rsid w:val="00154FEE"/>
    <w:rsid w:val="00160747"/>
    <w:rsid w:val="001634D3"/>
    <w:rsid w:val="00163E42"/>
    <w:rsid w:val="00163FF8"/>
    <w:rsid w:val="00174A50"/>
    <w:rsid w:val="001774CB"/>
    <w:rsid w:val="00177DA3"/>
    <w:rsid w:val="00183A17"/>
    <w:rsid w:val="00186A39"/>
    <w:rsid w:val="001879B0"/>
    <w:rsid w:val="0019138C"/>
    <w:rsid w:val="001918C7"/>
    <w:rsid w:val="001924CA"/>
    <w:rsid w:val="001949CA"/>
    <w:rsid w:val="001A1B63"/>
    <w:rsid w:val="001A2C1A"/>
    <w:rsid w:val="001A2FD7"/>
    <w:rsid w:val="001A496D"/>
    <w:rsid w:val="001B1B14"/>
    <w:rsid w:val="001B548D"/>
    <w:rsid w:val="001B79C1"/>
    <w:rsid w:val="001C049B"/>
    <w:rsid w:val="001C0C07"/>
    <w:rsid w:val="001C3E8C"/>
    <w:rsid w:val="001C41C6"/>
    <w:rsid w:val="001C4E61"/>
    <w:rsid w:val="001C530B"/>
    <w:rsid w:val="001D0204"/>
    <w:rsid w:val="001D0253"/>
    <w:rsid w:val="001D0C42"/>
    <w:rsid w:val="001D27DD"/>
    <w:rsid w:val="001D34C1"/>
    <w:rsid w:val="001D471B"/>
    <w:rsid w:val="001D4EAD"/>
    <w:rsid w:val="001D6ACF"/>
    <w:rsid w:val="001E5C96"/>
    <w:rsid w:val="001E7BF7"/>
    <w:rsid w:val="001F3443"/>
    <w:rsid w:val="001F6B2D"/>
    <w:rsid w:val="001F6F01"/>
    <w:rsid w:val="001F6FF3"/>
    <w:rsid w:val="00204305"/>
    <w:rsid w:val="002053AA"/>
    <w:rsid w:val="0020574F"/>
    <w:rsid w:val="002064C8"/>
    <w:rsid w:val="002069AD"/>
    <w:rsid w:val="00210122"/>
    <w:rsid w:val="0021132D"/>
    <w:rsid w:val="00213871"/>
    <w:rsid w:val="00214D93"/>
    <w:rsid w:val="002160A9"/>
    <w:rsid w:val="0022024F"/>
    <w:rsid w:val="00220D82"/>
    <w:rsid w:val="002260F7"/>
    <w:rsid w:val="00227AC2"/>
    <w:rsid w:val="00230CD0"/>
    <w:rsid w:val="00232D12"/>
    <w:rsid w:val="00234EEE"/>
    <w:rsid w:val="002370B8"/>
    <w:rsid w:val="00247251"/>
    <w:rsid w:val="00256CE8"/>
    <w:rsid w:val="002578AA"/>
    <w:rsid w:val="00262B62"/>
    <w:rsid w:val="00263AE4"/>
    <w:rsid w:val="00270BFB"/>
    <w:rsid w:val="002735AA"/>
    <w:rsid w:val="00273C76"/>
    <w:rsid w:val="0027772A"/>
    <w:rsid w:val="00281EB9"/>
    <w:rsid w:val="00284704"/>
    <w:rsid w:val="00285240"/>
    <w:rsid w:val="002852FD"/>
    <w:rsid w:val="00287359"/>
    <w:rsid w:val="00291CCE"/>
    <w:rsid w:val="00291ECA"/>
    <w:rsid w:val="00291F53"/>
    <w:rsid w:val="00295B19"/>
    <w:rsid w:val="00296AFB"/>
    <w:rsid w:val="002A266E"/>
    <w:rsid w:val="002A45DB"/>
    <w:rsid w:val="002A5C5A"/>
    <w:rsid w:val="002B09F7"/>
    <w:rsid w:val="002B3CCE"/>
    <w:rsid w:val="002B5A34"/>
    <w:rsid w:val="002C457C"/>
    <w:rsid w:val="002C66A5"/>
    <w:rsid w:val="002D1083"/>
    <w:rsid w:val="002D1124"/>
    <w:rsid w:val="002D11DA"/>
    <w:rsid w:val="002D26B7"/>
    <w:rsid w:val="002D3850"/>
    <w:rsid w:val="002D688A"/>
    <w:rsid w:val="002D7516"/>
    <w:rsid w:val="002E64A6"/>
    <w:rsid w:val="002E780C"/>
    <w:rsid w:val="002F0BB4"/>
    <w:rsid w:val="002F25B2"/>
    <w:rsid w:val="002F2866"/>
    <w:rsid w:val="002F406D"/>
    <w:rsid w:val="002F5D71"/>
    <w:rsid w:val="002F7982"/>
    <w:rsid w:val="00302394"/>
    <w:rsid w:val="00305F60"/>
    <w:rsid w:val="00310EBD"/>
    <w:rsid w:val="00315B3F"/>
    <w:rsid w:val="00322878"/>
    <w:rsid w:val="003268A1"/>
    <w:rsid w:val="00327F08"/>
    <w:rsid w:val="00330752"/>
    <w:rsid w:val="003356E3"/>
    <w:rsid w:val="0033693B"/>
    <w:rsid w:val="00340C64"/>
    <w:rsid w:val="00346C32"/>
    <w:rsid w:val="00347C4C"/>
    <w:rsid w:val="00347DAA"/>
    <w:rsid w:val="003502B9"/>
    <w:rsid w:val="003525DB"/>
    <w:rsid w:val="00352C00"/>
    <w:rsid w:val="00356732"/>
    <w:rsid w:val="00361619"/>
    <w:rsid w:val="00370FAE"/>
    <w:rsid w:val="00375EFC"/>
    <w:rsid w:val="003771F0"/>
    <w:rsid w:val="00385BB5"/>
    <w:rsid w:val="00387248"/>
    <w:rsid w:val="003873DC"/>
    <w:rsid w:val="00387E43"/>
    <w:rsid w:val="003908E8"/>
    <w:rsid w:val="00392F32"/>
    <w:rsid w:val="00392F96"/>
    <w:rsid w:val="003933A9"/>
    <w:rsid w:val="00394F84"/>
    <w:rsid w:val="00395BB3"/>
    <w:rsid w:val="00396129"/>
    <w:rsid w:val="003961E3"/>
    <w:rsid w:val="0039700D"/>
    <w:rsid w:val="003A0F60"/>
    <w:rsid w:val="003A19FB"/>
    <w:rsid w:val="003A1C38"/>
    <w:rsid w:val="003A7302"/>
    <w:rsid w:val="003A77BA"/>
    <w:rsid w:val="003B0ED1"/>
    <w:rsid w:val="003B1BFE"/>
    <w:rsid w:val="003B2527"/>
    <w:rsid w:val="003B2EEF"/>
    <w:rsid w:val="003B3ACC"/>
    <w:rsid w:val="003B4793"/>
    <w:rsid w:val="003B5564"/>
    <w:rsid w:val="003B698E"/>
    <w:rsid w:val="003B709D"/>
    <w:rsid w:val="003B7860"/>
    <w:rsid w:val="003B797D"/>
    <w:rsid w:val="003C1C0A"/>
    <w:rsid w:val="003C2758"/>
    <w:rsid w:val="003C2D21"/>
    <w:rsid w:val="003C576D"/>
    <w:rsid w:val="003C598A"/>
    <w:rsid w:val="003C7CE2"/>
    <w:rsid w:val="003D1A05"/>
    <w:rsid w:val="003E0FD4"/>
    <w:rsid w:val="003E2692"/>
    <w:rsid w:val="003E5D03"/>
    <w:rsid w:val="003E5D75"/>
    <w:rsid w:val="003E65F5"/>
    <w:rsid w:val="003F4829"/>
    <w:rsid w:val="003F6015"/>
    <w:rsid w:val="00400247"/>
    <w:rsid w:val="004006BD"/>
    <w:rsid w:val="00400BC5"/>
    <w:rsid w:val="004012DF"/>
    <w:rsid w:val="00404488"/>
    <w:rsid w:val="00406674"/>
    <w:rsid w:val="0041033F"/>
    <w:rsid w:val="0041338A"/>
    <w:rsid w:val="00413523"/>
    <w:rsid w:val="00413E98"/>
    <w:rsid w:val="00414930"/>
    <w:rsid w:val="004158C9"/>
    <w:rsid w:val="00415B94"/>
    <w:rsid w:val="00416842"/>
    <w:rsid w:val="00420172"/>
    <w:rsid w:val="004216F5"/>
    <w:rsid w:val="00422EF3"/>
    <w:rsid w:val="0042653F"/>
    <w:rsid w:val="004279F4"/>
    <w:rsid w:val="00430108"/>
    <w:rsid w:val="0043254D"/>
    <w:rsid w:val="00436236"/>
    <w:rsid w:val="004375CA"/>
    <w:rsid w:val="00441451"/>
    <w:rsid w:val="004443AC"/>
    <w:rsid w:val="00445237"/>
    <w:rsid w:val="00445FC3"/>
    <w:rsid w:val="004467A4"/>
    <w:rsid w:val="004474E7"/>
    <w:rsid w:val="00447EBC"/>
    <w:rsid w:val="0046587C"/>
    <w:rsid w:val="00474F09"/>
    <w:rsid w:val="00480D0C"/>
    <w:rsid w:val="00481811"/>
    <w:rsid w:val="00483D66"/>
    <w:rsid w:val="0048447A"/>
    <w:rsid w:val="004871B8"/>
    <w:rsid w:val="00487CD5"/>
    <w:rsid w:val="004908CD"/>
    <w:rsid w:val="0049160E"/>
    <w:rsid w:val="004919CF"/>
    <w:rsid w:val="00491B49"/>
    <w:rsid w:val="00492DF8"/>
    <w:rsid w:val="00495414"/>
    <w:rsid w:val="004A66E1"/>
    <w:rsid w:val="004B0450"/>
    <w:rsid w:val="004B31F6"/>
    <w:rsid w:val="004B39E1"/>
    <w:rsid w:val="004B3E89"/>
    <w:rsid w:val="004B6F05"/>
    <w:rsid w:val="004C1407"/>
    <w:rsid w:val="004C2D57"/>
    <w:rsid w:val="004C6B18"/>
    <w:rsid w:val="004D0435"/>
    <w:rsid w:val="004D1A45"/>
    <w:rsid w:val="004D220A"/>
    <w:rsid w:val="004D4672"/>
    <w:rsid w:val="004E188D"/>
    <w:rsid w:val="004E3A87"/>
    <w:rsid w:val="004E3C7C"/>
    <w:rsid w:val="004E3D7A"/>
    <w:rsid w:val="004E3F5C"/>
    <w:rsid w:val="004E41E6"/>
    <w:rsid w:val="004E7C60"/>
    <w:rsid w:val="004F02FA"/>
    <w:rsid w:val="004F1BDE"/>
    <w:rsid w:val="004F1C70"/>
    <w:rsid w:val="004F234C"/>
    <w:rsid w:val="004F2ECA"/>
    <w:rsid w:val="004F3232"/>
    <w:rsid w:val="004F58EB"/>
    <w:rsid w:val="004F5FE2"/>
    <w:rsid w:val="004F6FB5"/>
    <w:rsid w:val="00501696"/>
    <w:rsid w:val="00502820"/>
    <w:rsid w:val="00502E91"/>
    <w:rsid w:val="005049CD"/>
    <w:rsid w:val="00512BD7"/>
    <w:rsid w:val="0051567C"/>
    <w:rsid w:val="00517BC1"/>
    <w:rsid w:val="00520E51"/>
    <w:rsid w:val="005245C6"/>
    <w:rsid w:val="00524E1E"/>
    <w:rsid w:val="00526F3E"/>
    <w:rsid w:val="00526FD4"/>
    <w:rsid w:val="00532F77"/>
    <w:rsid w:val="00536419"/>
    <w:rsid w:val="005402EE"/>
    <w:rsid w:val="0054688C"/>
    <w:rsid w:val="005506D0"/>
    <w:rsid w:val="0055156B"/>
    <w:rsid w:val="00553C2F"/>
    <w:rsid w:val="0056058C"/>
    <w:rsid w:val="0056097A"/>
    <w:rsid w:val="00564C43"/>
    <w:rsid w:val="00564C67"/>
    <w:rsid w:val="005679B3"/>
    <w:rsid w:val="0057373E"/>
    <w:rsid w:val="00573D88"/>
    <w:rsid w:val="005758F2"/>
    <w:rsid w:val="0057608B"/>
    <w:rsid w:val="00580D97"/>
    <w:rsid w:val="00583427"/>
    <w:rsid w:val="00585089"/>
    <w:rsid w:val="005A15E9"/>
    <w:rsid w:val="005A48FF"/>
    <w:rsid w:val="005A4A37"/>
    <w:rsid w:val="005A5007"/>
    <w:rsid w:val="005A541D"/>
    <w:rsid w:val="005B047C"/>
    <w:rsid w:val="005B05EC"/>
    <w:rsid w:val="005B5E28"/>
    <w:rsid w:val="005B716B"/>
    <w:rsid w:val="005C6C8A"/>
    <w:rsid w:val="005D04A0"/>
    <w:rsid w:val="005D1593"/>
    <w:rsid w:val="005D1826"/>
    <w:rsid w:val="005D2A91"/>
    <w:rsid w:val="005D31C3"/>
    <w:rsid w:val="005D4E1C"/>
    <w:rsid w:val="005D751C"/>
    <w:rsid w:val="005D7734"/>
    <w:rsid w:val="005E0405"/>
    <w:rsid w:val="005E2DE3"/>
    <w:rsid w:val="005E7838"/>
    <w:rsid w:val="005F1572"/>
    <w:rsid w:val="005F2444"/>
    <w:rsid w:val="005F415B"/>
    <w:rsid w:val="005F4926"/>
    <w:rsid w:val="005F6FFD"/>
    <w:rsid w:val="00600D4C"/>
    <w:rsid w:val="006042B9"/>
    <w:rsid w:val="00604841"/>
    <w:rsid w:val="00606147"/>
    <w:rsid w:val="006063AE"/>
    <w:rsid w:val="00606F30"/>
    <w:rsid w:val="0063238A"/>
    <w:rsid w:val="00632FB5"/>
    <w:rsid w:val="00633E1E"/>
    <w:rsid w:val="00634675"/>
    <w:rsid w:val="006371B3"/>
    <w:rsid w:val="0064066E"/>
    <w:rsid w:val="00641A35"/>
    <w:rsid w:val="00643FFB"/>
    <w:rsid w:val="00644DAD"/>
    <w:rsid w:val="00646C96"/>
    <w:rsid w:val="00650649"/>
    <w:rsid w:val="0066182C"/>
    <w:rsid w:val="00661A43"/>
    <w:rsid w:val="00663080"/>
    <w:rsid w:val="00664E85"/>
    <w:rsid w:val="0067102E"/>
    <w:rsid w:val="00672CD2"/>
    <w:rsid w:val="006736BB"/>
    <w:rsid w:val="0067671D"/>
    <w:rsid w:val="006818B1"/>
    <w:rsid w:val="00681A9D"/>
    <w:rsid w:val="00684220"/>
    <w:rsid w:val="006856D6"/>
    <w:rsid w:val="006916B2"/>
    <w:rsid w:val="00692CA1"/>
    <w:rsid w:val="0069343C"/>
    <w:rsid w:val="006963E5"/>
    <w:rsid w:val="0069741B"/>
    <w:rsid w:val="00697A2A"/>
    <w:rsid w:val="006A13E5"/>
    <w:rsid w:val="006A1BFF"/>
    <w:rsid w:val="006A79D5"/>
    <w:rsid w:val="006B28CF"/>
    <w:rsid w:val="006B28E7"/>
    <w:rsid w:val="006B4F5C"/>
    <w:rsid w:val="006B7410"/>
    <w:rsid w:val="006B780E"/>
    <w:rsid w:val="006B7CEF"/>
    <w:rsid w:val="006C03EE"/>
    <w:rsid w:val="006C0BB5"/>
    <w:rsid w:val="006C2F68"/>
    <w:rsid w:val="006C34DF"/>
    <w:rsid w:val="006C4096"/>
    <w:rsid w:val="006C49FB"/>
    <w:rsid w:val="006C5C81"/>
    <w:rsid w:val="006D19CB"/>
    <w:rsid w:val="006D357B"/>
    <w:rsid w:val="006D6445"/>
    <w:rsid w:val="006D72FB"/>
    <w:rsid w:val="006D7502"/>
    <w:rsid w:val="006D7CF6"/>
    <w:rsid w:val="006E1BF5"/>
    <w:rsid w:val="006F1673"/>
    <w:rsid w:val="006F3122"/>
    <w:rsid w:val="006F6ADA"/>
    <w:rsid w:val="00702162"/>
    <w:rsid w:val="007065DC"/>
    <w:rsid w:val="007067A2"/>
    <w:rsid w:val="00711DC9"/>
    <w:rsid w:val="00713A60"/>
    <w:rsid w:val="00716677"/>
    <w:rsid w:val="0071695F"/>
    <w:rsid w:val="00717200"/>
    <w:rsid w:val="00717F15"/>
    <w:rsid w:val="007204B8"/>
    <w:rsid w:val="00720A7E"/>
    <w:rsid w:val="0072331C"/>
    <w:rsid w:val="0072456D"/>
    <w:rsid w:val="00724A3F"/>
    <w:rsid w:val="007275E1"/>
    <w:rsid w:val="007309A5"/>
    <w:rsid w:val="00731AFE"/>
    <w:rsid w:val="00731E28"/>
    <w:rsid w:val="00733622"/>
    <w:rsid w:val="0073422E"/>
    <w:rsid w:val="007354F9"/>
    <w:rsid w:val="00735B65"/>
    <w:rsid w:val="007416EF"/>
    <w:rsid w:val="007418A3"/>
    <w:rsid w:val="007435FA"/>
    <w:rsid w:val="007457B9"/>
    <w:rsid w:val="00746910"/>
    <w:rsid w:val="00750C07"/>
    <w:rsid w:val="00752143"/>
    <w:rsid w:val="00754F1C"/>
    <w:rsid w:val="00755141"/>
    <w:rsid w:val="0076353F"/>
    <w:rsid w:val="00765E10"/>
    <w:rsid w:val="00766DEB"/>
    <w:rsid w:val="00770425"/>
    <w:rsid w:val="00770F99"/>
    <w:rsid w:val="00771D6F"/>
    <w:rsid w:val="00773013"/>
    <w:rsid w:val="00773606"/>
    <w:rsid w:val="0077454D"/>
    <w:rsid w:val="00777134"/>
    <w:rsid w:val="007816A6"/>
    <w:rsid w:val="00787160"/>
    <w:rsid w:val="00793852"/>
    <w:rsid w:val="00793CDC"/>
    <w:rsid w:val="007A5641"/>
    <w:rsid w:val="007B1CEA"/>
    <w:rsid w:val="007B29F3"/>
    <w:rsid w:val="007B2A37"/>
    <w:rsid w:val="007B33C5"/>
    <w:rsid w:val="007B3B71"/>
    <w:rsid w:val="007B46E0"/>
    <w:rsid w:val="007B6EA9"/>
    <w:rsid w:val="007B7FF3"/>
    <w:rsid w:val="007C0DD0"/>
    <w:rsid w:val="007C3E27"/>
    <w:rsid w:val="007C4409"/>
    <w:rsid w:val="007C6DE9"/>
    <w:rsid w:val="007D04AF"/>
    <w:rsid w:val="007D24CF"/>
    <w:rsid w:val="007D4D85"/>
    <w:rsid w:val="007D6768"/>
    <w:rsid w:val="007D78FE"/>
    <w:rsid w:val="007E24A0"/>
    <w:rsid w:val="007E3DA5"/>
    <w:rsid w:val="007E5F0E"/>
    <w:rsid w:val="007E6A5F"/>
    <w:rsid w:val="007E6B28"/>
    <w:rsid w:val="007F0013"/>
    <w:rsid w:val="007F09CC"/>
    <w:rsid w:val="007F0C26"/>
    <w:rsid w:val="007F0FDB"/>
    <w:rsid w:val="007F4934"/>
    <w:rsid w:val="00801308"/>
    <w:rsid w:val="008029C4"/>
    <w:rsid w:val="00804E6F"/>
    <w:rsid w:val="008103DE"/>
    <w:rsid w:val="0081255C"/>
    <w:rsid w:val="008127CB"/>
    <w:rsid w:val="00815E93"/>
    <w:rsid w:val="00825A97"/>
    <w:rsid w:val="0082689F"/>
    <w:rsid w:val="00830A67"/>
    <w:rsid w:val="00831917"/>
    <w:rsid w:val="00831CD7"/>
    <w:rsid w:val="00832E91"/>
    <w:rsid w:val="0083480A"/>
    <w:rsid w:val="00834899"/>
    <w:rsid w:val="00834C15"/>
    <w:rsid w:val="00842D85"/>
    <w:rsid w:val="008442C2"/>
    <w:rsid w:val="0084710E"/>
    <w:rsid w:val="00847293"/>
    <w:rsid w:val="00847C36"/>
    <w:rsid w:val="00850067"/>
    <w:rsid w:val="00853EDD"/>
    <w:rsid w:val="00854711"/>
    <w:rsid w:val="0085569E"/>
    <w:rsid w:val="008560D7"/>
    <w:rsid w:val="00860784"/>
    <w:rsid w:val="00865C54"/>
    <w:rsid w:val="008738C9"/>
    <w:rsid w:val="00873A04"/>
    <w:rsid w:val="0088069B"/>
    <w:rsid w:val="00880AD5"/>
    <w:rsid w:val="00881157"/>
    <w:rsid w:val="008817A9"/>
    <w:rsid w:val="00885614"/>
    <w:rsid w:val="00885E1D"/>
    <w:rsid w:val="00887328"/>
    <w:rsid w:val="00890A86"/>
    <w:rsid w:val="008911CB"/>
    <w:rsid w:val="008911E0"/>
    <w:rsid w:val="008945B9"/>
    <w:rsid w:val="00894DD6"/>
    <w:rsid w:val="008975DB"/>
    <w:rsid w:val="008A3F2A"/>
    <w:rsid w:val="008A4885"/>
    <w:rsid w:val="008A7A6F"/>
    <w:rsid w:val="008B0CA4"/>
    <w:rsid w:val="008B21FB"/>
    <w:rsid w:val="008B3435"/>
    <w:rsid w:val="008B49E0"/>
    <w:rsid w:val="008C11F8"/>
    <w:rsid w:val="008C363D"/>
    <w:rsid w:val="008C378E"/>
    <w:rsid w:val="008C4BA8"/>
    <w:rsid w:val="008C52C2"/>
    <w:rsid w:val="008C69BB"/>
    <w:rsid w:val="008C6BFC"/>
    <w:rsid w:val="008C7A06"/>
    <w:rsid w:val="008C7D77"/>
    <w:rsid w:val="008D2906"/>
    <w:rsid w:val="008D30BD"/>
    <w:rsid w:val="008D3BC7"/>
    <w:rsid w:val="008D718D"/>
    <w:rsid w:val="008E0B4E"/>
    <w:rsid w:val="008E20B9"/>
    <w:rsid w:val="008E46EF"/>
    <w:rsid w:val="008E4F11"/>
    <w:rsid w:val="008E7202"/>
    <w:rsid w:val="008F2F55"/>
    <w:rsid w:val="008F4E40"/>
    <w:rsid w:val="008F558D"/>
    <w:rsid w:val="0090089F"/>
    <w:rsid w:val="0090584F"/>
    <w:rsid w:val="009058B6"/>
    <w:rsid w:val="00913359"/>
    <w:rsid w:val="00920686"/>
    <w:rsid w:val="0092153E"/>
    <w:rsid w:val="0092179A"/>
    <w:rsid w:val="00923820"/>
    <w:rsid w:val="00924BE5"/>
    <w:rsid w:val="00925747"/>
    <w:rsid w:val="00926417"/>
    <w:rsid w:val="00926674"/>
    <w:rsid w:val="0093430A"/>
    <w:rsid w:val="00934870"/>
    <w:rsid w:val="0093561E"/>
    <w:rsid w:val="00937914"/>
    <w:rsid w:val="00940F59"/>
    <w:rsid w:val="00941342"/>
    <w:rsid w:val="00941AF5"/>
    <w:rsid w:val="00941B42"/>
    <w:rsid w:val="00941C68"/>
    <w:rsid w:val="009440A9"/>
    <w:rsid w:val="0094457D"/>
    <w:rsid w:val="009453D7"/>
    <w:rsid w:val="00951308"/>
    <w:rsid w:val="00951639"/>
    <w:rsid w:val="009549F6"/>
    <w:rsid w:val="0095652E"/>
    <w:rsid w:val="0095720A"/>
    <w:rsid w:val="0096461F"/>
    <w:rsid w:val="0097219A"/>
    <w:rsid w:val="00975D34"/>
    <w:rsid w:val="00977D12"/>
    <w:rsid w:val="009804BC"/>
    <w:rsid w:val="00980C1F"/>
    <w:rsid w:val="009811C0"/>
    <w:rsid w:val="00984903"/>
    <w:rsid w:val="00992110"/>
    <w:rsid w:val="00993DCA"/>
    <w:rsid w:val="00995919"/>
    <w:rsid w:val="00995E98"/>
    <w:rsid w:val="00996677"/>
    <w:rsid w:val="0099770F"/>
    <w:rsid w:val="00997979"/>
    <w:rsid w:val="009A1C5E"/>
    <w:rsid w:val="009A3404"/>
    <w:rsid w:val="009A790C"/>
    <w:rsid w:val="009B1345"/>
    <w:rsid w:val="009B14F1"/>
    <w:rsid w:val="009B4B43"/>
    <w:rsid w:val="009B4BF0"/>
    <w:rsid w:val="009B4E2A"/>
    <w:rsid w:val="009C16B8"/>
    <w:rsid w:val="009C2E68"/>
    <w:rsid w:val="009C2E91"/>
    <w:rsid w:val="009D4A98"/>
    <w:rsid w:val="009D5114"/>
    <w:rsid w:val="009D7732"/>
    <w:rsid w:val="009E392C"/>
    <w:rsid w:val="009E49A2"/>
    <w:rsid w:val="009E759C"/>
    <w:rsid w:val="009F2E73"/>
    <w:rsid w:val="009F3E3B"/>
    <w:rsid w:val="00A0153F"/>
    <w:rsid w:val="00A018CF"/>
    <w:rsid w:val="00A01DC8"/>
    <w:rsid w:val="00A042CB"/>
    <w:rsid w:val="00A05222"/>
    <w:rsid w:val="00A07F67"/>
    <w:rsid w:val="00A11DC3"/>
    <w:rsid w:val="00A144FC"/>
    <w:rsid w:val="00A14AD8"/>
    <w:rsid w:val="00A220B1"/>
    <w:rsid w:val="00A237ED"/>
    <w:rsid w:val="00A238E5"/>
    <w:rsid w:val="00A24DB0"/>
    <w:rsid w:val="00A30482"/>
    <w:rsid w:val="00A32219"/>
    <w:rsid w:val="00A339F1"/>
    <w:rsid w:val="00A34C08"/>
    <w:rsid w:val="00A35F2E"/>
    <w:rsid w:val="00A365A4"/>
    <w:rsid w:val="00A40C37"/>
    <w:rsid w:val="00A46284"/>
    <w:rsid w:val="00A51B04"/>
    <w:rsid w:val="00A51C08"/>
    <w:rsid w:val="00A5290E"/>
    <w:rsid w:val="00A56C2D"/>
    <w:rsid w:val="00A62146"/>
    <w:rsid w:val="00A65FC5"/>
    <w:rsid w:val="00A76DDB"/>
    <w:rsid w:val="00A77324"/>
    <w:rsid w:val="00A80161"/>
    <w:rsid w:val="00A81E46"/>
    <w:rsid w:val="00A83905"/>
    <w:rsid w:val="00A85159"/>
    <w:rsid w:val="00A90623"/>
    <w:rsid w:val="00A9343D"/>
    <w:rsid w:val="00A93F50"/>
    <w:rsid w:val="00A9507B"/>
    <w:rsid w:val="00A953AF"/>
    <w:rsid w:val="00A978EC"/>
    <w:rsid w:val="00AA07E6"/>
    <w:rsid w:val="00AA3D3B"/>
    <w:rsid w:val="00AA53D9"/>
    <w:rsid w:val="00AB4E75"/>
    <w:rsid w:val="00AB7049"/>
    <w:rsid w:val="00AB7FC9"/>
    <w:rsid w:val="00AC01BC"/>
    <w:rsid w:val="00AC17CE"/>
    <w:rsid w:val="00AC282E"/>
    <w:rsid w:val="00AC49B4"/>
    <w:rsid w:val="00AD0816"/>
    <w:rsid w:val="00AD1C4A"/>
    <w:rsid w:val="00AE12A9"/>
    <w:rsid w:val="00AE1C65"/>
    <w:rsid w:val="00AE6E26"/>
    <w:rsid w:val="00AF0AAC"/>
    <w:rsid w:val="00AF282D"/>
    <w:rsid w:val="00AF2E6B"/>
    <w:rsid w:val="00AF662C"/>
    <w:rsid w:val="00B01C5F"/>
    <w:rsid w:val="00B03E7A"/>
    <w:rsid w:val="00B04476"/>
    <w:rsid w:val="00B061A6"/>
    <w:rsid w:val="00B06B0E"/>
    <w:rsid w:val="00B077DC"/>
    <w:rsid w:val="00B10657"/>
    <w:rsid w:val="00B106F9"/>
    <w:rsid w:val="00B11708"/>
    <w:rsid w:val="00B16525"/>
    <w:rsid w:val="00B21DAD"/>
    <w:rsid w:val="00B22876"/>
    <w:rsid w:val="00B264FB"/>
    <w:rsid w:val="00B30AFA"/>
    <w:rsid w:val="00B312B6"/>
    <w:rsid w:val="00B31579"/>
    <w:rsid w:val="00B3245A"/>
    <w:rsid w:val="00B3277C"/>
    <w:rsid w:val="00B336C4"/>
    <w:rsid w:val="00B3511D"/>
    <w:rsid w:val="00B4151D"/>
    <w:rsid w:val="00B46C75"/>
    <w:rsid w:val="00B512C0"/>
    <w:rsid w:val="00B52210"/>
    <w:rsid w:val="00B52AA7"/>
    <w:rsid w:val="00B5545E"/>
    <w:rsid w:val="00B55819"/>
    <w:rsid w:val="00B57CCC"/>
    <w:rsid w:val="00B644E6"/>
    <w:rsid w:val="00B670C4"/>
    <w:rsid w:val="00B70E9B"/>
    <w:rsid w:val="00B72A92"/>
    <w:rsid w:val="00B75344"/>
    <w:rsid w:val="00B75499"/>
    <w:rsid w:val="00B75E22"/>
    <w:rsid w:val="00B77AC2"/>
    <w:rsid w:val="00B81A8D"/>
    <w:rsid w:val="00B81D2D"/>
    <w:rsid w:val="00B83B5A"/>
    <w:rsid w:val="00B85454"/>
    <w:rsid w:val="00B86394"/>
    <w:rsid w:val="00B86735"/>
    <w:rsid w:val="00B9065E"/>
    <w:rsid w:val="00B92A1E"/>
    <w:rsid w:val="00B93770"/>
    <w:rsid w:val="00B946CE"/>
    <w:rsid w:val="00B96DCB"/>
    <w:rsid w:val="00B97EB1"/>
    <w:rsid w:val="00BA06B1"/>
    <w:rsid w:val="00BA1F3C"/>
    <w:rsid w:val="00BA2DD6"/>
    <w:rsid w:val="00BB24A8"/>
    <w:rsid w:val="00BB4E84"/>
    <w:rsid w:val="00BB5BF8"/>
    <w:rsid w:val="00BC2598"/>
    <w:rsid w:val="00BC466A"/>
    <w:rsid w:val="00BC4713"/>
    <w:rsid w:val="00BD0CB3"/>
    <w:rsid w:val="00BD1349"/>
    <w:rsid w:val="00BD447A"/>
    <w:rsid w:val="00BD4DE5"/>
    <w:rsid w:val="00BD6B3F"/>
    <w:rsid w:val="00BE1AC9"/>
    <w:rsid w:val="00BE2085"/>
    <w:rsid w:val="00BE641E"/>
    <w:rsid w:val="00BE76BB"/>
    <w:rsid w:val="00BF258D"/>
    <w:rsid w:val="00BF500A"/>
    <w:rsid w:val="00BF682C"/>
    <w:rsid w:val="00BF77BD"/>
    <w:rsid w:val="00C008B5"/>
    <w:rsid w:val="00C06DD9"/>
    <w:rsid w:val="00C079AC"/>
    <w:rsid w:val="00C07CE1"/>
    <w:rsid w:val="00C156F2"/>
    <w:rsid w:val="00C16C55"/>
    <w:rsid w:val="00C1798E"/>
    <w:rsid w:val="00C214E8"/>
    <w:rsid w:val="00C247B9"/>
    <w:rsid w:val="00C24970"/>
    <w:rsid w:val="00C24FF8"/>
    <w:rsid w:val="00C25559"/>
    <w:rsid w:val="00C266B9"/>
    <w:rsid w:val="00C27537"/>
    <w:rsid w:val="00C27F29"/>
    <w:rsid w:val="00C30B21"/>
    <w:rsid w:val="00C349FA"/>
    <w:rsid w:val="00C35607"/>
    <w:rsid w:val="00C35EE7"/>
    <w:rsid w:val="00C37A24"/>
    <w:rsid w:val="00C40533"/>
    <w:rsid w:val="00C42493"/>
    <w:rsid w:val="00C44071"/>
    <w:rsid w:val="00C46A2B"/>
    <w:rsid w:val="00C46AEF"/>
    <w:rsid w:val="00C46D2F"/>
    <w:rsid w:val="00C47F4E"/>
    <w:rsid w:val="00C5096A"/>
    <w:rsid w:val="00C51128"/>
    <w:rsid w:val="00C51274"/>
    <w:rsid w:val="00C57E05"/>
    <w:rsid w:val="00C602F6"/>
    <w:rsid w:val="00C61CC8"/>
    <w:rsid w:val="00C62C06"/>
    <w:rsid w:val="00C63931"/>
    <w:rsid w:val="00C63BAA"/>
    <w:rsid w:val="00C652FE"/>
    <w:rsid w:val="00C658BF"/>
    <w:rsid w:val="00C705AE"/>
    <w:rsid w:val="00C70BE3"/>
    <w:rsid w:val="00C70F69"/>
    <w:rsid w:val="00C737E4"/>
    <w:rsid w:val="00C74C69"/>
    <w:rsid w:val="00C7708C"/>
    <w:rsid w:val="00C77D0F"/>
    <w:rsid w:val="00C80AA2"/>
    <w:rsid w:val="00C82AD1"/>
    <w:rsid w:val="00C83EAB"/>
    <w:rsid w:val="00C84B93"/>
    <w:rsid w:val="00C91E1B"/>
    <w:rsid w:val="00C93C4D"/>
    <w:rsid w:val="00C95650"/>
    <w:rsid w:val="00CA0F22"/>
    <w:rsid w:val="00CA264E"/>
    <w:rsid w:val="00CA56A0"/>
    <w:rsid w:val="00CB04AF"/>
    <w:rsid w:val="00CB09AB"/>
    <w:rsid w:val="00CB0B6F"/>
    <w:rsid w:val="00CB1257"/>
    <w:rsid w:val="00CB4D56"/>
    <w:rsid w:val="00CB6457"/>
    <w:rsid w:val="00CC067E"/>
    <w:rsid w:val="00CC23E7"/>
    <w:rsid w:val="00CC56AF"/>
    <w:rsid w:val="00CC7AB1"/>
    <w:rsid w:val="00CD34E4"/>
    <w:rsid w:val="00CD60D9"/>
    <w:rsid w:val="00CE2F4C"/>
    <w:rsid w:val="00CF0406"/>
    <w:rsid w:val="00CF0503"/>
    <w:rsid w:val="00CF0F30"/>
    <w:rsid w:val="00CF12FB"/>
    <w:rsid w:val="00CF1A98"/>
    <w:rsid w:val="00CF2117"/>
    <w:rsid w:val="00CF33EC"/>
    <w:rsid w:val="00CF5F51"/>
    <w:rsid w:val="00D031F5"/>
    <w:rsid w:val="00D03BAD"/>
    <w:rsid w:val="00D04844"/>
    <w:rsid w:val="00D066DD"/>
    <w:rsid w:val="00D06BD5"/>
    <w:rsid w:val="00D11938"/>
    <w:rsid w:val="00D21739"/>
    <w:rsid w:val="00D24EB6"/>
    <w:rsid w:val="00D264C4"/>
    <w:rsid w:val="00D34791"/>
    <w:rsid w:val="00D3553C"/>
    <w:rsid w:val="00D3560E"/>
    <w:rsid w:val="00D42482"/>
    <w:rsid w:val="00D424D3"/>
    <w:rsid w:val="00D433C9"/>
    <w:rsid w:val="00D434A2"/>
    <w:rsid w:val="00D454DB"/>
    <w:rsid w:val="00D510D9"/>
    <w:rsid w:val="00D52966"/>
    <w:rsid w:val="00D537AB"/>
    <w:rsid w:val="00D56FBF"/>
    <w:rsid w:val="00D605A6"/>
    <w:rsid w:val="00D6241B"/>
    <w:rsid w:val="00D62833"/>
    <w:rsid w:val="00D642B8"/>
    <w:rsid w:val="00D66717"/>
    <w:rsid w:val="00D71BA2"/>
    <w:rsid w:val="00D74D2A"/>
    <w:rsid w:val="00D75145"/>
    <w:rsid w:val="00D806D3"/>
    <w:rsid w:val="00D92A13"/>
    <w:rsid w:val="00D93A1C"/>
    <w:rsid w:val="00D95990"/>
    <w:rsid w:val="00D95D74"/>
    <w:rsid w:val="00D97382"/>
    <w:rsid w:val="00D9755C"/>
    <w:rsid w:val="00DA0AB0"/>
    <w:rsid w:val="00DA275B"/>
    <w:rsid w:val="00DA4709"/>
    <w:rsid w:val="00DA6220"/>
    <w:rsid w:val="00DB1A3D"/>
    <w:rsid w:val="00DB1E8A"/>
    <w:rsid w:val="00DB2B05"/>
    <w:rsid w:val="00DB327E"/>
    <w:rsid w:val="00DB662D"/>
    <w:rsid w:val="00DC150B"/>
    <w:rsid w:val="00DC1FED"/>
    <w:rsid w:val="00DC2ED0"/>
    <w:rsid w:val="00DC6196"/>
    <w:rsid w:val="00DD0220"/>
    <w:rsid w:val="00DD06D0"/>
    <w:rsid w:val="00DD12BF"/>
    <w:rsid w:val="00DD4216"/>
    <w:rsid w:val="00DE048F"/>
    <w:rsid w:val="00DE0C94"/>
    <w:rsid w:val="00DE4011"/>
    <w:rsid w:val="00DE4FF3"/>
    <w:rsid w:val="00DE539B"/>
    <w:rsid w:val="00DE7ECF"/>
    <w:rsid w:val="00DF212D"/>
    <w:rsid w:val="00DF2487"/>
    <w:rsid w:val="00DF4211"/>
    <w:rsid w:val="00DF429C"/>
    <w:rsid w:val="00DF5603"/>
    <w:rsid w:val="00DF584B"/>
    <w:rsid w:val="00DF7C46"/>
    <w:rsid w:val="00E0375C"/>
    <w:rsid w:val="00E057BD"/>
    <w:rsid w:val="00E0624B"/>
    <w:rsid w:val="00E06442"/>
    <w:rsid w:val="00E1409E"/>
    <w:rsid w:val="00E14E04"/>
    <w:rsid w:val="00E15274"/>
    <w:rsid w:val="00E21DA5"/>
    <w:rsid w:val="00E23AA3"/>
    <w:rsid w:val="00E24023"/>
    <w:rsid w:val="00E27A52"/>
    <w:rsid w:val="00E312BB"/>
    <w:rsid w:val="00E31EA4"/>
    <w:rsid w:val="00E32974"/>
    <w:rsid w:val="00E3421A"/>
    <w:rsid w:val="00E35567"/>
    <w:rsid w:val="00E37496"/>
    <w:rsid w:val="00E40693"/>
    <w:rsid w:val="00E42FBB"/>
    <w:rsid w:val="00E46FC7"/>
    <w:rsid w:val="00E51223"/>
    <w:rsid w:val="00E522A6"/>
    <w:rsid w:val="00E5567C"/>
    <w:rsid w:val="00E647E0"/>
    <w:rsid w:val="00E65B1A"/>
    <w:rsid w:val="00E672A6"/>
    <w:rsid w:val="00E71160"/>
    <w:rsid w:val="00E7269E"/>
    <w:rsid w:val="00E72BCF"/>
    <w:rsid w:val="00E73518"/>
    <w:rsid w:val="00E73D8D"/>
    <w:rsid w:val="00E74A06"/>
    <w:rsid w:val="00E74BDC"/>
    <w:rsid w:val="00E74E1E"/>
    <w:rsid w:val="00E77E63"/>
    <w:rsid w:val="00E8257E"/>
    <w:rsid w:val="00E83236"/>
    <w:rsid w:val="00E9101A"/>
    <w:rsid w:val="00E93084"/>
    <w:rsid w:val="00E94614"/>
    <w:rsid w:val="00EA1B7B"/>
    <w:rsid w:val="00EA6677"/>
    <w:rsid w:val="00EA6CED"/>
    <w:rsid w:val="00EA79D8"/>
    <w:rsid w:val="00EB0072"/>
    <w:rsid w:val="00EB1634"/>
    <w:rsid w:val="00EB1A98"/>
    <w:rsid w:val="00EB2BC4"/>
    <w:rsid w:val="00EB2D92"/>
    <w:rsid w:val="00EB2DD4"/>
    <w:rsid w:val="00EB59EA"/>
    <w:rsid w:val="00EC0884"/>
    <w:rsid w:val="00EC0CED"/>
    <w:rsid w:val="00EC1CDF"/>
    <w:rsid w:val="00EC2A98"/>
    <w:rsid w:val="00EC67DF"/>
    <w:rsid w:val="00EC6A77"/>
    <w:rsid w:val="00EC6EEF"/>
    <w:rsid w:val="00ED1BA9"/>
    <w:rsid w:val="00ED4C8F"/>
    <w:rsid w:val="00ED6F1A"/>
    <w:rsid w:val="00EE1972"/>
    <w:rsid w:val="00EE1ACF"/>
    <w:rsid w:val="00EE27D5"/>
    <w:rsid w:val="00EE2B6F"/>
    <w:rsid w:val="00EE2E5E"/>
    <w:rsid w:val="00EE38B1"/>
    <w:rsid w:val="00EE467E"/>
    <w:rsid w:val="00EE4BC9"/>
    <w:rsid w:val="00EF156D"/>
    <w:rsid w:val="00EF1B47"/>
    <w:rsid w:val="00EF212D"/>
    <w:rsid w:val="00EF26C7"/>
    <w:rsid w:val="00EF3C7C"/>
    <w:rsid w:val="00EF4B0B"/>
    <w:rsid w:val="00EF7F4F"/>
    <w:rsid w:val="00F000F0"/>
    <w:rsid w:val="00F00EDC"/>
    <w:rsid w:val="00F03517"/>
    <w:rsid w:val="00F03B25"/>
    <w:rsid w:val="00F1477E"/>
    <w:rsid w:val="00F16134"/>
    <w:rsid w:val="00F22A00"/>
    <w:rsid w:val="00F37380"/>
    <w:rsid w:val="00F40809"/>
    <w:rsid w:val="00F40BBE"/>
    <w:rsid w:val="00F423B8"/>
    <w:rsid w:val="00F4268A"/>
    <w:rsid w:val="00F43A30"/>
    <w:rsid w:val="00F44234"/>
    <w:rsid w:val="00F4444F"/>
    <w:rsid w:val="00F44607"/>
    <w:rsid w:val="00F46C68"/>
    <w:rsid w:val="00F51A96"/>
    <w:rsid w:val="00F51E28"/>
    <w:rsid w:val="00F53AF3"/>
    <w:rsid w:val="00F55541"/>
    <w:rsid w:val="00F60C12"/>
    <w:rsid w:val="00F614B5"/>
    <w:rsid w:val="00F621A7"/>
    <w:rsid w:val="00F62FA6"/>
    <w:rsid w:val="00F64E16"/>
    <w:rsid w:val="00F7241A"/>
    <w:rsid w:val="00F739E7"/>
    <w:rsid w:val="00F74CCB"/>
    <w:rsid w:val="00F766CA"/>
    <w:rsid w:val="00F81119"/>
    <w:rsid w:val="00F813E8"/>
    <w:rsid w:val="00F82DA5"/>
    <w:rsid w:val="00F8412F"/>
    <w:rsid w:val="00F85435"/>
    <w:rsid w:val="00F86CDC"/>
    <w:rsid w:val="00F86E31"/>
    <w:rsid w:val="00F91EC9"/>
    <w:rsid w:val="00F965C7"/>
    <w:rsid w:val="00FA1AF4"/>
    <w:rsid w:val="00FA2029"/>
    <w:rsid w:val="00FA2B82"/>
    <w:rsid w:val="00FA3083"/>
    <w:rsid w:val="00FA5460"/>
    <w:rsid w:val="00FA5F70"/>
    <w:rsid w:val="00FA5FA5"/>
    <w:rsid w:val="00FA6A7E"/>
    <w:rsid w:val="00FA7EDA"/>
    <w:rsid w:val="00FB30B6"/>
    <w:rsid w:val="00FB44A2"/>
    <w:rsid w:val="00FB4F65"/>
    <w:rsid w:val="00FB6C8F"/>
    <w:rsid w:val="00FC12CB"/>
    <w:rsid w:val="00FC32D3"/>
    <w:rsid w:val="00FC5B50"/>
    <w:rsid w:val="00FD1120"/>
    <w:rsid w:val="00FD1C34"/>
    <w:rsid w:val="00FD1EB6"/>
    <w:rsid w:val="00FD5FD3"/>
    <w:rsid w:val="00FE634F"/>
    <w:rsid w:val="00FE65AB"/>
    <w:rsid w:val="00FE7B03"/>
    <w:rsid w:val="00FF05F9"/>
    <w:rsid w:val="00FF118B"/>
    <w:rsid w:val="00FF17E1"/>
    <w:rsid w:val="00FF408D"/>
    <w:rsid w:val="00FF4854"/>
    <w:rsid w:val="00FF50DB"/>
    <w:rsid w:val="00FF6471"/>
    <w:rsid w:val="00FF6E25"/>
    <w:rsid w:val="010A1446"/>
    <w:rsid w:val="01265695"/>
    <w:rsid w:val="014133A8"/>
    <w:rsid w:val="01473E52"/>
    <w:rsid w:val="014D5A46"/>
    <w:rsid w:val="0158605B"/>
    <w:rsid w:val="01665E41"/>
    <w:rsid w:val="01C71EF8"/>
    <w:rsid w:val="01EA27BC"/>
    <w:rsid w:val="0250450B"/>
    <w:rsid w:val="03095B03"/>
    <w:rsid w:val="032A25E7"/>
    <w:rsid w:val="035E4E1C"/>
    <w:rsid w:val="03A4609E"/>
    <w:rsid w:val="03C32DC5"/>
    <w:rsid w:val="04113FAD"/>
    <w:rsid w:val="042A211F"/>
    <w:rsid w:val="045F59D5"/>
    <w:rsid w:val="04981DF6"/>
    <w:rsid w:val="04C2255C"/>
    <w:rsid w:val="04F16838"/>
    <w:rsid w:val="05175C97"/>
    <w:rsid w:val="05582902"/>
    <w:rsid w:val="05645A69"/>
    <w:rsid w:val="056B3B7A"/>
    <w:rsid w:val="05823F65"/>
    <w:rsid w:val="05E2287F"/>
    <w:rsid w:val="05EB3214"/>
    <w:rsid w:val="05EB44AB"/>
    <w:rsid w:val="05FB4F4A"/>
    <w:rsid w:val="05FD555D"/>
    <w:rsid w:val="06104F45"/>
    <w:rsid w:val="06126796"/>
    <w:rsid w:val="068477F8"/>
    <w:rsid w:val="06977055"/>
    <w:rsid w:val="06A10B27"/>
    <w:rsid w:val="06AD7144"/>
    <w:rsid w:val="06AE7D28"/>
    <w:rsid w:val="06C050C8"/>
    <w:rsid w:val="06DF5A3F"/>
    <w:rsid w:val="071C624E"/>
    <w:rsid w:val="0729071E"/>
    <w:rsid w:val="07445EEB"/>
    <w:rsid w:val="077D3E0B"/>
    <w:rsid w:val="07BB647F"/>
    <w:rsid w:val="081103A3"/>
    <w:rsid w:val="082A4D5C"/>
    <w:rsid w:val="085104B4"/>
    <w:rsid w:val="0887166A"/>
    <w:rsid w:val="088D5C62"/>
    <w:rsid w:val="08902F2F"/>
    <w:rsid w:val="08AB0964"/>
    <w:rsid w:val="08D47B7E"/>
    <w:rsid w:val="08E25FE6"/>
    <w:rsid w:val="09226475"/>
    <w:rsid w:val="092D5B8F"/>
    <w:rsid w:val="099506B1"/>
    <w:rsid w:val="09AD566B"/>
    <w:rsid w:val="09C17B27"/>
    <w:rsid w:val="09CA3E18"/>
    <w:rsid w:val="09D7029C"/>
    <w:rsid w:val="09E96C70"/>
    <w:rsid w:val="0A134042"/>
    <w:rsid w:val="0A18607D"/>
    <w:rsid w:val="0A9D5BC6"/>
    <w:rsid w:val="0B113DD1"/>
    <w:rsid w:val="0B493027"/>
    <w:rsid w:val="0B4C33AC"/>
    <w:rsid w:val="0B55221A"/>
    <w:rsid w:val="0B5C4FE1"/>
    <w:rsid w:val="0B6D4068"/>
    <w:rsid w:val="0BB72164"/>
    <w:rsid w:val="0BBA33CA"/>
    <w:rsid w:val="0BBC14C8"/>
    <w:rsid w:val="0C053808"/>
    <w:rsid w:val="0C285D5C"/>
    <w:rsid w:val="0C290DE0"/>
    <w:rsid w:val="0C462235"/>
    <w:rsid w:val="0CB10FC1"/>
    <w:rsid w:val="0CE924D2"/>
    <w:rsid w:val="0CEC5BB7"/>
    <w:rsid w:val="0CF7750C"/>
    <w:rsid w:val="0CFD0C36"/>
    <w:rsid w:val="0D220194"/>
    <w:rsid w:val="0D2B4943"/>
    <w:rsid w:val="0D4F5626"/>
    <w:rsid w:val="0D5E571B"/>
    <w:rsid w:val="0D5F61D6"/>
    <w:rsid w:val="0E150853"/>
    <w:rsid w:val="0EB700EC"/>
    <w:rsid w:val="0EB93FD7"/>
    <w:rsid w:val="0EBB1A03"/>
    <w:rsid w:val="0ECF2B63"/>
    <w:rsid w:val="0F714A72"/>
    <w:rsid w:val="0F9463EA"/>
    <w:rsid w:val="0F99078C"/>
    <w:rsid w:val="0FA0712D"/>
    <w:rsid w:val="0FA266B3"/>
    <w:rsid w:val="100911C1"/>
    <w:rsid w:val="104469EC"/>
    <w:rsid w:val="107A5BF2"/>
    <w:rsid w:val="10B56243"/>
    <w:rsid w:val="10D277C9"/>
    <w:rsid w:val="10E31C21"/>
    <w:rsid w:val="110A7888"/>
    <w:rsid w:val="11276168"/>
    <w:rsid w:val="11547B46"/>
    <w:rsid w:val="11796487"/>
    <w:rsid w:val="11857246"/>
    <w:rsid w:val="11AF5E1E"/>
    <w:rsid w:val="11B31881"/>
    <w:rsid w:val="123A1A82"/>
    <w:rsid w:val="125F2320"/>
    <w:rsid w:val="12A56096"/>
    <w:rsid w:val="12DD37DC"/>
    <w:rsid w:val="13056F76"/>
    <w:rsid w:val="131E275F"/>
    <w:rsid w:val="135C031B"/>
    <w:rsid w:val="13694A77"/>
    <w:rsid w:val="138641D8"/>
    <w:rsid w:val="139725AF"/>
    <w:rsid w:val="13EC4F4A"/>
    <w:rsid w:val="14722B1B"/>
    <w:rsid w:val="14805238"/>
    <w:rsid w:val="14A72070"/>
    <w:rsid w:val="14B661B2"/>
    <w:rsid w:val="14E31ACF"/>
    <w:rsid w:val="14EA0498"/>
    <w:rsid w:val="152331D0"/>
    <w:rsid w:val="15393517"/>
    <w:rsid w:val="153F431C"/>
    <w:rsid w:val="15480C93"/>
    <w:rsid w:val="15572886"/>
    <w:rsid w:val="158D31A2"/>
    <w:rsid w:val="15C10667"/>
    <w:rsid w:val="15F12F2E"/>
    <w:rsid w:val="15FF77BA"/>
    <w:rsid w:val="16366CF9"/>
    <w:rsid w:val="16552E7E"/>
    <w:rsid w:val="166502B5"/>
    <w:rsid w:val="16666C29"/>
    <w:rsid w:val="16A97691"/>
    <w:rsid w:val="16B31D17"/>
    <w:rsid w:val="16C8149F"/>
    <w:rsid w:val="16CA6432"/>
    <w:rsid w:val="16D936A9"/>
    <w:rsid w:val="16DA5FEA"/>
    <w:rsid w:val="174B77E0"/>
    <w:rsid w:val="175249CE"/>
    <w:rsid w:val="1757713C"/>
    <w:rsid w:val="17AE264E"/>
    <w:rsid w:val="17F636FF"/>
    <w:rsid w:val="18076FAC"/>
    <w:rsid w:val="181121E4"/>
    <w:rsid w:val="18B82804"/>
    <w:rsid w:val="18FA5169"/>
    <w:rsid w:val="191065C0"/>
    <w:rsid w:val="191712F7"/>
    <w:rsid w:val="19366A8B"/>
    <w:rsid w:val="196600D7"/>
    <w:rsid w:val="19CC2FD4"/>
    <w:rsid w:val="19D845D7"/>
    <w:rsid w:val="1A1250F2"/>
    <w:rsid w:val="1A1D645B"/>
    <w:rsid w:val="1A1E48C3"/>
    <w:rsid w:val="1A410113"/>
    <w:rsid w:val="1A7E6132"/>
    <w:rsid w:val="1A7F2C32"/>
    <w:rsid w:val="1AE15CD3"/>
    <w:rsid w:val="1B1B4238"/>
    <w:rsid w:val="1B2906D3"/>
    <w:rsid w:val="1B463FED"/>
    <w:rsid w:val="1B5604FD"/>
    <w:rsid w:val="1B69028F"/>
    <w:rsid w:val="1B7B4D9A"/>
    <w:rsid w:val="1B7C6A9D"/>
    <w:rsid w:val="1C1465BF"/>
    <w:rsid w:val="1C187F96"/>
    <w:rsid w:val="1C196D4B"/>
    <w:rsid w:val="1C21753B"/>
    <w:rsid w:val="1C33396E"/>
    <w:rsid w:val="1C4752F2"/>
    <w:rsid w:val="1C4D17FE"/>
    <w:rsid w:val="1C991B6B"/>
    <w:rsid w:val="1CC06FFB"/>
    <w:rsid w:val="1CCE4C79"/>
    <w:rsid w:val="1CEA3AB2"/>
    <w:rsid w:val="1CF82589"/>
    <w:rsid w:val="1D131FA1"/>
    <w:rsid w:val="1DA8232E"/>
    <w:rsid w:val="1DAF745B"/>
    <w:rsid w:val="1DD744C8"/>
    <w:rsid w:val="1E0E7002"/>
    <w:rsid w:val="1E5C11DF"/>
    <w:rsid w:val="1E6C20D2"/>
    <w:rsid w:val="1E717583"/>
    <w:rsid w:val="1EAD08BA"/>
    <w:rsid w:val="1EB248F6"/>
    <w:rsid w:val="1EB573E0"/>
    <w:rsid w:val="1EBA2CB0"/>
    <w:rsid w:val="1F0F0C4E"/>
    <w:rsid w:val="1F12415D"/>
    <w:rsid w:val="1F2C6BA5"/>
    <w:rsid w:val="1F2F1E4E"/>
    <w:rsid w:val="1FD0679C"/>
    <w:rsid w:val="201E47B0"/>
    <w:rsid w:val="206C0F80"/>
    <w:rsid w:val="20723E1F"/>
    <w:rsid w:val="20D7077B"/>
    <w:rsid w:val="20ED1C1A"/>
    <w:rsid w:val="213823FB"/>
    <w:rsid w:val="213E5877"/>
    <w:rsid w:val="214D4FE0"/>
    <w:rsid w:val="218048E9"/>
    <w:rsid w:val="218C5257"/>
    <w:rsid w:val="21BC3483"/>
    <w:rsid w:val="21F50648"/>
    <w:rsid w:val="222D486D"/>
    <w:rsid w:val="223C31C1"/>
    <w:rsid w:val="225531F8"/>
    <w:rsid w:val="226C595C"/>
    <w:rsid w:val="228146E5"/>
    <w:rsid w:val="22910D20"/>
    <w:rsid w:val="22A97973"/>
    <w:rsid w:val="23034D0B"/>
    <w:rsid w:val="23077C9E"/>
    <w:rsid w:val="23466EAC"/>
    <w:rsid w:val="238E5141"/>
    <w:rsid w:val="23CF63DF"/>
    <w:rsid w:val="24297864"/>
    <w:rsid w:val="24341E19"/>
    <w:rsid w:val="24510A40"/>
    <w:rsid w:val="24606599"/>
    <w:rsid w:val="249500C7"/>
    <w:rsid w:val="24963BE1"/>
    <w:rsid w:val="24DC5E84"/>
    <w:rsid w:val="24F112E4"/>
    <w:rsid w:val="25115376"/>
    <w:rsid w:val="25125315"/>
    <w:rsid w:val="25446A94"/>
    <w:rsid w:val="254C029D"/>
    <w:rsid w:val="255D62A4"/>
    <w:rsid w:val="2589342C"/>
    <w:rsid w:val="25A508F2"/>
    <w:rsid w:val="25B36EDE"/>
    <w:rsid w:val="25E15111"/>
    <w:rsid w:val="25FA6BFD"/>
    <w:rsid w:val="26202962"/>
    <w:rsid w:val="26486293"/>
    <w:rsid w:val="264B5FE3"/>
    <w:rsid w:val="26707462"/>
    <w:rsid w:val="2671176B"/>
    <w:rsid w:val="267502E5"/>
    <w:rsid w:val="267939FB"/>
    <w:rsid w:val="26B05C74"/>
    <w:rsid w:val="26F05F8E"/>
    <w:rsid w:val="273F22E9"/>
    <w:rsid w:val="273F2FA0"/>
    <w:rsid w:val="274A242B"/>
    <w:rsid w:val="27A37309"/>
    <w:rsid w:val="27E53D0E"/>
    <w:rsid w:val="27FF3B98"/>
    <w:rsid w:val="28014789"/>
    <w:rsid w:val="282D0A47"/>
    <w:rsid w:val="28332EAC"/>
    <w:rsid w:val="283447AD"/>
    <w:rsid w:val="285F03E7"/>
    <w:rsid w:val="286C7410"/>
    <w:rsid w:val="286E6828"/>
    <w:rsid w:val="2897573D"/>
    <w:rsid w:val="28CF5A64"/>
    <w:rsid w:val="28D00FDC"/>
    <w:rsid w:val="28D96E59"/>
    <w:rsid w:val="28DA6BE7"/>
    <w:rsid w:val="28EB00A0"/>
    <w:rsid w:val="28F40620"/>
    <w:rsid w:val="292761E1"/>
    <w:rsid w:val="2934417E"/>
    <w:rsid w:val="2937201A"/>
    <w:rsid w:val="298A085D"/>
    <w:rsid w:val="29AA0CBF"/>
    <w:rsid w:val="2A0E6B3D"/>
    <w:rsid w:val="2A27108C"/>
    <w:rsid w:val="2A3F3158"/>
    <w:rsid w:val="2A6E29A7"/>
    <w:rsid w:val="2A9746C7"/>
    <w:rsid w:val="2AC86969"/>
    <w:rsid w:val="2AC93219"/>
    <w:rsid w:val="2AF16E64"/>
    <w:rsid w:val="2AF45B15"/>
    <w:rsid w:val="2B253098"/>
    <w:rsid w:val="2B3A5441"/>
    <w:rsid w:val="2BEC2C3C"/>
    <w:rsid w:val="2C183E8C"/>
    <w:rsid w:val="2C2014CF"/>
    <w:rsid w:val="2C364D73"/>
    <w:rsid w:val="2C8D0A93"/>
    <w:rsid w:val="2CA6471F"/>
    <w:rsid w:val="2CAF03C8"/>
    <w:rsid w:val="2CE1616A"/>
    <w:rsid w:val="2CE37615"/>
    <w:rsid w:val="2D144061"/>
    <w:rsid w:val="2D207FAD"/>
    <w:rsid w:val="2D225C1E"/>
    <w:rsid w:val="2D2D02F4"/>
    <w:rsid w:val="2D350AFA"/>
    <w:rsid w:val="2D644FB5"/>
    <w:rsid w:val="2D691F09"/>
    <w:rsid w:val="2D6F14CC"/>
    <w:rsid w:val="2DC36D9A"/>
    <w:rsid w:val="2DDF4076"/>
    <w:rsid w:val="2E7F029E"/>
    <w:rsid w:val="2E840A8E"/>
    <w:rsid w:val="2EB15522"/>
    <w:rsid w:val="2EC42C7A"/>
    <w:rsid w:val="2EE02421"/>
    <w:rsid w:val="2EE8188E"/>
    <w:rsid w:val="2F222DF5"/>
    <w:rsid w:val="2F554850"/>
    <w:rsid w:val="2F5C1485"/>
    <w:rsid w:val="2FBA062E"/>
    <w:rsid w:val="2FBB73C0"/>
    <w:rsid w:val="2FC03E76"/>
    <w:rsid w:val="300E4DFC"/>
    <w:rsid w:val="30881B7A"/>
    <w:rsid w:val="3099680C"/>
    <w:rsid w:val="30B41DBC"/>
    <w:rsid w:val="30C74548"/>
    <w:rsid w:val="30D517B8"/>
    <w:rsid w:val="30DD7392"/>
    <w:rsid w:val="30FF5B19"/>
    <w:rsid w:val="3104245F"/>
    <w:rsid w:val="3112547C"/>
    <w:rsid w:val="311A12D2"/>
    <w:rsid w:val="3129370C"/>
    <w:rsid w:val="31306C63"/>
    <w:rsid w:val="316341AE"/>
    <w:rsid w:val="3182149A"/>
    <w:rsid w:val="31842ACA"/>
    <w:rsid w:val="319348B3"/>
    <w:rsid w:val="31944CFD"/>
    <w:rsid w:val="31E25108"/>
    <w:rsid w:val="31F12D25"/>
    <w:rsid w:val="320D2709"/>
    <w:rsid w:val="32395282"/>
    <w:rsid w:val="3291671F"/>
    <w:rsid w:val="32B37635"/>
    <w:rsid w:val="32C811BC"/>
    <w:rsid w:val="32D661EE"/>
    <w:rsid w:val="32EA0453"/>
    <w:rsid w:val="330954AF"/>
    <w:rsid w:val="334D4B05"/>
    <w:rsid w:val="335A2BE6"/>
    <w:rsid w:val="335A4BB0"/>
    <w:rsid w:val="338B5ABB"/>
    <w:rsid w:val="338B7209"/>
    <w:rsid w:val="33900A1A"/>
    <w:rsid w:val="33D90D85"/>
    <w:rsid w:val="33FD4FA0"/>
    <w:rsid w:val="341A1A6C"/>
    <w:rsid w:val="34686759"/>
    <w:rsid w:val="34916A75"/>
    <w:rsid w:val="34917B0C"/>
    <w:rsid w:val="349936FD"/>
    <w:rsid w:val="34A33C8A"/>
    <w:rsid w:val="34B30B2E"/>
    <w:rsid w:val="34D9209F"/>
    <w:rsid w:val="35013970"/>
    <w:rsid w:val="35051B17"/>
    <w:rsid w:val="351515F1"/>
    <w:rsid w:val="351F58D1"/>
    <w:rsid w:val="352732BC"/>
    <w:rsid w:val="360240EE"/>
    <w:rsid w:val="36232131"/>
    <w:rsid w:val="36333BA0"/>
    <w:rsid w:val="363D36DA"/>
    <w:rsid w:val="365F3F40"/>
    <w:rsid w:val="367F4405"/>
    <w:rsid w:val="36A025BE"/>
    <w:rsid w:val="36A76D53"/>
    <w:rsid w:val="36BB4E9C"/>
    <w:rsid w:val="377913F1"/>
    <w:rsid w:val="378017F2"/>
    <w:rsid w:val="379D2E44"/>
    <w:rsid w:val="379D5364"/>
    <w:rsid w:val="3802332E"/>
    <w:rsid w:val="38EF6668"/>
    <w:rsid w:val="38FF0D3E"/>
    <w:rsid w:val="390D4474"/>
    <w:rsid w:val="39243C0B"/>
    <w:rsid w:val="393B41BB"/>
    <w:rsid w:val="3946535C"/>
    <w:rsid w:val="3953427E"/>
    <w:rsid w:val="39617A14"/>
    <w:rsid w:val="396866E8"/>
    <w:rsid w:val="397B5920"/>
    <w:rsid w:val="39F260B7"/>
    <w:rsid w:val="39F501F4"/>
    <w:rsid w:val="3A481666"/>
    <w:rsid w:val="3A5654B5"/>
    <w:rsid w:val="3A5E77B4"/>
    <w:rsid w:val="3A684969"/>
    <w:rsid w:val="3A893E36"/>
    <w:rsid w:val="3AE62C35"/>
    <w:rsid w:val="3AE632CF"/>
    <w:rsid w:val="3AFC596E"/>
    <w:rsid w:val="3B2732F7"/>
    <w:rsid w:val="3B5B02F7"/>
    <w:rsid w:val="3B7F2514"/>
    <w:rsid w:val="3BD167F6"/>
    <w:rsid w:val="3BD51072"/>
    <w:rsid w:val="3BD81BC8"/>
    <w:rsid w:val="3C2A5C5A"/>
    <w:rsid w:val="3C8151EA"/>
    <w:rsid w:val="3CAE1922"/>
    <w:rsid w:val="3CAF520F"/>
    <w:rsid w:val="3D064BF0"/>
    <w:rsid w:val="3D231A42"/>
    <w:rsid w:val="3D3B2114"/>
    <w:rsid w:val="3D573D18"/>
    <w:rsid w:val="3D6E3A1C"/>
    <w:rsid w:val="3D83581F"/>
    <w:rsid w:val="3D9A4E41"/>
    <w:rsid w:val="3D9B0578"/>
    <w:rsid w:val="3DA66F83"/>
    <w:rsid w:val="3DB44E0E"/>
    <w:rsid w:val="3DC33777"/>
    <w:rsid w:val="3DD11CD4"/>
    <w:rsid w:val="3E3D2178"/>
    <w:rsid w:val="3E701717"/>
    <w:rsid w:val="3E721CAE"/>
    <w:rsid w:val="3E82628C"/>
    <w:rsid w:val="3E9265A6"/>
    <w:rsid w:val="3EAB0605"/>
    <w:rsid w:val="3EE65C23"/>
    <w:rsid w:val="3F333A8B"/>
    <w:rsid w:val="3F4223F4"/>
    <w:rsid w:val="3FBA5696"/>
    <w:rsid w:val="3FBD5AB5"/>
    <w:rsid w:val="3FCE30CE"/>
    <w:rsid w:val="3FE331C7"/>
    <w:rsid w:val="402C309F"/>
    <w:rsid w:val="40432335"/>
    <w:rsid w:val="405139F2"/>
    <w:rsid w:val="4082338F"/>
    <w:rsid w:val="412361A0"/>
    <w:rsid w:val="41346F31"/>
    <w:rsid w:val="414F42F7"/>
    <w:rsid w:val="41772A47"/>
    <w:rsid w:val="41A1789E"/>
    <w:rsid w:val="41AA259F"/>
    <w:rsid w:val="41DC79EC"/>
    <w:rsid w:val="41EE1752"/>
    <w:rsid w:val="421C7EC1"/>
    <w:rsid w:val="423253FF"/>
    <w:rsid w:val="427642D8"/>
    <w:rsid w:val="42CC4E27"/>
    <w:rsid w:val="43376F5A"/>
    <w:rsid w:val="437C33FE"/>
    <w:rsid w:val="43B52C1D"/>
    <w:rsid w:val="44803E47"/>
    <w:rsid w:val="44944C15"/>
    <w:rsid w:val="44B309C5"/>
    <w:rsid w:val="44BA26F9"/>
    <w:rsid w:val="44F559DB"/>
    <w:rsid w:val="453D362C"/>
    <w:rsid w:val="456162D1"/>
    <w:rsid w:val="45666D41"/>
    <w:rsid w:val="45AB2E46"/>
    <w:rsid w:val="45C41071"/>
    <w:rsid w:val="45D558A3"/>
    <w:rsid w:val="45F11A00"/>
    <w:rsid w:val="46245171"/>
    <w:rsid w:val="46423A28"/>
    <w:rsid w:val="46446E96"/>
    <w:rsid w:val="46740088"/>
    <w:rsid w:val="467F74C1"/>
    <w:rsid w:val="46BA04DF"/>
    <w:rsid w:val="47121E2D"/>
    <w:rsid w:val="4722264A"/>
    <w:rsid w:val="472259D0"/>
    <w:rsid w:val="472F635A"/>
    <w:rsid w:val="4748490B"/>
    <w:rsid w:val="47D41F80"/>
    <w:rsid w:val="47EA1E7A"/>
    <w:rsid w:val="483768A0"/>
    <w:rsid w:val="48D93F61"/>
    <w:rsid w:val="48D976F2"/>
    <w:rsid w:val="492C3B4C"/>
    <w:rsid w:val="4963491B"/>
    <w:rsid w:val="49716EFF"/>
    <w:rsid w:val="4A1735E9"/>
    <w:rsid w:val="4A2F6CA8"/>
    <w:rsid w:val="4A792DD7"/>
    <w:rsid w:val="4A9A68F6"/>
    <w:rsid w:val="4A9B0D8A"/>
    <w:rsid w:val="4A9C1267"/>
    <w:rsid w:val="4A9F0B09"/>
    <w:rsid w:val="4AA53F58"/>
    <w:rsid w:val="4AB60563"/>
    <w:rsid w:val="4B4F739F"/>
    <w:rsid w:val="4B55164B"/>
    <w:rsid w:val="4B5A76FE"/>
    <w:rsid w:val="4B916DE7"/>
    <w:rsid w:val="4B986365"/>
    <w:rsid w:val="4BEA24DF"/>
    <w:rsid w:val="4C02587C"/>
    <w:rsid w:val="4C1C3632"/>
    <w:rsid w:val="4C2E4D52"/>
    <w:rsid w:val="4C7E4A48"/>
    <w:rsid w:val="4C942820"/>
    <w:rsid w:val="4CA455E4"/>
    <w:rsid w:val="4CB353EF"/>
    <w:rsid w:val="4CE017C9"/>
    <w:rsid w:val="4D156325"/>
    <w:rsid w:val="4DC70C14"/>
    <w:rsid w:val="4DDD62E6"/>
    <w:rsid w:val="4DFA43AF"/>
    <w:rsid w:val="4E0753AA"/>
    <w:rsid w:val="4E341965"/>
    <w:rsid w:val="4EA34147"/>
    <w:rsid w:val="4EA41526"/>
    <w:rsid w:val="4EB9596F"/>
    <w:rsid w:val="4ECD4557"/>
    <w:rsid w:val="4EF338DC"/>
    <w:rsid w:val="4F114F32"/>
    <w:rsid w:val="4F1D063B"/>
    <w:rsid w:val="4F3938A4"/>
    <w:rsid w:val="4F4C1369"/>
    <w:rsid w:val="4F5264E5"/>
    <w:rsid w:val="4FB70726"/>
    <w:rsid w:val="4FD9120E"/>
    <w:rsid w:val="4FFFF681"/>
    <w:rsid w:val="501A3F19"/>
    <w:rsid w:val="50231A65"/>
    <w:rsid w:val="502B4559"/>
    <w:rsid w:val="50540C8C"/>
    <w:rsid w:val="508838AB"/>
    <w:rsid w:val="509C61AD"/>
    <w:rsid w:val="50A667D8"/>
    <w:rsid w:val="50B32B77"/>
    <w:rsid w:val="50E96D69"/>
    <w:rsid w:val="510A5E8E"/>
    <w:rsid w:val="51381476"/>
    <w:rsid w:val="514E50BB"/>
    <w:rsid w:val="516C26EE"/>
    <w:rsid w:val="51DD7359"/>
    <w:rsid w:val="52181F7C"/>
    <w:rsid w:val="52182917"/>
    <w:rsid w:val="525E2B2D"/>
    <w:rsid w:val="526A70B3"/>
    <w:rsid w:val="526C31EB"/>
    <w:rsid w:val="529C752E"/>
    <w:rsid w:val="52FE506B"/>
    <w:rsid w:val="53127A5E"/>
    <w:rsid w:val="531610C6"/>
    <w:rsid w:val="539455B4"/>
    <w:rsid w:val="53956195"/>
    <w:rsid w:val="53A959BD"/>
    <w:rsid w:val="53FC0536"/>
    <w:rsid w:val="541E75E9"/>
    <w:rsid w:val="542A086B"/>
    <w:rsid w:val="54651041"/>
    <w:rsid w:val="54AE4D60"/>
    <w:rsid w:val="54B177E0"/>
    <w:rsid w:val="54D12B28"/>
    <w:rsid w:val="54E75775"/>
    <w:rsid w:val="54EB348B"/>
    <w:rsid w:val="54F21AB3"/>
    <w:rsid w:val="54F81FD4"/>
    <w:rsid w:val="551A40F7"/>
    <w:rsid w:val="551B0A07"/>
    <w:rsid w:val="5530768B"/>
    <w:rsid w:val="553104EE"/>
    <w:rsid w:val="554C6195"/>
    <w:rsid w:val="556B3143"/>
    <w:rsid w:val="55707849"/>
    <w:rsid w:val="557A111A"/>
    <w:rsid w:val="557B3523"/>
    <w:rsid w:val="55870D81"/>
    <w:rsid w:val="55987DAA"/>
    <w:rsid w:val="55A8100C"/>
    <w:rsid w:val="55D53599"/>
    <w:rsid w:val="56012477"/>
    <w:rsid w:val="56125A36"/>
    <w:rsid w:val="56140B92"/>
    <w:rsid w:val="56281B6C"/>
    <w:rsid w:val="56593C33"/>
    <w:rsid w:val="56616564"/>
    <w:rsid w:val="56AA63C7"/>
    <w:rsid w:val="56B177F2"/>
    <w:rsid w:val="56BB0EC3"/>
    <w:rsid w:val="56D56767"/>
    <w:rsid w:val="56F525DA"/>
    <w:rsid w:val="56FA0434"/>
    <w:rsid w:val="56FA75EC"/>
    <w:rsid w:val="56FB580D"/>
    <w:rsid w:val="573D5A11"/>
    <w:rsid w:val="575243FA"/>
    <w:rsid w:val="576B3E15"/>
    <w:rsid w:val="57FF7432"/>
    <w:rsid w:val="58357C2F"/>
    <w:rsid w:val="585D2B34"/>
    <w:rsid w:val="58824905"/>
    <w:rsid w:val="58A92FF7"/>
    <w:rsid w:val="58E35106"/>
    <w:rsid w:val="58E567F1"/>
    <w:rsid w:val="58F17DBB"/>
    <w:rsid w:val="59680686"/>
    <w:rsid w:val="5A0C7C0E"/>
    <w:rsid w:val="5A224673"/>
    <w:rsid w:val="5A341201"/>
    <w:rsid w:val="5A347E90"/>
    <w:rsid w:val="5A846FA5"/>
    <w:rsid w:val="5A8B5FD7"/>
    <w:rsid w:val="5ABF64BE"/>
    <w:rsid w:val="5AD82A33"/>
    <w:rsid w:val="5B03077C"/>
    <w:rsid w:val="5B085A33"/>
    <w:rsid w:val="5B1D14C6"/>
    <w:rsid w:val="5B3F5146"/>
    <w:rsid w:val="5B69502D"/>
    <w:rsid w:val="5B762A59"/>
    <w:rsid w:val="5B9D0FC9"/>
    <w:rsid w:val="5B9E382F"/>
    <w:rsid w:val="5BA347B6"/>
    <w:rsid w:val="5BC0743D"/>
    <w:rsid w:val="5C040758"/>
    <w:rsid w:val="5CBE2D58"/>
    <w:rsid w:val="5CCF451D"/>
    <w:rsid w:val="5CE42DBD"/>
    <w:rsid w:val="5CE70E82"/>
    <w:rsid w:val="5D155EAD"/>
    <w:rsid w:val="5D215559"/>
    <w:rsid w:val="5D4D1299"/>
    <w:rsid w:val="5D576764"/>
    <w:rsid w:val="5DC14A83"/>
    <w:rsid w:val="5DE54036"/>
    <w:rsid w:val="5DF92C94"/>
    <w:rsid w:val="5E03155F"/>
    <w:rsid w:val="5E1A5563"/>
    <w:rsid w:val="5E206B3F"/>
    <w:rsid w:val="5E357DF4"/>
    <w:rsid w:val="5ECA5C12"/>
    <w:rsid w:val="5F2D23B3"/>
    <w:rsid w:val="5F375FFC"/>
    <w:rsid w:val="5F44485D"/>
    <w:rsid w:val="5F8378FC"/>
    <w:rsid w:val="5F963052"/>
    <w:rsid w:val="5FA44041"/>
    <w:rsid w:val="5FD07796"/>
    <w:rsid w:val="5FD65F56"/>
    <w:rsid w:val="5FF314E6"/>
    <w:rsid w:val="602B7E2A"/>
    <w:rsid w:val="603B2565"/>
    <w:rsid w:val="60416B2B"/>
    <w:rsid w:val="6075655E"/>
    <w:rsid w:val="60C2469B"/>
    <w:rsid w:val="61115D6D"/>
    <w:rsid w:val="6131388A"/>
    <w:rsid w:val="61463EAE"/>
    <w:rsid w:val="6155481A"/>
    <w:rsid w:val="616A698A"/>
    <w:rsid w:val="619C5494"/>
    <w:rsid w:val="61A77A8E"/>
    <w:rsid w:val="61CD6B56"/>
    <w:rsid w:val="62263E37"/>
    <w:rsid w:val="62334234"/>
    <w:rsid w:val="627B0E4C"/>
    <w:rsid w:val="62D610FB"/>
    <w:rsid w:val="62DA1CB0"/>
    <w:rsid w:val="62F23F66"/>
    <w:rsid w:val="63066055"/>
    <w:rsid w:val="631B02AE"/>
    <w:rsid w:val="633356BC"/>
    <w:rsid w:val="63473EAA"/>
    <w:rsid w:val="6375751D"/>
    <w:rsid w:val="63B06895"/>
    <w:rsid w:val="63B43266"/>
    <w:rsid w:val="63C00EA5"/>
    <w:rsid w:val="64332555"/>
    <w:rsid w:val="64926F53"/>
    <w:rsid w:val="64C220D4"/>
    <w:rsid w:val="65155FE4"/>
    <w:rsid w:val="6538516C"/>
    <w:rsid w:val="654F017D"/>
    <w:rsid w:val="65644E90"/>
    <w:rsid w:val="657A4997"/>
    <w:rsid w:val="657E5721"/>
    <w:rsid w:val="65B935C8"/>
    <w:rsid w:val="65E66DB2"/>
    <w:rsid w:val="65FB4BDC"/>
    <w:rsid w:val="66274F71"/>
    <w:rsid w:val="662D2FFF"/>
    <w:rsid w:val="66471914"/>
    <w:rsid w:val="668713A6"/>
    <w:rsid w:val="669C6BD3"/>
    <w:rsid w:val="66B410CB"/>
    <w:rsid w:val="66DC178D"/>
    <w:rsid w:val="66ED42BE"/>
    <w:rsid w:val="66FA1290"/>
    <w:rsid w:val="670B500D"/>
    <w:rsid w:val="67440185"/>
    <w:rsid w:val="67542E49"/>
    <w:rsid w:val="675D3FFE"/>
    <w:rsid w:val="676E3D34"/>
    <w:rsid w:val="67845C35"/>
    <w:rsid w:val="679E264D"/>
    <w:rsid w:val="682C5ED2"/>
    <w:rsid w:val="688A7927"/>
    <w:rsid w:val="689A5197"/>
    <w:rsid w:val="68A46756"/>
    <w:rsid w:val="68B471B6"/>
    <w:rsid w:val="68D851AC"/>
    <w:rsid w:val="68F7585E"/>
    <w:rsid w:val="692E085B"/>
    <w:rsid w:val="69387FEE"/>
    <w:rsid w:val="69583070"/>
    <w:rsid w:val="695958F4"/>
    <w:rsid w:val="69B0540C"/>
    <w:rsid w:val="69DC6942"/>
    <w:rsid w:val="6A1D1ED9"/>
    <w:rsid w:val="6A69144F"/>
    <w:rsid w:val="6AA14967"/>
    <w:rsid w:val="6AA3466D"/>
    <w:rsid w:val="6AD32FCF"/>
    <w:rsid w:val="6B017C09"/>
    <w:rsid w:val="6B116863"/>
    <w:rsid w:val="6B692F62"/>
    <w:rsid w:val="6B99062F"/>
    <w:rsid w:val="6BA838D1"/>
    <w:rsid w:val="6BAA5EFC"/>
    <w:rsid w:val="6BC4746A"/>
    <w:rsid w:val="6BC60449"/>
    <w:rsid w:val="6BDC4E8F"/>
    <w:rsid w:val="6BF36B74"/>
    <w:rsid w:val="6C05065E"/>
    <w:rsid w:val="6C437200"/>
    <w:rsid w:val="6C6144FE"/>
    <w:rsid w:val="6C652C57"/>
    <w:rsid w:val="6C72066B"/>
    <w:rsid w:val="6C785149"/>
    <w:rsid w:val="6C7D527B"/>
    <w:rsid w:val="6CA629F3"/>
    <w:rsid w:val="6CA80981"/>
    <w:rsid w:val="6CB555F1"/>
    <w:rsid w:val="6CCC4006"/>
    <w:rsid w:val="6D296B7E"/>
    <w:rsid w:val="6D572964"/>
    <w:rsid w:val="6D5B7471"/>
    <w:rsid w:val="6D615EA5"/>
    <w:rsid w:val="6DA13863"/>
    <w:rsid w:val="6DAE0E84"/>
    <w:rsid w:val="6DBC194C"/>
    <w:rsid w:val="6DBE086F"/>
    <w:rsid w:val="6DEC2A12"/>
    <w:rsid w:val="6E3357A3"/>
    <w:rsid w:val="6EA11A73"/>
    <w:rsid w:val="6EA44D42"/>
    <w:rsid w:val="6EC619DD"/>
    <w:rsid w:val="6EE529D4"/>
    <w:rsid w:val="6F00072D"/>
    <w:rsid w:val="6F6354CD"/>
    <w:rsid w:val="6FE462E2"/>
    <w:rsid w:val="70300B09"/>
    <w:rsid w:val="703D4875"/>
    <w:rsid w:val="705D2E5C"/>
    <w:rsid w:val="70734B87"/>
    <w:rsid w:val="708B10A5"/>
    <w:rsid w:val="709A04FC"/>
    <w:rsid w:val="70AB167C"/>
    <w:rsid w:val="70CB0DF8"/>
    <w:rsid w:val="711454F4"/>
    <w:rsid w:val="71716973"/>
    <w:rsid w:val="71737D61"/>
    <w:rsid w:val="71836C11"/>
    <w:rsid w:val="71AB1A0C"/>
    <w:rsid w:val="71C61F79"/>
    <w:rsid w:val="71E051E4"/>
    <w:rsid w:val="71FD0487"/>
    <w:rsid w:val="721106E0"/>
    <w:rsid w:val="726C5582"/>
    <w:rsid w:val="72733B84"/>
    <w:rsid w:val="727969D8"/>
    <w:rsid w:val="728813A0"/>
    <w:rsid w:val="729A2AC8"/>
    <w:rsid w:val="729F4E3C"/>
    <w:rsid w:val="72B54286"/>
    <w:rsid w:val="72D409BF"/>
    <w:rsid w:val="72E13922"/>
    <w:rsid w:val="730C05F8"/>
    <w:rsid w:val="732A2BB1"/>
    <w:rsid w:val="73377C46"/>
    <w:rsid w:val="738B1F91"/>
    <w:rsid w:val="73C34640"/>
    <w:rsid w:val="748779F3"/>
    <w:rsid w:val="748E258F"/>
    <w:rsid w:val="74D6462C"/>
    <w:rsid w:val="74D6663E"/>
    <w:rsid w:val="75006469"/>
    <w:rsid w:val="751E3E09"/>
    <w:rsid w:val="756339AD"/>
    <w:rsid w:val="757B4ED9"/>
    <w:rsid w:val="75967010"/>
    <w:rsid w:val="75B57393"/>
    <w:rsid w:val="763673D6"/>
    <w:rsid w:val="766915E0"/>
    <w:rsid w:val="7669326D"/>
    <w:rsid w:val="769B60AD"/>
    <w:rsid w:val="76FD2FA0"/>
    <w:rsid w:val="771802AF"/>
    <w:rsid w:val="771B1C1C"/>
    <w:rsid w:val="77333442"/>
    <w:rsid w:val="77BF7C34"/>
    <w:rsid w:val="77EB3C04"/>
    <w:rsid w:val="78CF3ECE"/>
    <w:rsid w:val="78D248EF"/>
    <w:rsid w:val="79146A88"/>
    <w:rsid w:val="79214050"/>
    <w:rsid w:val="792B2B65"/>
    <w:rsid w:val="79313689"/>
    <w:rsid w:val="79791337"/>
    <w:rsid w:val="79860375"/>
    <w:rsid w:val="79985C24"/>
    <w:rsid w:val="79CC68C9"/>
    <w:rsid w:val="79F02355"/>
    <w:rsid w:val="7A043EB8"/>
    <w:rsid w:val="7A1773C3"/>
    <w:rsid w:val="7A4A6993"/>
    <w:rsid w:val="7A964EB1"/>
    <w:rsid w:val="7A973975"/>
    <w:rsid w:val="7AA43F5F"/>
    <w:rsid w:val="7AA737F7"/>
    <w:rsid w:val="7ABD5999"/>
    <w:rsid w:val="7AE71EA1"/>
    <w:rsid w:val="7AFB16E6"/>
    <w:rsid w:val="7B0A61C5"/>
    <w:rsid w:val="7B304511"/>
    <w:rsid w:val="7B327E35"/>
    <w:rsid w:val="7B362328"/>
    <w:rsid w:val="7B5047E6"/>
    <w:rsid w:val="7B7B6B7B"/>
    <w:rsid w:val="7B974E5E"/>
    <w:rsid w:val="7BD752B4"/>
    <w:rsid w:val="7C4E5F52"/>
    <w:rsid w:val="7C5D1ED0"/>
    <w:rsid w:val="7C7A5B56"/>
    <w:rsid w:val="7CAA08FA"/>
    <w:rsid w:val="7CAB44CE"/>
    <w:rsid w:val="7D290235"/>
    <w:rsid w:val="7D297372"/>
    <w:rsid w:val="7D3E2D4A"/>
    <w:rsid w:val="7D4E05CB"/>
    <w:rsid w:val="7D5B5FC6"/>
    <w:rsid w:val="7D78352B"/>
    <w:rsid w:val="7D893623"/>
    <w:rsid w:val="7DA209BE"/>
    <w:rsid w:val="7DA70A7A"/>
    <w:rsid w:val="7DC3386B"/>
    <w:rsid w:val="7DDD2214"/>
    <w:rsid w:val="7E271A71"/>
    <w:rsid w:val="7E3F4A14"/>
    <w:rsid w:val="7E6F4696"/>
    <w:rsid w:val="7EAA1E7D"/>
    <w:rsid w:val="7EC019ED"/>
    <w:rsid w:val="7EC514B9"/>
    <w:rsid w:val="7EDB7802"/>
    <w:rsid w:val="7F893DFC"/>
    <w:rsid w:val="7FD677F7"/>
    <w:rsid w:val="7FF41519"/>
    <w:rsid w:val="7FFC37F4"/>
    <w:rsid w:val="BF374D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b/>
      <w:kern w:val="44"/>
      <w:sz w:val="48"/>
      <w:szCs w:val="48"/>
    </w:rPr>
  </w:style>
  <w:style w:type="paragraph" w:styleId="3">
    <w:name w:val="heading 2"/>
    <w:basedOn w:val="1"/>
    <w:next w:val="1"/>
    <w:link w:val="30"/>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qFormat/>
    <w:uiPriority w:val="0"/>
    <w:pPr>
      <w:spacing w:before="100" w:beforeAutospacing="1" w:after="100" w:afterAutospacing="1"/>
      <w:jc w:val="left"/>
      <w:outlineLvl w:val="2"/>
    </w:pPr>
    <w:rPr>
      <w:rFonts w:hint="eastAsia" w:ascii="宋体" w:hAnsi="宋体"/>
      <w:b/>
      <w:kern w:val="0"/>
      <w:sz w:val="27"/>
      <w:szCs w:val="27"/>
    </w:rPr>
  </w:style>
  <w:style w:type="paragraph" w:styleId="5">
    <w:name w:val="heading 4"/>
    <w:basedOn w:val="1"/>
    <w:next w:val="1"/>
    <w:qFormat/>
    <w:uiPriority w:val="0"/>
    <w:pPr>
      <w:spacing w:before="100" w:beforeAutospacing="1" w:after="100" w:afterAutospacing="1"/>
      <w:jc w:val="left"/>
      <w:outlineLvl w:val="3"/>
    </w:pPr>
    <w:rPr>
      <w:rFonts w:hint="eastAsia" w:ascii="宋体" w:hAnsi="宋体"/>
      <w:b/>
      <w:bCs/>
      <w:kern w:val="0"/>
      <w:sz w:val="24"/>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6">
    <w:name w:val="Document Map"/>
    <w:basedOn w:val="1"/>
    <w:link w:val="31"/>
    <w:uiPriority w:val="0"/>
    <w:rPr>
      <w:rFonts w:ascii="宋体"/>
      <w:sz w:val="18"/>
      <w:szCs w:val="18"/>
    </w:rPr>
  </w:style>
  <w:style w:type="paragraph" w:styleId="7">
    <w:name w:val="annotation text"/>
    <w:basedOn w:val="1"/>
    <w:link w:val="32"/>
    <w:uiPriority w:val="0"/>
    <w:pPr>
      <w:jc w:val="left"/>
    </w:pPr>
  </w:style>
  <w:style w:type="paragraph" w:styleId="8">
    <w:name w:val="Body Text"/>
    <w:basedOn w:val="1"/>
    <w:link w:val="33"/>
    <w:uiPriority w:val="0"/>
    <w:pPr>
      <w:spacing w:after="120"/>
    </w:pPr>
  </w:style>
  <w:style w:type="paragraph" w:styleId="9">
    <w:name w:val="Balloon Text"/>
    <w:basedOn w:val="1"/>
    <w:link w:val="34"/>
    <w:uiPriority w:val="0"/>
    <w:rPr>
      <w:sz w:val="18"/>
      <w:szCs w:val="18"/>
    </w:rPr>
  </w:style>
  <w:style w:type="paragraph" w:styleId="10">
    <w:name w:val="footer"/>
    <w:basedOn w:val="1"/>
    <w:link w:val="35"/>
    <w:uiPriority w:val="99"/>
    <w:pPr>
      <w:tabs>
        <w:tab w:val="center" w:pos="4153"/>
        <w:tab w:val="right" w:pos="8306"/>
      </w:tabs>
      <w:snapToGrid w:val="0"/>
      <w:jc w:val="left"/>
    </w:pPr>
    <w:rPr>
      <w:sz w:val="18"/>
    </w:rPr>
  </w:style>
  <w:style w:type="paragraph" w:styleId="11">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uiPriority w:val="39"/>
  </w:style>
  <w:style w:type="paragraph" w:styleId="13">
    <w:name w:val="toc 2"/>
    <w:basedOn w:val="1"/>
    <w:next w:val="1"/>
    <w:uiPriority w:val="39"/>
    <w:pPr>
      <w:ind w:left="420" w:leftChars="200"/>
    </w:pPr>
  </w:style>
  <w:style w:type="paragraph" w:styleId="14">
    <w:name w:val="Normal (Web)"/>
    <w:basedOn w:val="1"/>
    <w:uiPriority w:val="99"/>
    <w:pPr>
      <w:jc w:val="left"/>
    </w:pPr>
    <w:rPr>
      <w:kern w:val="0"/>
      <w:sz w:val="24"/>
    </w:rPr>
  </w:style>
  <w:style w:type="paragraph" w:styleId="15">
    <w:name w:val="Title"/>
    <w:basedOn w:val="1"/>
    <w:next w:val="1"/>
    <w:link w:val="36"/>
    <w:qFormat/>
    <w:uiPriority w:val="0"/>
    <w:pPr>
      <w:spacing w:before="240" w:after="60"/>
      <w:jc w:val="center"/>
      <w:outlineLvl w:val="0"/>
    </w:pPr>
    <w:rPr>
      <w:rFonts w:ascii="Cambria" w:hAnsi="Cambria"/>
      <w:b/>
      <w:bCs/>
      <w:sz w:val="32"/>
      <w:szCs w:val="32"/>
    </w:rPr>
  </w:style>
  <w:style w:type="paragraph" w:styleId="16">
    <w:name w:val="annotation subject"/>
    <w:basedOn w:val="7"/>
    <w:next w:val="7"/>
    <w:link w:val="37"/>
    <w:uiPriority w:val="0"/>
    <w:rPr>
      <w:b/>
      <w:bCs/>
    </w:rPr>
  </w:style>
  <w:style w:type="paragraph" w:styleId="17">
    <w:name w:val="Body Text First Indent"/>
    <w:basedOn w:val="8"/>
    <w:link w:val="38"/>
    <w:qFormat/>
    <w:uiPriority w:val="0"/>
    <w:pPr>
      <w:spacing w:after="0" w:line="360" w:lineRule="auto"/>
      <w:ind w:firstLine="420" w:firstLineChars="100"/>
    </w:pPr>
    <w:rPr>
      <w:rFonts w:ascii="宋体" w:hAnsi="宋体"/>
      <w:sz w:val="28"/>
    </w:rPr>
  </w:style>
  <w:style w:type="table" w:styleId="19">
    <w:name w:val="Table Grid"/>
    <w:basedOn w:val="1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qFormat/>
    <w:uiPriority w:val="0"/>
    <w:rPr>
      <w:b/>
    </w:rPr>
  </w:style>
  <w:style w:type="character" w:styleId="22">
    <w:name w:val="FollowedHyperlink"/>
    <w:uiPriority w:val="99"/>
    <w:rPr>
      <w:color w:val="000000"/>
      <w:u w:val="none"/>
    </w:rPr>
  </w:style>
  <w:style w:type="character" w:styleId="23">
    <w:name w:val="Emphasis"/>
    <w:qFormat/>
    <w:uiPriority w:val="0"/>
  </w:style>
  <w:style w:type="character" w:styleId="24">
    <w:name w:val="HTML Definition"/>
    <w:uiPriority w:val="0"/>
  </w:style>
  <w:style w:type="character" w:styleId="25">
    <w:name w:val="HTML Variable"/>
    <w:uiPriority w:val="0"/>
  </w:style>
  <w:style w:type="character" w:styleId="26">
    <w:name w:val="Hyperlink"/>
    <w:uiPriority w:val="99"/>
    <w:rPr>
      <w:color w:val="000000"/>
      <w:u w:val="none"/>
    </w:rPr>
  </w:style>
  <w:style w:type="character" w:styleId="27">
    <w:name w:val="HTML Code"/>
    <w:uiPriority w:val="0"/>
    <w:rPr>
      <w:rFonts w:ascii="Courier New" w:hAnsi="Courier New"/>
      <w:sz w:val="20"/>
    </w:rPr>
  </w:style>
  <w:style w:type="character" w:styleId="28">
    <w:name w:val="annotation reference"/>
    <w:uiPriority w:val="0"/>
    <w:rPr>
      <w:sz w:val="21"/>
      <w:szCs w:val="21"/>
    </w:rPr>
  </w:style>
  <w:style w:type="character" w:styleId="29">
    <w:name w:val="HTML Cite"/>
    <w:uiPriority w:val="0"/>
  </w:style>
  <w:style w:type="character" w:customStyle="1" w:styleId="30">
    <w:name w:val="标题 2 字符"/>
    <w:link w:val="3"/>
    <w:qFormat/>
    <w:uiPriority w:val="9"/>
    <w:rPr>
      <w:rFonts w:ascii="Cambria" w:hAnsi="Cambria"/>
      <w:b/>
      <w:bCs/>
      <w:kern w:val="2"/>
      <w:sz w:val="32"/>
      <w:szCs w:val="32"/>
    </w:rPr>
  </w:style>
  <w:style w:type="character" w:customStyle="1" w:styleId="31">
    <w:name w:val="文档结构图 字符"/>
    <w:link w:val="6"/>
    <w:uiPriority w:val="0"/>
    <w:rPr>
      <w:rFonts w:ascii="宋体" w:hAnsi="Calibri"/>
      <w:kern w:val="2"/>
      <w:sz w:val="18"/>
      <w:szCs w:val="18"/>
    </w:rPr>
  </w:style>
  <w:style w:type="character" w:customStyle="1" w:styleId="32">
    <w:name w:val="批注文字 字符"/>
    <w:link w:val="7"/>
    <w:uiPriority w:val="0"/>
    <w:rPr>
      <w:kern w:val="2"/>
      <w:sz w:val="21"/>
      <w:szCs w:val="24"/>
    </w:rPr>
  </w:style>
  <w:style w:type="character" w:customStyle="1" w:styleId="33">
    <w:name w:val="正文文本 字符"/>
    <w:link w:val="8"/>
    <w:uiPriority w:val="0"/>
    <w:rPr>
      <w:kern w:val="2"/>
      <w:sz w:val="21"/>
      <w:szCs w:val="24"/>
    </w:rPr>
  </w:style>
  <w:style w:type="character" w:customStyle="1" w:styleId="34">
    <w:name w:val="批注框文本 字符"/>
    <w:link w:val="9"/>
    <w:uiPriority w:val="0"/>
    <w:rPr>
      <w:kern w:val="2"/>
      <w:sz w:val="18"/>
      <w:szCs w:val="18"/>
    </w:rPr>
  </w:style>
  <w:style w:type="character" w:customStyle="1" w:styleId="35">
    <w:name w:val="页脚 字符"/>
    <w:link w:val="10"/>
    <w:uiPriority w:val="99"/>
    <w:rPr>
      <w:kern w:val="2"/>
      <w:sz w:val="18"/>
      <w:szCs w:val="24"/>
    </w:rPr>
  </w:style>
  <w:style w:type="character" w:customStyle="1" w:styleId="36">
    <w:name w:val="标题 字符"/>
    <w:link w:val="15"/>
    <w:uiPriority w:val="0"/>
    <w:rPr>
      <w:rFonts w:ascii="Cambria" w:hAnsi="Cambria" w:cs="Times New Roman"/>
      <w:b/>
      <w:bCs/>
      <w:kern w:val="2"/>
      <w:sz w:val="32"/>
      <w:szCs w:val="32"/>
    </w:rPr>
  </w:style>
  <w:style w:type="character" w:customStyle="1" w:styleId="37">
    <w:name w:val="批注主题 字符"/>
    <w:link w:val="16"/>
    <w:uiPriority w:val="0"/>
    <w:rPr>
      <w:b/>
      <w:bCs/>
      <w:kern w:val="2"/>
      <w:sz w:val="21"/>
      <w:szCs w:val="24"/>
    </w:rPr>
  </w:style>
  <w:style w:type="character" w:customStyle="1" w:styleId="38">
    <w:name w:val="正文文本首行缩进 字符"/>
    <w:link w:val="17"/>
    <w:uiPriority w:val="0"/>
    <w:rPr>
      <w:rFonts w:ascii="宋体" w:hAnsi="宋体"/>
      <w:kern w:val="2"/>
      <w:sz w:val="28"/>
      <w:szCs w:val="24"/>
    </w:rPr>
  </w:style>
  <w:style w:type="character" w:customStyle="1" w:styleId="39">
    <w:name w:val="gwds_nopic2"/>
    <w:uiPriority w:val="0"/>
  </w:style>
  <w:style w:type="character" w:customStyle="1" w:styleId="40">
    <w:name w:val="hover20"/>
    <w:uiPriority w:val="0"/>
    <w:rPr>
      <w:color w:val="015293"/>
    </w:rPr>
  </w:style>
  <w:style w:type="character" w:customStyle="1" w:styleId="41">
    <w:name w:val="zx-span5"/>
    <w:uiPriority w:val="0"/>
  </w:style>
  <w:style w:type="character" w:customStyle="1" w:styleId="42">
    <w:name w:val="gwds_nopic"/>
    <w:uiPriority w:val="0"/>
  </w:style>
  <w:style w:type="character" w:customStyle="1" w:styleId="43">
    <w:name w:val="noline"/>
    <w:uiPriority w:val="0"/>
  </w:style>
  <w:style w:type="character" w:customStyle="1" w:styleId="44">
    <w:name w:val="f正文"/>
    <w:qFormat/>
    <w:uiPriority w:val="0"/>
    <w:rPr>
      <w:rFonts w:ascii="Times New Roman" w:hAnsi="仿宋" w:eastAsia="仿宋" w:cs="仿宋"/>
      <w:sz w:val="28"/>
    </w:rPr>
  </w:style>
  <w:style w:type="character" w:customStyle="1" w:styleId="45">
    <w:name w:val="r-6-l-sp3"/>
    <w:uiPriority w:val="0"/>
  </w:style>
  <w:style w:type="character" w:customStyle="1" w:styleId="46">
    <w:name w:val="hover19"/>
    <w:uiPriority w:val="0"/>
    <w:rPr>
      <w:color w:val="025291"/>
    </w:rPr>
  </w:style>
  <w:style w:type="character" w:customStyle="1" w:styleId="47">
    <w:name w:val="lm3-r-4-r-1-sp2"/>
    <w:uiPriority w:val="0"/>
  </w:style>
  <w:style w:type="character" w:customStyle="1" w:styleId="48">
    <w:name w:val="hover21"/>
    <w:uiPriority w:val="0"/>
    <w:rPr>
      <w:color w:val="015293"/>
    </w:rPr>
  </w:style>
  <w:style w:type="character" w:customStyle="1" w:styleId="49">
    <w:name w:val="font"/>
    <w:uiPriority w:val="0"/>
  </w:style>
  <w:style w:type="character" w:customStyle="1" w:styleId="50">
    <w:name w:val="zx-span3"/>
    <w:uiPriority w:val="0"/>
  </w:style>
  <w:style w:type="character" w:customStyle="1" w:styleId="51">
    <w:name w:val="place"/>
    <w:uiPriority w:val="0"/>
    <w:rPr>
      <w:rFonts w:ascii="微软雅黑" w:hAnsi="微软雅黑" w:eastAsia="微软雅黑" w:cs="微软雅黑"/>
      <w:color w:val="888888"/>
      <w:sz w:val="25"/>
      <w:szCs w:val="25"/>
    </w:rPr>
  </w:style>
  <w:style w:type="character" w:customStyle="1" w:styleId="52">
    <w:name w:val="place1"/>
    <w:uiPriority w:val="0"/>
  </w:style>
  <w:style w:type="character" w:customStyle="1" w:styleId="53">
    <w:name w:val="zx-span31"/>
    <w:uiPriority w:val="0"/>
  </w:style>
  <w:style w:type="character" w:customStyle="1" w:styleId="54">
    <w:name w:val="laypage_curr"/>
    <w:uiPriority w:val="0"/>
    <w:rPr>
      <w:color w:val="FFFDF4"/>
      <w:shd w:val="clear" w:color="auto" w:fill="0B67A6"/>
    </w:rPr>
  </w:style>
  <w:style w:type="character" w:customStyle="1" w:styleId="55">
    <w:name w:val="r-5-l-sp3"/>
    <w:uiPriority w:val="0"/>
  </w:style>
  <w:style w:type="character" w:customStyle="1" w:styleId="56">
    <w:name w:val="font1"/>
    <w:uiPriority w:val="0"/>
  </w:style>
  <w:style w:type="character" w:customStyle="1" w:styleId="57">
    <w:name w:val="zx-span41"/>
    <w:uiPriority w:val="0"/>
  </w:style>
  <w:style w:type="character" w:customStyle="1" w:styleId="58">
    <w:name w:val="zx-span4"/>
    <w:uiPriority w:val="0"/>
  </w:style>
  <w:style w:type="character" w:customStyle="1" w:styleId="59">
    <w:name w:val="zx-span51"/>
    <w:uiPriority w:val="0"/>
  </w:style>
  <w:style w:type="character" w:customStyle="1" w:styleId="60">
    <w:name w:val="r-5-l-sp1"/>
    <w:uiPriority w:val="0"/>
  </w:style>
  <w:style w:type="character" w:customStyle="1" w:styleId="61">
    <w:name w:val="hover98"/>
    <w:uiPriority w:val="0"/>
  </w:style>
  <w:style w:type="character" w:customStyle="1" w:styleId="62">
    <w:name w:val="place3"/>
    <w:uiPriority w:val="0"/>
  </w:style>
  <w:style w:type="character" w:customStyle="1" w:styleId="63">
    <w:name w:val="gwds_nopic1"/>
    <w:uiPriority w:val="0"/>
  </w:style>
  <w:style w:type="character" w:customStyle="1" w:styleId="64">
    <w:name w:val="r-5-l-sp2"/>
    <w:uiPriority w:val="0"/>
  </w:style>
  <w:style w:type="character" w:customStyle="1" w:styleId="65">
    <w:name w:val="r-6-l-sp2"/>
    <w:uiPriority w:val="0"/>
  </w:style>
  <w:style w:type="character" w:customStyle="1" w:styleId="66">
    <w:name w:val="zx-span11"/>
    <w:uiPriority w:val="0"/>
  </w:style>
  <w:style w:type="character" w:customStyle="1" w:styleId="67">
    <w:name w:val="place2"/>
    <w:uiPriority w:val="0"/>
  </w:style>
  <w:style w:type="character" w:customStyle="1" w:styleId="68">
    <w:name w:val="zx-xuan7"/>
    <w:uiPriority w:val="0"/>
    <w:rPr>
      <w:color w:val="FFFFFF"/>
    </w:rPr>
  </w:style>
  <w:style w:type="character" w:customStyle="1" w:styleId="69">
    <w:name w:val="zx-span1"/>
    <w:uiPriority w:val="0"/>
  </w:style>
  <w:style w:type="character" w:customStyle="1" w:styleId="70">
    <w:name w:val="icon_video"/>
    <w:uiPriority w:val="0"/>
  </w:style>
  <w:style w:type="character" w:customStyle="1" w:styleId="71">
    <w:name w:val="one"/>
    <w:uiPriority w:val="0"/>
    <w:rPr>
      <w:color w:val="003366"/>
    </w:rPr>
  </w:style>
  <w:style w:type="character" w:customStyle="1" w:styleId="72">
    <w:name w:val="lm3-r-4-r-1-sp1"/>
    <w:uiPriority w:val="0"/>
  </w:style>
  <w:style w:type="character" w:customStyle="1" w:styleId="73">
    <w:name w:val="r-6-l-sp1"/>
    <w:uiPriority w:val="0"/>
  </w:style>
  <w:style w:type="character" w:customStyle="1" w:styleId="74">
    <w:name w:val="font31"/>
    <w:uiPriority w:val="0"/>
    <w:rPr>
      <w:rFonts w:hint="eastAsia" w:ascii="宋体" w:hAnsi="宋体" w:eastAsia="宋体" w:cs="宋体"/>
      <w:color w:val="000000"/>
      <w:sz w:val="24"/>
      <w:szCs w:val="24"/>
      <w:u w:val="none"/>
    </w:rPr>
  </w:style>
  <w:style w:type="character" w:customStyle="1" w:styleId="75">
    <w:name w:val="zx-span2"/>
    <w:qFormat/>
    <w:uiPriority w:val="0"/>
  </w:style>
  <w:style w:type="paragraph" w:customStyle="1" w:styleId="76">
    <w:name w:val="myS"/>
    <w:qFormat/>
    <w:uiPriority w:val="0"/>
    <w:pPr>
      <w:wordWrap w:val="0"/>
      <w:overflowPunct w:val="0"/>
      <w:spacing w:line="480" w:lineRule="exact"/>
      <w:ind w:firstLine="200" w:firstLineChars="200"/>
    </w:pPr>
    <w:rPr>
      <w:rFonts w:ascii="Times New Roman" w:hAnsi="Times New Roman" w:eastAsia="宋体" w:cs="Times New Roman"/>
      <w:kern w:val="2"/>
      <w:sz w:val="21"/>
      <w:szCs w:val="22"/>
      <w:lang w:val="en-US" w:eastAsia="zh-CN" w:bidi="ar-SA"/>
    </w:rPr>
  </w:style>
  <w:style w:type="paragraph" w:customStyle="1" w:styleId="77">
    <w:name w:val="Revision"/>
    <w:unhideWhenUsed/>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170</Pages>
  <Words>3495</Words>
  <Characters>3976</Characters>
  <Lines>3980</Lines>
  <Paragraphs>3438</Paragraphs>
  <TotalTime>0</TotalTime>
  <ScaleCrop>false</ScaleCrop>
  <LinksUpToDate>false</LinksUpToDate>
  <CharactersWithSpaces>4521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2026-05-07T09:09:00Z</dcterms:created>
  <dc:creator>三亚市林业科学研究院</dc:creator>
  <cp:lastModifiedBy>MEI</cp:lastModifiedBy>
  <cp:lastPrinted>2021-12-22T22:22:00Z</cp:lastPrinted>
  <dcterms:modified xsi:type="dcterms:W3CDTF">2026-05-07T09:18:39Z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52385903F47A42A08BFDB1FAE9EAA53B</vt:lpwstr>
  </property>
  <property fmtid="{D5CDD505-2E9C-101B-9397-08002B2CF9AE}" pid="4" name="KSOTemplateDocerSaveRecord">
    <vt:lpwstr>eyJoZGlkIjoiZDMzMTkxM2NjODBjYjYyMDAwNWQzNDk3NjgxMTYzNWQiLCJ1c2VySWQiOiIxMDg0NzYwNjUzIn0=</vt:lpwstr>
  </property>
</Properties>
</file>