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粗黑宋简体" w:cs="Times New Roman"/>
          <w:b/>
          <w:bCs/>
          <w:color w:val="auto"/>
          <w:sz w:val="44"/>
          <w:szCs w:val="52"/>
          <w:lang w:val="en-US" w:eastAsia="zh-CN"/>
        </w:rPr>
      </w:pPr>
      <w:bookmarkStart w:id="290" w:name="_GoBack"/>
      <w:r>
        <w:rPr>
          <w:rFonts w:hint="default" w:ascii="Times New Roman" w:hAnsi="Times New Roman" w:eastAsia="方正粗黑宋简体" w:cs="Times New Roman"/>
          <w:b/>
          <w:bCs/>
          <w:color w:val="auto"/>
          <w:sz w:val="44"/>
          <w:szCs w:val="52"/>
          <w:lang w:val="en-US" w:eastAsia="zh-CN"/>
        </w:rPr>
        <w:t>三亚市沿海防护林提质改造设计申报指南</w:t>
      </w:r>
    </w:p>
    <w:bookmarkEnd w:id="290"/>
    <w:p>
      <w:pPr>
        <w:jc w:val="center"/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kern w:val="0"/>
          <w:sz w:val="32"/>
          <w:szCs w:val="40"/>
          <w:lang w:val="en-US" w:eastAsia="zh-CN"/>
        </w:rPr>
        <w:t>三亚市林业局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月</w:t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  <w:t>目  录</w:t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 w:val="32"/>
          <w:szCs w:val="40"/>
        </w:rPr>
        <w:fldChar w:fldCharType="begin"/>
      </w:r>
      <w:r>
        <w:rPr>
          <w:rFonts w:hint="default" w:ascii="Times New Roman" w:hAnsi="Times New Roman" w:cs="Times New Roman"/>
          <w:color w:val="auto"/>
          <w:sz w:val="32"/>
          <w:szCs w:val="40"/>
        </w:rPr>
        <w:instrText xml:space="preserve">TOC \o "1-2" \h \u </w:instrText>
      </w:r>
      <w:r>
        <w:rPr>
          <w:rFonts w:hint="default" w:ascii="Times New Roman" w:hAnsi="Times New Roman" w:cs="Times New Roman"/>
          <w:color w:val="auto"/>
          <w:sz w:val="32"/>
          <w:szCs w:val="40"/>
        </w:rPr>
        <w:fldChar w:fldCharType="separate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_Toc15432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一、</w:t>
      </w:r>
      <w:r>
        <w:rPr>
          <w:rFonts w:hint="default"/>
          <w:lang w:val="en-US" w:eastAsia="zh-CN"/>
        </w:rPr>
        <w:t>提出申请</w:t>
      </w:r>
      <w:r>
        <w:tab/>
      </w:r>
      <w:r>
        <w:fldChar w:fldCharType="begin"/>
      </w:r>
      <w:r>
        <w:instrText xml:space="preserve"> PAGEREF _Toc15432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1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_Toc30180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二、</w:t>
      </w:r>
      <w:r>
        <w:rPr>
          <w:rFonts w:hint="default"/>
          <w:lang w:val="en-US" w:eastAsia="zh-CN"/>
        </w:rPr>
        <w:t>实地复核</w:t>
      </w:r>
      <w:r>
        <w:tab/>
      </w:r>
      <w:r>
        <w:fldChar w:fldCharType="begin"/>
      </w:r>
      <w:r>
        <w:instrText xml:space="preserve"> PAGEREF _Toc30180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1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_Toc15478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三、</w:t>
      </w:r>
      <w:r>
        <w:rPr>
          <w:rFonts w:hint="default"/>
          <w:lang w:val="en-US" w:eastAsia="zh-CN"/>
        </w:rPr>
        <w:t>编制设计</w:t>
      </w:r>
      <w:r>
        <w:tab/>
      </w:r>
      <w:r>
        <w:fldChar w:fldCharType="begin"/>
      </w:r>
      <w:r>
        <w:instrText xml:space="preserve"> PAGEREF _Toc15478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2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_Toc32608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四、</w:t>
      </w:r>
      <w:r>
        <w:rPr>
          <w:rFonts w:hint="default"/>
          <w:lang w:val="en-US" w:eastAsia="zh-CN"/>
        </w:rPr>
        <w:t>材料递交</w:t>
      </w:r>
      <w:r>
        <w:tab/>
      </w:r>
      <w:r>
        <w:fldChar w:fldCharType="begin"/>
      </w:r>
      <w:r>
        <w:instrText xml:space="preserve"> PAGEREF _Toc32608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2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_Toc1337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五、</w:t>
      </w:r>
      <w:r>
        <w:rPr>
          <w:rFonts w:hint="default"/>
          <w:lang w:val="en-US" w:eastAsia="zh-CN"/>
        </w:rPr>
        <w:t>现场查验</w:t>
      </w:r>
      <w:r>
        <w:tab/>
      </w:r>
      <w:r>
        <w:fldChar w:fldCharType="begin"/>
      </w:r>
      <w:r>
        <w:instrText xml:space="preserve"> PAGEREF _Toc1337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2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_Toc476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六、</w:t>
      </w:r>
      <w:r>
        <w:rPr>
          <w:rFonts w:hint="default"/>
          <w:lang w:val="en-US" w:eastAsia="zh-CN"/>
        </w:rPr>
        <w:t>专家评审</w:t>
      </w:r>
      <w:r>
        <w:tab/>
      </w:r>
      <w:r>
        <w:fldChar w:fldCharType="begin"/>
      </w:r>
      <w:r>
        <w:instrText xml:space="preserve"> PAGEREF _Toc476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3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_Toc6492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default"/>
          <w:lang w:val="en-US" w:eastAsia="zh-CN"/>
        </w:rPr>
        <w:t>设计</w:t>
      </w:r>
      <w:r>
        <w:rPr>
          <w:rFonts w:hint="eastAsia"/>
          <w:lang w:val="en-US" w:eastAsia="zh-CN"/>
        </w:rPr>
        <w:t>批复</w:t>
      </w:r>
      <w:r>
        <w:tab/>
      </w:r>
      <w:r>
        <w:fldChar w:fldCharType="begin"/>
      </w:r>
      <w:r>
        <w:instrText xml:space="preserve"> PAGEREF _Toc6492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3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_Toc17107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附录</w:t>
      </w:r>
      <w:r>
        <w:rPr>
          <w:rFonts w:hint="eastAsia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  <w:lang w:val="en-US" w:eastAsia="zh-CN"/>
        </w:rPr>
        <w:t xml:space="preserve"> 申报材料样式</w:t>
      </w:r>
      <w:r>
        <w:tab/>
      </w:r>
      <w:r>
        <w:fldChar w:fldCharType="begin"/>
      </w:r>
      <w:r>
        <w:instrText xml:space="preserve"> PAGEREF _Toc17107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4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_Toc28152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</w:t>
      </w:r>
      <w:r>
        <w:rPr>
          <w:rFonts w:hint="eastAsia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  <w:lang w:val="en-US" w:eastAsia="zh-CN"/>
        </w:rPr>
        <w:t>.1 三亚市沿海防护林提质改造申请表</w:t>
      </w:r>
      <w:r>
        <w:tab/>
      </w:r>
      <w:r>
        <w:fldChar w:fldCharType="begin"/>
      </w:r>
      <w:r>
        <w:instrText xml:space="preserve"> PAGEREF _Toc28152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_Toc20377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</w:t>
      </w:r>
      <w:r>
        <w:rPr>
          <w:rFonts w:hint="eastAsia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  <w:lang w:val="en-US" w:eastAsia="zh-CN"/>
        </w:rPr>
        <w:t>.2 三亚市沿海防护林提质改造设计现场查验表</w:t>
      </w:r>
      <w:r>
        <w:tab/>
      </w:r>
      <w:r>
        <w:fldChar w:fldCharType="begin"/>
      </w:r>
      <w:r>
        <w:instrText xml:space="preserve"> PAGEREF _Toc20377 \h </w:instrText>
      </w:r>
      <w:r>
        <w:fldChar w:fldCharType="separate"/>
      </w:r>
      <w:r>
        <w:t xml:space="preserve">- </w:t>
      </w:r>
      <w:r>
        <w:rPr>
          <w:rFonts w:hint="eastAsia"/>
          <w:lang w:val="en-US" w:eastAsia="zh-CN"/>
        </w:rPr>
        <w:t>5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根据国家、省相关法律法规和政策要求，按照三亚市人民政府和市林业局相关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职能和程序，作业设计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应分为提出申请、实地复核、编制设计、材料递交、现场查验、专家评审、设计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等7个环节。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0" w:name="_Toc9425"/>
      <w:bookmarkStart w:id="1" w:name="_Toc12802"/>
      <w:bookmarkStart w:id="2" w:name="_Toc18245"/>
      <w:bookmarkStart w:id="3" w:name="_Toc21885"/>
      <w:bookmarkStart w:id="4" w:name="_Toc16802"/>
      <w:bookmarkStart w:id="5" w:name="_Toc1404"/>
      <w:bookmarkStart w:id="6" w:name="_Toc7217"/>
      <w:bookmarkStart w:id="7" w:name="_Toc18072"/>
      <w:bookmarkStart w:id="8" w:name="_Toc15025"/>
      <w:bookmarkStart w:id="9" w:name="_Toc31495"/>
      <w:bookmarkStart w:id="10" w:name="_Toc31283"/>
      <w:bookmarkStart w:id="11" w:name="_Toc10844"/>
      <w:bookmarkStart w:id="12" w:name="_Toc6407"/>
      <w:bookmarkStart w:id="13" w:name="_Toc16166"/>
      <w:bookmarkStart w:id="14" w:name="_Toc22959"/>
      <w:bookmarkStart w:id="15" w:name="_Toc8205"/>
      <w:bookmarkStart w:id="16" w:name="_Toc27283"/>
      <w:bookmarkStart w:id="17" w:name="_Toc32575"/>
      <w:bookmarkStart w:id="18" w:name="_Toc17250"/>
      <w:bookmarkStart w:id="19" w:name="_Toc30512"/>
      <w:bookmarkStart w:id="20" w:name="_Toc30525"/>
      <w:bookmarkStart w:id="21" w:name="_Toc4038"/>
      <w:bookmarkStart w:id="22" w:name="_Toc25855"/>
      <w:bookmarkStart w:id="23" w:name="_Toc3962"/>
      <w:bookmarkStart w:id="24" w:name="_Toc10027"/>
      <w:bookmarkStart w:id="25" w:name="_Toc27248"/>
      <w:bookmarkStart w:id="26" w:name="_Toc3686"/>
      <w:bookmarkStart w:id="27" w:name="_Toc13216"/>
      <w:bookmarkStart w:id="28" w:name="_Toc15432"/>
      <w:r>
        <w:rPr>
          <w:rFonts w:hint="eastAsia"/>
          <w:color w:val="auto"/>
          <w:lang w:val="en-US" w:eastAsia="zh-CN"/>
        </w:rPr>
        <w:t>一、</w:t>
      </w:r>
      <w:r>
        <w:rPr>
          <w:rFonts w:hint="default"/>
          <w:color w:val="auto"/>
          <w:lang w:val="en-US" w:eastAsia="zh-CN"/>
        </w:rPr>
        <w:t>提出申请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由建设单位（或个人）填写申请表，向三亚市林业局递交沿海防护林提质改造申请，并附林地保护利用规划、公益林规划、三区三线、耕地保护红线、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权属等示意图，以及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权属证明材料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、单位或个人社会征信证明、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改造区域范围矢量数据（刻盘）。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申请表格式详见附录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.1。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29" w:name="_Toc25998"/>
      <w:bookmarkStart w:id="30" w:name="_Toc18904"/>
      <w:bookmarkStart w:id="31" w:name="_Toc2477"/>
      <w:bookmarkStart w:id="32" w:name="_Toc14006"/>
      <w:bookmarkStart w:id="33" w:name="_Toc12852"/>
      <w:bookmarkStart w:id="34" w:name="_Toc24201"/>
      <w:bookmarkStart w:id="35" w:name="_Toc22159"/>
      <w:bookmarkStart w:id="36" w:name="_Toc21650"/>
      <w:bookmarkStart w:id="37" w:name="_Toc7154"/>
      <w:bookmarkStart w:id="38" w:name="_Toc5375"/>
      <w:bookmarkStart w:id="39" w:name="_Toc19909"/>
      <w:bookmarkStart w:id="40" w:name="_Toc6773"/>
      <w:bookmarkStart w:id="41" w:name="_Toc20162"/>
      <w:bookmarkStart w:id="42" w:name="_Toc4459"/>
      <w:bookmarkStart w:id="43" w:name="_Toc24985"/>
      <w:bookmarkStart w:id="44" w:name="_Toc16001"/>
      <w:bookmarkStart w:id="45" w:name="_Toc6525"/>
      <w:bookmarkStart w:id="46" w:name="_Toc13830"/>
      <w:bookmarkStart w:id="47" w:name="_Toc16782"/>
      <w:bookmarkStart w:id="48" w:name="_Toc18204"/>
      <w:bookmarkStart w:id="49" w:name="_Toc11414"/>
      <w:bookmarkStart w:id="50" w:name="_Toc2006"/>
      <w:bookmarkStart w:id="51" w:name="_Toc13251"/>
      <w:bookmarkStart w:id="52" w:name="_Toc13335"/>
      <w:bookmarkStart w:id="53" w:name="_Toc2897"/>
      <w:bookmarkStart w:id="54" w:name="_Toc30180"/>
      <w:bookmarkStart w:id="55" w:name="_Toc30895"/>
      <w:bookmarkStart w:id="56" w:name="_Toc4949"/>
      <w:bookmarkStart w:id="57" w:name="_Toc5923"/>
      <w:r>
        <w:rPr>
          <w:rFonts w:hint="eastAsia"/>
          <w:color w:val="auto"/>
          <w:lang w:val="en-US" w:eastAsia="zh-CN"/>
        </w:rPr>
        <w:t>二、</w:t>
      </w:r>
      <w:r>
        <w:rPr>
          <w:rFonts w:hint="default"/>
          <w:color w:val="auto"/>
          <w:lang w:val="en-US" w:eastAsia="zh-CN"/>
        </w:rPr>
        <w:t>实地复核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1.三亚市林业局在收到申请表及相关材料后，在7个工作日内进行实地复核或作出补正通知。经实地复核通过的，应书面告知建设单位（或个人），并全程指导开展申报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工作。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.根据申请表信息，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三亚市林业局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联合市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局、市生态环境局、市住房和城乡建设局、市水务局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区林业主管部门一同进行实地复核，确保实地与提交材料信息基本一致，不存在弄虚作假情况。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.补正通知主要是针对提交材料及数据不全面、不准确而出具的补正材料。补正材料提交后，应在5个工作日内予以回复。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58" w:name="_Toc7508"/>
      <w:bookmarkStart w:id="59" w:name="_Toc8684"/>
      <w:bookmarkStart w:id="60" w:name="_Toc25092"/>
      <w:bookmarkStart w:id="61" w:name="_Toc5898"/>
      <w:bookmarkStart w:id="62" w:name="_Toc18816"/>
      <w:bookmarkStart w:id="63" w:name="_Toc3078"/>
      <w:bookmarkStart w:id="64" w:name="_Toc15478"/>
      <w:bookmarkStart w:id="65" w:name="_Toc13854"/>
      <w:bookmarkStart w:id="66" w:name="_Toc21197"/>
      <w:bookmarkStart w:id="67" w:name="_Toc2351"/>
      <w:bookmarkStart w:id="68" w:name="_Toc30918"/>
      <w:bookmarkStart w:id="69" w:name="_Toc27988"/>
      <w:bookmarkStart w:id="70" w:name="_Toc26075"/>
      <w:bookmarkStart w:id="71" w:name="_Toc9982"/>
      <w:bookmarkStart w:id="72" w:name="_Toc24138"/>
      <w:bookmarkStart w:id="73" w:name="_Toc3988"/>
      <w:bookmarkStart w:id="74" w:name="_Toc4912"/>
      <w:bookmarkStart w:id="75" w:name="_Toc31027"/>
      <w:bookmarkStart w:id="76" w:name="_Toc27812"/>
      <w:bookmarkStart w:id="77" w:name="_Toc26663"/>
      <w:bookmarkStart w:id="78" w:name="_Toc22548"/>
      <w:bookmarkStart w:id="79" w:name="_Toc8453"/>
      <w:bookmarkStart w:id="80" w:name="_Toc17074"/>
      <w:bookmarkStart w:id="81" w:name="_Toc25047"/>
      <w:bookmarkStart w:id="82" w:name="_Toc7387"/>
      <w:bookmarkStart w:id="83" w:name="_Toc22975"/>
      <w:bookmarkStart w:id="84" w:name="_Toc742"/>
      <w:bookmarkStart w:id="85" w:name="_Toc23552"/>
      <w:bookmarkStart w:id="86" w:name="_Toc30749"/>
      <w:r>
        <w:rPr>
          <w:rFonts w:hint="eastAsia"/>
          <w:color w:val="auto"/>
          <w:lang w:val="en-US" w:eastAsia="zh-CN"/>
        </w:rPr>
        <w:t>三、</w:t>
      </w:r>
      <w:r>
        <w:rPr>
          <w:rFonts w:hint="default"/>
          <w:color w:val="auto"/>
          <w:lang w:val="en-US" w:eastAsia="zh-CN"/>
        </w:rPr>
        <w:t>编制设计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由建设单位（或个人）聘请具有林业调查规划设计资质单位编制提质改造作业设计。设计应根据国家、省相关法律法规规定，按照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以上规范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进行编制，并具有科学性和可行性。设计单位对文本质量和数据准确性负责，建设单位（或个人）对提交材料的真实性负责。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87" w:name="_Toc18617"/>
      <w:bookmarkStart w:id="88" w:name="_Toc29962"/>
      <w:bookmarkStart w:id="89" w:name="_Toc17213"/>
      <w:bookmarkStart w:id="90" w:name="_Toc19005"/>
      <w:bookmarkStart w:id="91" w:name="_Toc2242"/>
      <w:bookmarkStart w:id="92" w:name="_Toc8151"/>
      <w:bookmarkStart w:id="93" w:name="_Toc26506"/>
      <w:bookmarkStart w:id="94" w:name="_Toc27130"/>
      <w:bookmarkStart w:id="95" w:name="_Toc10706"/>
      <w:bookmarkStart w:id="96" w:name="_Toc5700"/>
      <w:bookmarkStart w:id="97" w:name="_Toc9119"/>
      <w:bookmarkStart w:id="98" w:name="_Toc15001"/>
      <w:bookmarkStart w:id="99" w:name="_Toc23240"/>
      <w:bookmarkStart w:id="100" w:name="_Toc18198"/>
      <w:bookmarkStart w:id="101" w:name="_Toc32151"/>
      <w:bookmarkStart w:id="102" w:name="_Toc32608"/>
      <w:bookmarkStart w:id="103" w:name="_Toc21711"/>
      <w:bookmarkStart w:id="104" w:name="_Toc2088"/>
      <w:bookmarkStart w:id="105" w:name="_Toc23450"/>
      <w:bookmarkStart w:id="106" w:name="_Toc3938"/>
      <w:bookmarkStart w:id="107" w:name="_Toc21994"/>
      <w:bookmarkStart w:id="108" w:name="_Toc25700"/>
      <w:bookmarkStart w:id="109" w:name="_Toc117"/>
      <w:bookmarkStart w:id="110" w:name="_Toc24453"/>
      <w:bookmarkStart w:id="111" w:name="_Toc8505"/>
      <w:bookmarkStart w:id="112" w:name="_Toc16414"/>
      <w:bookmarkStart w:id="113" w:name="_Toc13395"/>
      <w:bookmarkStart w:id="114" w:name="_Toc26009"/>
      <w:bookmarkStart w:id="115" w:name="_Toc27848"/>
      <w:r>
        <w:rPr>
          <w:rFonts w:hint="eastAsia"/>
          <w:color w:val="auto"/>
          <w:lang w:val="en-US" w:eastAsia="zh-CN"/>
        </w:rPr>
        <w:t>四、</w:t>
      </w:r>
      <w:r>
        <w:rPr>
          <w:rFonts w:hint="default"/>
          <w:color w:val="auto"/>
          <w:lang w:val="en-US" w:eastAsia="zh-CN"/>
        </w:rPr>
        <w:t>材料递交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设计材料经建设单位（或个人）与设计单位共同研究达成一致后，由建设单位（或个人）向三亚市林业局递交全套送审设计材料。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三亚市林业局在收到设计材料后，在10个工作日内进行现地查验或作出补正通知。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116" w:name="_Toc11098"/>
      <w:bookmarkStart w:id="117" w:name="_Toc1337"/>
      <w:bookmarkStart w:id="118" w:name="_Toc30728"/>
      <w:bookmarkStart w:id="119" w:name="_Toc10857"/>
      <w:bookmarkStart w:id="120" w:name="_Toc15089"/>
      <w:bookmarkStart w:id="121" w:name="_Toc14563"/>
      <w:bookmarkStart w:id="122" w:name="_Toc4426"/>
      <w:bookmarkStart w:id="123" w:name="_Toc13450"/>
      <w:bookmarkStart w:id="124" w:name="_Toc8288"/>
      <w:bookmarkStart w:id="125" w:name="_Toc23505"/>
      <w:bookmarkStart w:id="126" w:name="_Toc18967"/>
      <w:bookmarkStart w:id="127" w:name="_Toc19239"/>
      <w:bookmarkStart w:id="128" w:name="_Toc32714"/>
      <w:bookmarkStart w:id="129" w:name="_Toc25992"/>
      <w:bookmarkStart w:id="130" w:name="_Toc21066"/>
      <w:bookmarkStart w:id="131" w:name="_Toc7233"/>
      <w:bookmarkStart w:id="132" w:name="_Toc11825"/>
      <w:bookmarkStart w:id="133" w:name="_Toc23625"/>
      <w:bookmarkStart w:id="134" w:name="_Toc28961"/>
      <w:bookmarkStart w:id="135" w:name="_Toc17752"/>
      <w:bookmarkStart w:id="136" w:name="_Toc14550"/>
      <w:bookmarkStart w:id="137" w:name="_Toc14031"/>
      <w:bookmarkStart w:id="138" w:name="_Toc25939"/>
      <w:bookmarkStart w:id="139" w:name="_Toc10736"/>
      <w:bookmarkStart w:id="140" w:name="_Toc11503"/>
      <w:bookmarkStart w:id="141" w:name="_Toc10873"/>
      <w:bookmarkStart w:id="142" w:name="_Toc31796"/>
      <w:bookmarkStart w:id="143" w:name="_Toc17842"/>
      <w:bookmarkStart w:id="144" w:name="_Toc12297"/>
      <w:r>
        <w:rPr>
          <w:rFonts w:hint="eastAsia"/>
          <w:color w:val="auto"/>
          <w:lang w:val="en-US" w:eastAsia="zh-CN"/>
        </w:rPr>
        <w:t>五、</w:t>
      </w:r>
      <w:r>
        <w:rPr>
          <w:rFonts w:hint="default"/>
          <w:color w:val="auto"/>
          <w:lang w:val="en-US" w:eastAsia="zh-CN"/>
        </w:rPr>
        <w:t>现场查验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由三亚市林业局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联合各区林业主管部门，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组织工作人员（不少于2名）或相关专家进行现场查验，并填写现场查验表。查验内容主要包括：现场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是否动工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、林分现状调查、设计思路、设计模式等方面是否与设计文本一致。查验表格式详见附录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.2。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145" w:name="_Toc4685"/>
      <w:bookmarkStart w:id="146" w:name="_Toc26711"/>
      <w:bookmarkStart w:id="147" w:name="_Toc6431"/>
      <w:bookmarkStart w:id="148" w:name="_Toc8290"/>
      <w:bookmarkStart w:id="149" w:name="_Toc21772"/>
      <w:bookmarkStart w:id="150" w:name="_Toc14266"/>
      <w:bookmarkStart w:id="151" w:name="_Toc22487"/>
      <w:bookmarkStart w:id="152" w:name="_Toc27948"/>
      <w:bookmarkStart w:id="153" w:name="_Toc4682"/>
      <w:bookmarkStart w:id="154" w:name="_Toc13987"/>
      <w:bookmarkStart w:id="155" w:name="_Toc476"/>
      <w:bookmarkStart w:id="156" w:name="_Toc5278"/>
      <w:bookmarkStart w:id="157" w:name="_Toc3363"/>
      <w:bookmarkStart w:id="158" w:name="_Toc31737"/>
      <w:bookmarkStart w:id="159" w:name="_Toc31560"/>
      <w:bookmarkStart w:id="160" w:name="_Toc16025"/>
      <w:bookmarkStart w:id="161" w:name="_Toc27595"/>
      <w:bookmarkStart w:id="162" w:name="_Toc25826"/>
      <w:bookmarkStart w:id="163" w:name="_Toc9609"/>
      <w:bookmarkStart w:id="164" w:name="_Toc25959"/>
      <w:bookmarkStart w:id="165" w:name="_Toc23312"/>
      <w:bookmarkStart w:id="166" w:name="_Toc5707"/>
      <w:bookmarkStart w:id="167" w:name="_Toc10885"/>
      <w:bookmarkStart w:id="168" w:name="_Toc14416"/>
      <w:bookmarkStart w:id="169" w:name="_Toc7013"/>
      <w:bookmarkStart w:id="170" w:name="_Toc31868"/>
      <w:bookmarkStart w:id="171" w:name="_Toc5794"/>
      <w:bookmarkStart w:id="172" w:name="_Toc16322"/>
      <w:bookmarkStart w:id="173" w:name="_Toc9582"/>
      <w:r>
        <w:rPr>
          <w:rFonts w:hint="eastAsia"/>
          <w:color w:val="auto"/>
          <w:lang w:val="en-US" w:eastAsia="zh-CN"/>
        </w:rPr>
        <w:t>六、</w:t>
      </w:r>
      <w:r>
        <w:rPr>
          <w:rFonts w:hint="default"/>
          <w:color w:val="auto"/>
          <w:lang w:val="en-US" w:eastAsia="zh-CN"/>
        </w:rPr>
        <w:t>专家评审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由三亚市林业局组织召开专家评审会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，邀请市自然资源和规划局、市生态环境局、市住房和城乡建设局、市水务局、区林业主管部门，以及3名或以上林业、生态等相关专业高级职称专家组成评审小组。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设计单位根据专家评审意见进行修改完善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，形成报批稿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三亚市林业局。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174" w:name="_Toc16987"/>
      <w:bookmarkStart w:id="175" w:name="_Toc31705"/>
      <w:bookmarkStart w:id="176" w:name="_Toc11732"/>
      <w:bookmarkStart w:id="177" w:name="_Toc9422"/>
      <w:bookmarkStart w:id="178" w:name="_Toc3293"/>
      <w:bookmarkStart w:id="179" w:name="_Toc21198"/>
      <w:bookmarkStart w:id="180" w:name="_Toc11479"/>
      <w:bookmarkStart w:id="181" w:name="_Toc29525"/>
      <w:bookmarkStart w:id="182" w:name="_Toc14258"/>
      <w:bookmarkStart w:id="183" w:name="_Toc15849"/>
      <w:bookmarkStart w:id="184" w:name="_Toc9828"/>
      <w:bookmarkStart w:id="185" w:name="_Toc10586"/>
      <w:bookmarkStart w:id="186" w:name="_Toc23763"/>
      <w:bookmarkStart w:id="187" w:name="_Toc5520"/>
      <w:bookmarkStart w:id="188" w:name="_Toc24448"/>
      <w:bookmarkStart w:id="189" w:name="_Toc23740"/>
      <w:bookmarkStart w:id="190" w:name="_Toc13626"/>
      <w:bookmarkStart w:id="191" w:name="_Toc19992"/>
      <w:bookmarkStart w:id="192" w:name="_Toc10025"/>
      <w:bookmarkStart w:id="193" w:name="_Toc1906"/>
      <w:bookmarkStart w:id="194" w:name="_Toc29671"/>
      <w:bookmarkStart w:id="195" w:name="_Toc19481"/>
      <w:bookmarkStart w:id="196" w:name="_Toc21682"/>
      <w:bookmarkStart w:id="197" w:name="_Toc22303"/>
      <w:bookmarkStart w:id="198" w:name="_Toc14524"/>
      <w:bookmarkStart w:id="199" w:name="_Toc14057"/>
      <w:bookmarkStart w:id="200" w:name="_Toc6492"/>
      <w:bookmarkStart w:id="201" w:name="_Toc25009"/>
      <w:bookmarkStart w:id="202" w:name="_Toc17013"/>
      <w:r>
        <w:rPr>
          <w:rFonts w:hint="eastAsia"/>
          <w:color w:val="auto"/>
          <w:lang w:val="en-US" w:eastAsia="zh-CN"/>
        </w:rPr>
        <w:t>七、</w:t>
      </w:r>
      <w:r>
        <w:rPr>
          <w:rFonts w:hint="default"/>
          <w:color w:val="auto"/>
          <w:lang w:val="en-US" w:eastAsia="zh-CN"/>
        </w:rPr>
        <w:t>设计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>
        <w:rPr>
          <w:rFonts w:hint="eastAsia"/>
          <w:color w:val="auto"/>
          <w:lang w:val="en-US" w:eastAsia="zh-CN"/>
        </w:rPr>
        <w:t>批复</w:t>
      </w:r>
      <w:bookmarkEnd w:id="197"/>
      <w:bookmarkEnd w:id="198"/>
      <w:bookmarkEnd w:id="199"/>
      <w:bookmarkEnd w:id="200"/>
      <w:bookmarkEnd w:id="201"/>
      <w:bookmarkEnd w:id="202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三亚市林业局在收到报批设计材料后，在10个工作日内进行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或作出补正通知。设计材料经局务会审议通过后，出具设计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文书。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03" w:name="_Toc5932"/>
      <w:bookmarkStart w:id="204" w:name="_Toc10748"/>
      <w:bookmarkStart w:id="205" w:name="_Toc13920"/>
      <w:bookmarkStart w:id="206" w:name="_Toc26771"/>
      <w:bookmarkStart w:id="207" w:name="_Toc25371"/>
      <w:bookmarkStart w:id="208" w:name="_Toc12903"/>
      <w:bookmarkStart w:id="209" w:name="_Toc22139"/>
      <w:bookmarkStart w:id="210" w:name="_Toc25740"/>
      <w:bookmarkStart w:id="211" w:name="_Toc21770"/>
      <w:bookmarkStart w:id="212" w:name="_Toc4601"/>
      <w:bookmarkStart w:id="213" w:name="_Toc14034"/>
      <w:bookmarkStart w:id="214" w:name="_Toc22100"/>
      <w:bookmarkStart w:id="215" w:name="_Toc9435"/>
      <w:bookmarkStart w:id="216" w:name="_Toc10564"/>
      <w:bookmarkStart w:id="217" w:name="_Toc5036"/>
      <w:bookmarkStart w:id="218" w:name="_Toc21020"/>
      <w:bookmarkStart w:id="219" w:name="_Toc19106"/>
      <w:bookmarkStart w:id="220" w:name="_Toc31032"/>
      <w:bookmarkStart w:id="221" w:name="_Toc17156"/>
      <w:bookmarkStart w:id="222" w:name="_Toc2435"/>
      <w:bookmarkStart w:id="223" w:name="_Toc14021"/>
      <w:bookmarkStart w:id="224" w:name="_Toc26784"/>
      <w:bookmarkStart w:id="225" w:name="_Toc17107"/>
      <w:bookmarkStart w:id="226" w:name="_Toc23900"/>
      <w:bookmarkStart w:id="227" w:name="_Toc5127"/>
      <w:bookmarkStart w:id="228" w:name="_Toc25778"/>
      <w:bookmarkStart w:id="229" w:name="_Toc13966"/>
      <w:bookmarkStart w:id="230" w:name="_Toc10465"/>
      <w:bookmarkStart w:id="231" w:name="_Toc4536"/>
      <w:r>
        <w:rPr>
          <w:rFonts w:hint="default" w:ascii="Times New Roman" w:hAnsi="Times New Roman" w:cs="Times New Roman"/>
          <w:color w:val="auto"/>
          <w:lang w:val="en-US" w:eastAsia="zh-CN"/>
        </w:rPr>
        <w:t>附录</w:t>
      </w:r>
      <w:r>
        <w:rPr>
          <w:rFonts w:hint="eastAsia" w:cs="Times New Roman"/>
          <w:color w:val="auto"/>
          <w:lang w:val="en-US" w:eastAsia="zh-CN"/>
        </w:rPr>
        <w:t>D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申报材料样式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32" w:name="_Toc287"/>
      <w:bookmarkStart w:id="233" w:name="_Toc19666"/>
      <w:bookmarkStart w:id="234" w:name="_Toc17444"/>
      <w:bookmarkStart w:id="235" w:name="_Toc30644"/>
      <w:bookmarkStart w:id="236" w:name="_Toc15230"/>
      <w:bookmarkStart w:id="237" w:name="_Toc12773"/>
      <w:bookmarkStart w:id="238" w:name="_Toc3474"/>
      <w:bookmarkStart w:id="239" w:name="_Toc32410"/>
      <w:bookmarkStart w:id="240" w:name="_Toc184"/>
      <w:bookmarkStart w:id="241" w:name="_Toc786"/>
      <w:bookmarkStart w:id="242" w:name="_Toc1794"/>
      <w:bookmarkStart w:id="243" w:name="_Toc18113"/>
      <w:bookmarkStart w:id="244" w:name="_Toc15476"/>
      <w:bookmarkStart w:id="245" w:name="_Toc31247"/>
      <w:bookmarkStart w:id="246" w:name="_Toc10017"/>
      <w:bookmarkStart w:id="247" w:name="_Toc29559"/>
      <w:bookmarkStart w:id="248" w:name="_Toc7494"/>
      <w:bookmarkStart w:id="249" w:name="_Toc11197"/>
      <w:bookmarkStart w:id="250" w:name="_Toc1941"/>
      <w:bookmarkStart w:id="251" w:name="_Toc18675"/>
      <w:bookmarkStart w:id="252" w:name="_Toc22836"/>
      <w:bookmarkStart w:id="253" w:name="_Toc22587"/>
      <w:bookmarkStart w:id="254" w:name="_Toc28965"/>
      <w:bookmarkStart w:id="255" w:name="_Toc27241"/>
      <w:bookmarkStart w:id="256" w:name="_Toc22499"/>
      <w:bookmarkStart w:id="257" w:name="_Toc28152"/>
      <w:bookmarkStart w:id="258" w:name="_Toc30828"/>
      <w:bookmarkStart w:id="259" w:name="_Toc654"/>
      <w:bookmarkStart w:id="260" w:name="_Toc101"/>
      <w:r>
        <w:rPr>
          <w:rFonts w:hint="default" w:ascii="Times New Roman" w:hAnsi="Times New Roman" w:cs="Times New Roman"/>
          <w:color w:val="auto"/>
          <w:lang w:val="en-US" w:eastAsia="zh-CN"/>
        </w:rPr>
        <w:t>表</w:t>
      </w:r>
      <w:r>
        <w:rPr>
          <w:rFonts w:hint="eastAsia" w:cs="Times New Roman"/>
          <w:color w:val="auto"/>
          <w:lang w:val="en-US" w:eastAsia="zh-CN"/>
        </w:rPr>
        <w:t>D</w:t>
      </w:r>
      <w:r>
        <w:rPr>
          <w:rFonts w:hint="default" w:ascii="Times New Roman" w:hAnsi="Times New Roman" w:cs="Times New Roman"/>
          <w:color w:val="auto"/>
          <w:lang w:val="en-US" w:eastAsia="zh-CN"/>
        </w:rPr>
        <w:t>.1 三亚市沿海防护林提质改造申请表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tbl>
      <w:tblPr>
        <w:tblStyle w:val="10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98"/>
        <w:gridCol w:w="530"/>
        <w:gridCol w:w="1329"/>
        <w:gridCol w:w="733"/>
        <w:gridCol w:w="2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申请单位或个人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建设单位或个人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项目地点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三亚市    区     村（林场）      小地名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改造面积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公顷（约合   亩）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建设期限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202  年   月至202  年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土地权属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村委会集体地/        区国有地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项目批准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或符合相关规划（方案）情况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简述项目由来、符合规划或方案、必要性或迫切性等情况。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现状林分情况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简述现状地类、优势树种、年龄（龄组）、郁闭度、平均每亩株数、林分质量等情况。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改造功能需求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简述改造目的、功能需求、可行性等情况。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需要保护的对象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简述是否存在古树名木、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重点保护植物及生境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重点保护野生动物栖息地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附件材料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逐一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列出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附件有关材料名称。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主管部门意见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其他相关部门意见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备注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leftChars="-270" w:hanging="567" w:hangingChars="27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注：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1.此表一式三份，其中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二份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递交林业主管部门</w:t>
      </w:r>
      <w:r>
        <w:rPr>
          <w:rFonts w:hint="default" w:ascii="Times New Roman" w:hAnsi="Times New Roman" w:cs="Times New Roman"/>
          <w:color w:val="auto"/>
        </w:rPr>
        <w:t>。</w:t>
      </w:r>
    </w:p>
    <w:p>
      <w:pPr>
        <w:ind w:left="-1" w:leftChars="-75" w:hanging="157" w:hangingChars="75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2.附件材料应包括但不限于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“第二部分中第一章节 提出申请”所列图件及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材料。</w:t>
      </w:r>
    </w:p>
    <w:p>
      <w:pPr>
        <w:ind w:left="-1" w:leftChars="-75" w:hanging="157" w:hangingChars="75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</w:rPr>
        <w:t>我单位承诺对本申请表所填写内容及所附文件和材料的真实性负责，并承担内容不实之后果。</w:t>
      </w: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61" w:name="_Toc25605"/>
      <w:bookmarkStart w:id="262" w:name="_Toc5557"/>
      <w:bookmarkStart w:id="263" w:name="_Toc29196"/>
      <w:bookmarkStart w:id="264" w:name="_Toc29193"/>
      <w:bookmarkStart w:id="265" w:name="_Toc17564"/>
      <w:bookmarkStart w:id="266" w:name="_Toc6528"/>
      <w:bookmarkStart w:id="267" w:name="_Toc15935"/>
      <w:bookmarkStart w:id="268" w:name="_Toc2108"/>
      <w:bookmarkStart w:id="269" w:name="_Toc1609"/>
      <w:bookmarkStart w:id="270" w:name="_Toc20377"/>
      <w:bookmarkStart w:id="271" w:name="_Toc14352"/>
      <w:bookmarkStart w:id="272" w:name="_Toc21648"/>
      <w:bookmarkStart w:id="273" w:name="_Toc29920"/>
      <w:bookmarkStart w:id="274" w:name="_Toc6034"/>
      <w:bookmarkStart w:id="275" w:name="_Toc17839"/>
      <w:bookmarkStart w:id="276" w:name="_Toc21414"/>
      <w:bookmarkStart w:id="277" w:name="_Toc21202"/>
      <w:bookmarkStart w:id="278" w:name="_Toc23853"/>
      <w:bookmarkStart w:id="279" w:name="_Toc23794"/>
      <w:bookmarkStart w:id="280" w:name="_Toc14577"/>
      <w:bookmarkStart w:id="281" w:name="_Toc12572"/>
      <w:bookmarkStart w:id="282" w:name="_Toc21999"/>
      <w:bookmarkStart w:id="283" w:name="_Toc32037"/>
      <w:bookmarkStart w:id="284" w:name="_Toc297"/>
      <w:bookmarkStart w:id="285" w:name="_Toc9859"/>
      <w:bookmarkStart w:id="286" w:name="_Toc13598"/>
      <w:bookmarkStart w:id="287" w:name="_Toc26497"/>
      <w:bookmarkStart w:id="288" w:name="_Toc32073"/>
      <w:bookmarkStart w:id="289" w:name="_Toc4155"/>
      <w:r>
        <w:rPr>
          <w:rFonts w:hint="default" w:ascii="Times New Roman" w:hAnsi="Times New Roman" w:cs="Times New Roman"/>
          <w:color w:val="auto"/>
          <w:lang w:val="en-US" w:eastAsia="zh-CN"/>
        </w:rPr>
        <w:t>表</w:t>
      </w:r>
      <w:r>
        <w:rPr>
          <w:rFonts w:hint="eastAsia" w:cs="Times New Roman"/>
          <w:color w:val="auto"/>
          <w:lang w:val="en-US" w:eastAsia="zh-CN"/>
        </w:rPr>
        <w:t>D</w:t>
      </w:r>
      <w:r>
        <w:rPr>
          <w:rFonts w:hint="default" w:ascii="Times New Roman" w:hAnsi="Times New Roman" w:cs="Times New Roman"/>
          <w:color w:val="auto"/>
          <w:lang w:val="en-US" w:eastAsia="zh-CN"/>
        </w:rPr>
        <w:t>.2 三亚市沿海防护林提质改造设计现场查验表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tbl>
      <w:tblPr>
        <w:tblStyle w:val="10"/>
        <w:tblW w:w="96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8"/>
        <w:gridCol w:w="8072"/>
      </w:tblGrid>
      <w:tr>
        <w:tblPrEx>
          <w:tblLayout w:type="fixed"/>
        </w:tblPrEx>
        <w:trPr>
          <w:trHeight w:val="90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8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查验时间</w:t>
            </w:r>
          </w:p>
        </w:tc>
        <w:tc>
          <w:tcPr>
            <w:tcW w:w="8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查验地点</w:t>
            </w:r>
          </w:p>
        </w:tc>
        <w:tc>
          <w:tcPr>
            <w:tcW w:w="8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现场查验意见</w:t>
            </w:r>
          </w:p>
        </w:tc>
        <w:tc>
          <w:tcPr>
            <w:tcW w:w="8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9" w:firstLine="48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按照《中华人民共和国森林法》《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海南省沿海防护林建设与保护规定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》等法律法规的有关规定，我局及时组织工作人员对编制单位提交的《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........沿海防护林提质改造作业设计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》进行查验。现将查验情况报告如下：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一、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该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位于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三亚市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.......沿海地段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二、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该项目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涉及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公益林....公顷（约合...亩），未涉及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自然保护地、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天然林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红树林，没有国家重点保护的野生植物和古树名木分布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三、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简述林分现状调查情况和权属情况.....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四、简述项目设计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理念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和设计模式......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、项目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未动工，不存在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未批先伐林木的行为。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、现场查验结果与编制单位提交的《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........沿海防护林提质改造作业设计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基本一致。</w:t>
            </w: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9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查验人</w:t>
            </w:r>
          </w:p>
        </w:tc>
        <w:tc>
          <w:tcPr>
            <w:tcW w:w="8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签字：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firstLine="5008" w:firstLineChars="2385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202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1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查验单位</w:t>
            </w:r>
          </w:p>
        </w:tc>
        <w:tc>
          <w:tcPr>
            <w:tcW w:w="8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负责人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查验单位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202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2" w:hRule="atLeast"/>
          <w:jc w:val="center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3"/>
    <w:rsid w:val="00F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outlineLvl w:val="0"/>
    </w:pPr>
    <w:rPr>
      <w:rFonts w:ascii="Times New Roman" w:hAnsi="Times New Roman" w:eastAsia="黑体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Times New Roman" w:hAnsi="Times New Roman" w:eastAsia="仿宋_GB2312"/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widowControl/>
      <w:spacing w:line="288" w:lineRule="auto"/>
      <w:ind w:firstLine="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spacing w:line="560" w:lineRule="exact"/>
    </w:pPr>
    <w:rPr>
      <w:rFonts w:ascii="Times New Roman" w:hAnsi="Times New Roman" w:eastAsia="仿宋_GB2312"/>
      <w:b/>
      <w:sz w:val="28"/>
    </w:rPr>
  </w:style>
  <w:style w:type="paragraph" w:styleId="8">
    <w:name w:val="toc 2"/>
    <w:basedOn w:val="1"/>
    <w:next w:val="1"/>
    <w:qFormat/>
    <w:uiPriority w:val="0"/>
    <w:pPr>
      <w:spacing w:line="560" w:lineRule="exact"/>
      <w:ind w:left="420" w:leftChars="200"/>
    </w:pPr>
    <w:rPr>
      <w:rFonts w:ascii="Times New Roman" w:hAnsi="Times New Roman" w:eastAsia="仿宋_GB2312"/>
      <w:sz w:val="2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3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2024-04-09T00:27:00Z</dcterms:created>
  <dc:creator>Administrator</dc:creator>
  <cp:lastModifiedBy>Administrator</cp:lastModifiedBy>
  <dcterms:modified xsi:type="dcterms:W3CDTF">2024-04-09T01:54:28Z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