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DA11D7">
      <w:pPr>
        <w:jc w:val="center"/>
        <w:rPr>
          <w:sz w:val="44"/>
          <w:szCs w:val="44"/>
        </w:rPr>
      </w:pPr>
    </w:p>
    <w:p w14:paraId="19EB0C38">
      <w:pPr>
        <w:pStyle w:val="13"/>
        <w:spacing w:after="312" w:afterLines="100" w:line="600" w:lineRule="exact"/>
        <w:jc w:val="center"/>
        <w:rPr>
          <w:rFonts w:hint="eastAsia" w:ascii="楷体_GB2312" w:eastAsia="楷体_GB2312"/>
          <w:b/>
          <w:sz w:val="52"/>
          <w:szCs w:val="52"/>
        </w:rPr>
      </w:pPr>
    </w:p>
    <w:p w14:paraId="69409323">
      <w:pPr>
        <w:autoSpaceDE w:val="0"/>
        <w:autoSpaceDN w:val="0"/>
        <w:adjustRightInd w:val="0"/>
        <w:spacing w:line="360" w:lineRule="auto"/>
        <w:jc w:val="center"/>
        <w:rPr>
          <w:rFonts w:hint="eastAsia" w:ascii="Times New Roman" w:hAnsi="Times New Roman" w:eastAsia="华文中宋"/>
          <w:b/>
          <w:kern w:val="0"/>
          <w:sz w:val="48"/>
          <w:szCs w:val="48"/>
        </w:rPr>
      </w:pPr>
      <w:r>
        <w:rPr>
          <w:rFonts w:hint="eastAsia" w:ascii="Times New Roman" w:hAnsi="Times New Roman" w:eastAsia="华文中宋"/>
          <w:b/>
          <w:kern w:val="0"/>
          <w:sz w:val="48"/>
          <w:szCs w:val="48"/>
        </w:rPr>
        <w:t>三亚市</w:t>
      </w:r>
      <w:bookmarkStart w:id="0" w:name="_Toc23846"/>
      <w:r>
        <w:rPr>
          <w:rFonts w:hint="eastAsia" w:ascii="Times New Roman" w:hAnsi="Times New Roman" w:eastAsia="华文中宋"/>
          <w:b/>
          <w:kern w:val="0"/>
          <w:sz w:val="48"/>
          <w:szCs w:val="48"/>
        </w:rPr>
        <w:t>林地保护利用规划</w:t>
      </w:r>
    </w:p>
    <w:p w14:paraId="6D599AE6">
      <w:pPr>
        <w:autoSpaceDE w:val="0"/>
        <w:autoSpaceDN w:val="0"/>
        <w:adjustRightInd w:val="0"/>
        <w:spacing w:line="360" w:lineRule="auto"/>
        <w:jc w:val="center"/>
        <w:rPr>
          <w:rFonts w:hint="eastAsia" w:ascii="Times New Roman" w:hAnsi="Times New Roman" w:eastAsia="华文中宋"/>
          <w:b/>
          <w:kern w:val="0"/>
          <w:sz w:val="48"/>
          <w:szCs w:val="48"/>
        </w:rPr>
      </w:pPr>
      <w:r>
        <w:rPr>
          <w:rFonts w:hint="eastAsia" w:ascii="Times New Roman" w:hAnsi="Times New Roman" w:eastAsia="华文中宋"/>
          <w:b/>
          <w:kern w:val="0"/>
          <w:sz w:val="48"/>
          <w:szCs w:val="48"/>
        </w:rPr>
        <w:t>(2021-2035年)</w:t>
      </w:r>
      <w:bookmarkEnd w:id="0"/>
      <w:r>
        <w:rPr>
          <w:rFonts w:hint="eastAsia" w:ascii="Times New Roman" w:hAnsi="Times New Roman" w:eastAsia="华文中宋"/>
          <w:b/>
          <w:kern w:val="0"/>
          <w:sz w:val="48"/>
          <w:szCs w:val="48"/>
        </w:rPr>
        <w:t>修编</w:t>
      </w:r>
    </w:p>
    <w:p w14:paraId="21986D0E">
      <w:pPr>
        <w:pStyle w:val="2"/>
        <w:jc w:val="center"/>
        <w:rPr>
          <w:rFonts w:hint="eastAsia"/>
        </w:rPr>
      </w:pPr>
    </w:p>
    <w:p w14:paraId="6F9C8388">
      <w:pPr>
        <w:pStyle w:val="2"/>
        <w:jc w:val="center"/>
        <w:rPr>
          <w:rFonts w:hint="eastAsia"/>
        </w:rPr>
      </w:pPr>
    </w:p>
    <w:p w14:paraId="626EE341">
      <w:pPr>
        <w:pStyle w:val="2"/>
        <w:jc w:val="center"/>
        <w:rPr>
          <w:rFonts w:hint="eastAsia"/>
        </w:rPr>
      </w:pPr>
    </w:p>
    <w:p w14:paraId="53110F5A">
      <w:pPr>
        <w:pStyle w:val="13"/>
        <w:spacing w:line="500" w:lineRule="exact"/>
        <w:ind w:firstLine="551"/>
        <w:rPr>
          <w:b/>
        </w:rPr>
      </w:pPr>
    </w:p>
    <w:p w14:paraId="5086C843">
      <w:pPr>
        <w:pStyle w:val="13"/>
        <w:spacing w:line="500" w:lineRule="exact"/>
        <w:ind w:firstLine="551"/>
        <w:rPr>
          <w:b/>
        </w:rPr>
      </w:pPr>
    </w:p>
    <w:p w14:paraId="5DBD80A3">
      <w:pPr>
        <w:pStyle w:val="13"/>
        <w:spacing w:line="500" w:lineRule="exact"/>
        <w:ind w:firstLine="551"/>
        <w:rPr>
          <w:b/>
        </w:rPr>
      </w:pPr>
    </w:p>
    <w:p w14:paraId="49FCE64C">
      <w:pPr>
        <w:pStyle w:val="13"/>
        <w:spacing w:line="500" w:lineRule="exact"/>
        <w:ind w:firstLine="551"/>
        <w:rPr>
          <w:b/>
        </w:rPr>
      </w:pPr>
    </w:p>
    <w:p w14:paraId="061BDFD5">
      <w:pPr>
        <w:pStyle w:val="13"/>
        <w:spacing w:line="500" w:lineRule="exact"/>
        <w:ind w:firstLine="551"/>
        <w:rPr>
          <w:b/>
        </w:rPr>
      </w:pPr>
    </w:p>
    <w:p w14:paraId="7666A945">
      <w:pPr>
        <w:pStyle w:val="10"/>
        <w:ind w:firstLine="280"/>
      </w:pPr>
    </w:p>
    <w:p w14:paraId="5B78B36D">
      <w:pPr>
        <w:pStyle w:val="13"/>
        <w:spacing w:line="500" w:lineRule="exact"/>
        <w:ind w:firstLine="551"/>
        <w:rPr>
          <w:b/>
        </w:rPr>
      </w:pPr>
    </w:p>
    <w:p w14:paraId="40884413">
      <w:pPr>
        <w:pStyle w:val="13"/>
        <w:spacing w:line="500" w:lineRule="exact"/>
        <w:ind w:firstLine="551"/>
        <w:rPr>
          <w:b/>
        </w:rPr>
      </w:pPr>
    </w:p>
    <w:p w14:paraId="46A860D2">
      <w:pPr>
        <w:pStyle w:val="10"/>
        <w:ind w:firstLine="280"/>
      </w:pPr>
    </w:p>
    <w:p w14:paraId="449742E9">
      <w:pPr>
        <w:pStyle w:val="13"/>
        <w:spacing w:line="500" w:lineRule="exact"/>
        <w:ind w:firstLine="551"/>
        <w:rPr>
          <w:b/>
        </w:rPr>
      </w:pPr>
    </w:p>
    <w:p w14:paraId="79EED0B0">
      <w:pPr>
        <w:pStyle w:val="13"/>
        <w:spacing w:line="500" w:lineRule="exact"/>
        <w:ind w:firstLine="551"/>
        <w:rPr>
          <w:b/>
        </w:rPr>
      </w:pPr>
    </w:p>
    <w:p w14:paraId="59C8ED4B">
      <w:pPr>
        <w:pStyle w:val="13"/>
        <w:spacing w:line="500" w:lineRule="exact"/>
        <w:ind w:firstLine="551"/>
        <w:rPr>
          <w:b/>
        </w:rPr>
      </w:pPr>
    </w:p>
    <w:p w14:paraId="0C442BBE">
      <w:pPr>
        <w:pStyle w:val="13"/>
        <w:spacing w:line="500" w:lineRule="exact"/>
        <w:ind w:firstLine="551"/>
        <w:rPr>
          <w:b/>
        </w:rPr>
      </w:pPr>
    </w:p>
    <w:p w14:paraId="2E4ED52B">
      <w:pPr>
        <w:pStyle w:val="13"/>
        <w:spacing w:line="500" w:lineRule="exact"/>
        <w:ind w:firstLine="551"/>
        <w:rPr>
          <w:rFonts w:hint="eastAsia"/>
          <w:b/>
        </w:rPr>
      </w:pPr>
    </w:p>
    <w:p w14:paraId="21548E7E">
      <w:pPr>
        <w:pStyle w:val="13"/>
        <w:spacing w:line="500" w:lineRule="exact"/>
        <w:ind w:firstLine="551"/>
        <w:rPr>
          <w:b/>
        </w:rPr>
      </w:pPr>
    </w:p>
    <w:p w14:paraId="43EB3045">
      <w:pPr>
        <w:pStyle w:val="13"/>
        <w:spacing w:line="500" w:lineRule="exact"/>
        <w:ind w:firstLine="551"/>
        <w:rPr>
          <w:b/>
        </w:rPr>
      </w:pPr>
    </w:p>
    <w:tbl>
      <w:tblPr>
        <w:tblStyle w:val="26"/>
        <w:tblW w:w="50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42"/>
      </w:tblGrid>
      <w:tr w14:paraId="29957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jc w:val="center"/>
        </w:trPr>
        <w:tc>
          <w:tcPr>
            <w:tcW w:w="5042" w:type="dxa"/>
          </w:tcPr>
          <w:p w14:paraId="30A79F42">
            <w:pPr>
              <w:pStyle w:val="13"/>
              <w:spacing w:line="500" w:lineRule="exact"/>
              <w:jc w:val="center"/>
              <w:rPr>
                <w:rFonts w:ascii="宋体" w:hAnsi="宋体"/>
                <w:b/>
                <w:sz w:val="32"/>
                <w:szCs w:val="32"/>
              </w:rPr>
            </w:pPr>
            <w:r>
              <w:rPr>
                <w:rFonts w:hint="eastAsia" w:ascii="宋体" w:hAnsi="宋体"/>
                <w:b/>
                <w:sz w:val="32"/>
                <w:szCs w:val="32"/>
              </w:rPr>
              <w:t>三亚市林业局</w:t>
            </w:r>
          </w:p>
        </w:tc>
      </w:tr>
      <w:tr w14:paraId="75D1B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jc w:val="center"/>
        </w:trPr>
        <w:tc>
          <w:tcPr>
            <w:tcW w:w="5042" w:type="dxa"/>
          </w:tcPr>
          <w:p w14:paraId="6648116F">
            <w:pPr>
              <w:pStyle w:val="13"/>
              <w:spacing w:line="500" w:lineRule="exact"/>
              <w:jc w:val="center"/>
              <w:rPr>
                <w:rFonts w:hint="eastAsia" w:ascii="宋体" w:hAnsi="宋体"/>
                <w:b/>
                <w:sz w:val="32"/>
                <w:szCs w:val="32"/>
              </w:rPr>
            </w:pPr>
            <w:r>
              <w:rPr>
                <w:rFonts w:hint="eastAsia" w:ascii="宋体" w:hAnsi="宋体"/>
                <w:b/>
                <w:bCs/>
                <w:sz w:val="32"/>
              </w:rPr>
              <w:t>二○二四年八月</w:t>
            </w:r>
          </w:p>
        </w:tc>
      </w:tr>
    </w:tbl>
    <w:p w14:paraId="0A1981FD">
      <w:pPr>
        <w:rPr>
          <w:szCs w:val="28"/>
        </w:rPr>
        <w:sectPr>
          <w:headerReference r:id="rId3" w:type="default"/>
          <w:footerReference r:id="rId4" w:type="default"/>
          <w:pgSz w:w="11906" w:h="16838"/>
          <w:pgMar w:top="1417" w:right="1417" w:bottom="1417" w:left="1417" w:header="851" w:footer="992" w:gutter="0"/>
          <w:pgNumType w:start="1"/>
          <w:cols w:space="720" w:num="1"/>
          <w:docGrid w:type="lines" w:linePitch="312" w:charSpace="0"/>
        </w:sectPr>
      </w:pPr>
    </w:p>
    <w:p w14:paraId="0F9C8BEC">
      <w:pPr>
        <w:spacing w:line="550" w:lineRule="exact"/>
        <w:jc w:val="center"/>
        <w:outlineLvl w:val="0"/>
        <w:rPr>
          <w:rFonts w:hint="eastAsia" w:ascii="黑体" w:hAnsi="黑体" w:eastAsia="黑体" w:cs="黑体"/>
          <w:b/>
          <w:sz w:val="36"/>
          <w:szCs w:val="36"/>
        </w:rPr>
      </w:pPr>
      <w:bookmarkStart w:id="1" w:name="_Toc2740"/>
      <w:bookmarkStart w:id="2" w:name="_Toc9500"/>
      <w:r>
        <w:rPr>
          <w:rFonts w:hint="eastAsia" w:ascii="黑体" w:hAnsi="黑体" w:eastAsia="黑体" w:cs="黑体"/>
          <w:b/>
          <w:sz w:val="36"/>
          <w:szCs w:val="36"/>
        </w:rPr>
        <w:t>前   言</w:t>
      </w:r>
      <w:bookmarkEnd w:id="1"/>
      <w:bookmarkEnd w:id="2"/>
    </w:p>
    <w:p w14:paraId="03B09B61">
      <w:pPr>
        <w:spacing w:line="550" w:lineRule="exact"/>
        <w:jc w:val="center"/>
        <w:rPr>
          <w:rFonts w:hint="eastAsia" w:ascii="宋体" w:hAnsi="宋体" w:eastAsia="宋体" w:cs="宋体"/>
          <w:szCs w:val="28"/>
        </w:rPr>
      </w:pPr>
    </w:p>
    <w:p w14:paraId="29458605">
      <w:pPr>
        <w:spacing w:line="520"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林地是国家重要的自然资源和战略性资源,是森林赖以生存和发展的根基。林地在保障木材及林产品供给、维护国土生态安全中具有核心地位，在应对全球气候变化中具有特殊地位。国务院批复的《全国林地保护利用规划纲要（2010-2020年）》（国函〔2010〕69号）实施以来，我国的林地保护利用工作取得了明显成效。在第一轮规划即将到期之际，编制新一轮全国林地保护利用规划意义重大。  </w:t>
      </w:r>
    </w:p>
    <w:p w14:paraId="6B3346FB">
      <w:pPr>
        <w:spacing w:line="520"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为统一和规范新一轮林地保护利用规划编制工作，提高规划的科学性、适用性和可操作性，2020年底国家林业和草原局印发了《新一轮林地保护利用规划编制工作方案》和《新一轮林地保护利用规划编制技术方案》，2023年4月自然资源部、国家林业和草原局印发了《关于以第三次全国国土调查成果为基础明确林地管理边界规范林地管理的通知》（自然资发〔2023〕53号），2023年7月海南省自然资源和规划厅、海南省林业局印发了《关于印发各市县新一轮林地保护利用规划中林地保有量指标的函》（琼自然资函〔2023〕1049号），2022年7月海南省林业局印发了《海南省新一轮林地保护利用规划编制操作细则（试行）》（琼林〔2022〕183号。按照国家、省的工作部署和相关技术要求，为完成我市新一轮林地保护利用规划编制工作，进一步推动我市林地科学管理和保护利用高质量发展，建立与国土空间规划相协调的林地保护利用规划体系，我市在全面总结十年来林地保护利用管理成效的基础上，结合林地、草地、湿地数据与第三次全国国土调查数据对接融合成果，认真落实“十四五”规划重点建设任务和2035年远景目标，初步完成了《三亚市林地保护利用规划（2021-2035年）修编》(以下简称《规划》)编制工作。</w:t>
      </w:r>
    </w:p>
    <w:p w14:paraId="2936EADE">
      <w:pPr>
        <w:spacing w:line="520"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规划》以习近平生态文明思想为指导，坚持保护优先、积极发展、科学经营、合理利用的方针，努力践行绿水青山就是金山银山的理念。《规划》紧密衔接我市空间规划，全面落实国土空间开发保护要求，统筹优化林地空间格局，明确未来十五年林地管理边界、落实林地用途管制、实现林地科学管理、提高林地保护利用效率，基本形成“以规管地”的林地保护利用空间格局，并且根据社会经济可持续发展理论和规划期内全市对林业发展和生态环境建设的需求预测，制定林地保护利用的目标和方针，进行林地保护利用布局和结构调整规划，界定林地保护利用分区、分级，提出各分区、分级的林地保护利用原则、方向和措施。同时，确定生态公益林和商品林的比例及其布局调整，提出实施规划的保障措施。</w:t>
      </w:r>
    </w:p>
    <w:p w14:paraId="3ADD1ED7">
      <w:pPr>
        <w:spacing w:line="520"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规划》是覆盖全市国土空间规划的专项规划，是林地保护利用的纲领性文件，是林业高质量发展的空间蓝图，对于统筹森林资源保护、质量提升、科学利用，维护生态系统多样性、稳定性，指导林地保护利用规划的编制和实施均有重要作用。</w:t>
      </w:r>
    </w:p>
    <w:p w14:paraId="4FF4EFED">
      <w:pPr>
        <w:spacing w:line="520"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本次林地保护利用规划的范围覆盖三亚市全部行政区域。规划基准年为2020年，规划目标年为2035年。其中；2021年至2025年为近期，2026年至2035年为中远期。</w:t>
      </w:r>
    </w:p>
    <w:p w14:paraId="02A53E6E">
      <w:pPr>
        <w:pStyle w:val="13"/>
        <w:rPr>
          <w:rFonts w:hint="eastAsia" w:ascii="宋体" w:hAnsi="宋体" w:cs="宋体"/>
        </w:rPr>
      </w:pPr>
    </w:p>
    <w:p w14:paraId="1858A195">
      <w:pPr>
        <w:spacing w:line="550" w:lineRule="exact"/>
        <w:ind w:left="479" w:leftChars="171" w:firstLine="2738" w:firstLineChars="978"/>
        <w:jc w:val="center"/>
        <w:rPr>
          <w:rFonts w:ascii="仿宋" w:hAnsi="仿宋"/>
          <w:szCs w:val="28"/>
        </w:rPr>
        <w:sectPr>
          <w:headerReference r:id="rId5" w:type="default"/>
          <w:footerReference r:id="rId6" w:type="default"/>
          <w:pgSz w:w="11906" w:h="16838"/>
          <w:pgMar w:top="1417" w:right="1417" w:bottom="1417" w:left="1417" w:header="851" w:footer="992" w:gutter="0"/>
          <w:pgNumType w:start="1"/>
          <w:cols w:space="720" w:num="1"/>
          <w:docGrid w:type="lines" w:linePitch="312" w:charSpace="0"/>
        </w:sectPr>
      </w:pPr>
      <w:r>
        <w:rPr>
          <w:rFonts w:hint="eastAsia" w:ascii="宋体" w:hAnsi="宋体" w:eastAsia="宋体" w:cs="宋体"/>
          <w:szCs w:val="28"/>
        </w:rPr>
        <w:t xml:space="preserve">                        </w:t>
      </w:r>
      <w:r>
        <w:rPr>
          <w:rFonts w:hint="eastAsia" w:ascii="仿宋" w:hAnsi="仿宋"/>
          <w:szCs w:val="28"/>
        </w:rPr>
        <w:t xml:space="preserve">                 </w:t>
      </w:r>
    </w:p>
    <w:p w14:paraId="1B3B9DA3">
      <w:pPr>
        <w:pStyle w:val="47"/>
        <w:spacing w:before="240"/>
        <w:jc w:val="center"/>
        <w:rPr>
          <w:rFonts w:hint="eastAsia" w:ascii="黑体" w:hAnsi="黑体" w:eastAsia="黑体" w:cs="黑体"/>
          <w:color w:val="auto"/>
          <w:sz w:val="24"/>
          <w:szCs w:val="24"/>
        </w:rPr>
      </w:pPr>
      <w:bookmarkStart w:id="3" w:name="_Toc2913"/>
      <w:bookmarkStart w:id="4" w:name="_Toc25912"/>
      <w:bookmarkStart w:id="5" w:name="_Toc22977"/>
      <w:r>
        <w:rPr>
          <w:rFonts w:hint="eastAsia" w:ascii="黑体" w:hAnsi="黑体" w:eastAsia="黑体" w:cs="黑体"/>
          <w:color w:val="auto"/>
          <w:sz w:val="32"/>
          <w:szCs w:val="32"/>
          <w:lang w:val="zh-CN"/>
        </w:rPr>
        <w:t>目</w:t>
      </w:r>
      <w:r>
        <w:rPr>
          <w:rFonts w:hint="eastAsia" w:ascii="黑体" w:hAnsi="黑体" w:eastAsia="黑体" w:cs="黑体"/>
          <w:color w:val="auto"/>
          <w:sz w:val="32"/>
          <w:szCs w:val="32"/>
        </w:rPr>
        <w:t xml:space="preserve">  </w:t>
      </w:r>
      <w:r>
        <w:rPr>
          <w:rFonts w:hint="eastAsia" w:ascii="黑体" w:hAnsi="黑体" w:eastAsia="黑体" w:cs="黑体"/>
          <w:color w:val="auto"/>
          <w:sz w:val="32"/>
          <w:szCs w:val="32"/>
          <w:lang w:val="zh-CN"/>
        </w:rPr>
        <w:t>录</w:t>
      </w:r>
      <w:bookmarkEnd w:id="3"/>
      <w:bookmarkEnd w:id="4"/>
      <w:bookmarkEnd w:id="5"/>
    </w:p>
    <w:p w14:paraId="591B2BCA">
      <w:pPr>
        <w:pStyle w:val="20"/>
        <w:tabs>
          <w:tab w:val="right" w:leader="dot" w:pos="9072"/>
        </w:tabs>
        <w:spacing w:line="360" w:lineRule="auto"/>
        <w:rPr>
          <w:rFonts w:hint="eastAsia" w:ascii="宋体" w:hAnsi="宋体" w:eastAsia="宋体" w:cs="宋体"/>
          <w:b/>
          <w:bCs/>
          <w:sz w:val="24"/>
          <w:szCs w:val="24"/>
        </w:rPr>
      </w:pPr>
      <w:r>
        <w:rPr>
          <w:sz w:val="22"/>
          <w:highlight w:val="yellow"/>
        </w:rPr>
        <w:fldChar w:fldCharType="begin"/>
      </w:r>
      <w:r>
        <w:rPr>
          <w:sz w:val="22"/>
          <w:highlight w:val="yellow"/>
        </w:rPr>
        <w:instrText xml:space="preserve">TOC \o "1-2" \h \u </w:instrText>
      </w:r>
      <w:r>
        <w:rPr>
          <w:sz w:val="22"/>
          <w:highlight w:val="yellow"/>
        </w:rPr>
        <w:fldChar w:fldCharType="separate"/>
      </w:r>
      <w:r>
        <w:fldChar w:fldCharType="begin"/>
      </w:r>
      <w:r>
        <w:instrText xml:space="preserve"> HYPERLINK \l "_Toc31289" </w:instrText>
      </w:r>
      <w:r>
        <w:fldChar w:fldCharType="separate"/>
      </w:r>
      <w:r>
        <w:rPr>
          <w:rFonts w:hint="eastAsia" w:ascii="宋体" w:hAnsi="宋体" w:eastAsia="宋体" w:cs="宋体"/>
          <w:b/>
          <w:bCs/>
          <w:sz w:val="24"/>
          <w:szCs w:val="24"/>
        </w:rPr>
        <w:t>第一章　上一轮规划实施情况评价</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_Toc31289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026BB95B">
      <w:pPr>
        <w:pStyle w:val="21"/>
        <w:tabs>
          <w:tab w:val="right" w:leader="dot" w:pos="9072"/>
        </w:tabs>
        <w:spacing w:line="360" w:lineRule="auto"/>
        <w:ind w:left="560"/>
        <w:rPr>
          <w:sz w:val="24"/>
          <w:szCs w:val="24"/>
        </w:rPr>
      </w:pPr>
      <w:r>
        <w:fldChar w:fldCharType="begin"/>
      </w:r>
      <w:r>
        <w:instrText xml:space="preserve"> HYPERLINK \l "_Toc873" </w:instrText>
      </w:r>
      <w:r>
        <w:fldChar w:fldCharType="separate"/>
      </w:r>
      <w:r>
        <w:rPr>
          <w:rFonts w:hint="eastAsia" w:ascii="宋体" w:hAnsi="宋体" w:eastAsia="宋体" w:cs="宋体"/>
          <w:sz w:val="24"/>
          <w:szCs w:val="24"/>
        </w:rPr>
        <w:t>1.1 主要指标完成情况</w:t>
      </w:r>
      <w:r>
        <w:rPr>
          <w:sz w:val="24"/>
          <w:szCs w:val="24"/>
        </w:rPr>
        <w:tab/>
      </w:r>
      <w:r>
        <w:rPr>
          <w:sz w:val="24"/>
          <w:szCs w:val="24"/>
        </w:rPr>
        <w:fldChar w:fldCharType="begin"/>
      </w:r>
      <w:r>
        <w:rPr>
          <w:sz w:val="24"/>
          <w:szCs w:val="24"/>
        </w:rPr>
        <w:instrText xml:space="preserve"> PAGEREF _Toc873 \h </w:instrText>
      </w:r>
      <w:r>
        <w:rPr>
          <w:sz w:val="24"/>
          <w:szCs w:val="24"/>
        </w:rPr>
        <w:fldChar w:fldCharType="separate"/>
      </w:r>
      <w:r>
        <w:rPr>
          <w:sz w:val="24"/>
          <w:szCs w:val="24"/>
        </w:rPr>
        <w:t>1</w:t>
      </w:r>
      <w:r>
        <w:rPr>
          <w:sz w:val="24"/>
          <w:szCs w:val="24"/>
        </w:rPr>
        <w:fldChar w:fldCharType="end"/>
      </w:r>
      <w:r>
        <w:rPr>
          <w:sz w:val="24"/>
          <w:szCs w:val="24"/>
        </w:rPr>
        <w:fldChar w:fldCharType="end"/>
      </w:r>
    </w:p>
    <w:p w14:paraId="79B28AC8">
      <w:pPr>
        <w:pStyle w:val="21"/>
        <w:tabs>
          <w:tab w:val="right" w:leader="dot" w:pos="9072"/>
        </w:tabs>
        <w:spacing w:line="360" w:lineRule="auto"/>
        <w:ind w:left="560"/>
        <w:rPr>
          <w:sz w:val="24"/>
          <w:szCs w:val="24"/>
        </w:rPr>
      </w:pPr>
      <w:r>
        <w:fldChar w:fldCharType="begin"/>
      </w:r>
      <w:r>
        <w:instrText xml:space="preserve"> HYPERLINK \l "_Toc30382" </w:instrText>
      </w:r>
      <w:r>
        <w:fldChar w:fldCharType="separate"/>
      </w:r>
      <w:r>
        <w:rPr>
          <w:rFonts w:hint="eastAsia" w:ascii="宋体" w:hAnsi="宋体" w:eastAsia="宋体" w:cs="宋体"/>
          <w:sz w:val="24"/>
          <w:szCs w:val="24"/>
        </w:rPr>
        <w:t>1.2 主要成效</w:t>
      </w:r>
      <w:r>
        <w:rPr>
          <w:sz w:val="24"/>
          <w:szCs w:val="24"/>
        </w:rPr>
        <w:tab/>
      </w:r>
      <w:r>
        <w:rPr>
          <w:sz w:val="24"/>
          <w:szCs w:val="24"/>
        </w:rPr>
        <w:fldChar w:fldCharType="begin"/>
      </w:r>
      <w:r>
        <w:rPr>
          <w:sz w:val="24"/>
          <w:szCs w:val="24"/>
        </w:rPr>
        <w:instrText xml:space="preserve"> PAGEREF _Toc30382 \h </w:instrText>
      </w:r>
      <w:r>
        <w:rPr>
          <w:sz w:val="24"/>
          <w:szCs w:val="24"/>
        </w:rPr>
        <w:fldChar w:fldCharType="separate"/>
      </w:r>
      <w:r>
        <w:rPr>
          <w:sz w:val="24"/>
          <w:szCs w:val="24"/>
        </w:rPr>
        <w:t>1</w:t>
      </w:r>
      <w:r>
        <w:rPr>
          <w:sz w:val="24"/>
          <w:szCs w:val="24"/>
        </w:rPr>
        <w:fldChar w:fldCharType="end"/>
      </w:r>
      <w:r>
        <w:rPr>
          <w:sz w:val="24"/>
          <w:szCs w:val="24"/>
        </w:rPr>
        <w:fldChar w:fldCharType="end"/>
      </w:r>
    </w:p>
    <w:p w14:paraId="518319BC">
      <w:pPr>
        <w:pStyle w:val="21"/>
        <w:tabs>
          <w:tab w:val="right" w:leader="dot" w:pos="9072"/>
        </w:tabs>
        <w:spacing w:line="360" w:lineRule="auto"/>
        <w:ind w:left="560"/>
        <w:rPr>
          <w:sz w:val="24"/>
          <w:szCs w:val="24"/>
        </w:rPr>
      </w:pPr>
      <w:r>
        <w:fldChar w:fldCharType="begin"/>
      </w:r>
      <w:r>
        <w:instrText xml:space="preserve"> HYPERLINK \l "_Toc31243" </w:instrText>
      </w:r>
      <w:r>
        <w:fldChar w:fldCharType="separate"/>
      </w:r>
      <w:r>
        <w:rPr>
          <w:rFonts w:hint="eastAsia" w:ascii="宋体" w:hAnsi="宋体" w:eastAsia="宋体" w:cs="宋体"/>
          <w:sz w:val="24"/>
          <w:szCs w:val="24"/>
        </w:rPr>
        <w:t>1.3 主要问题</w:t>
      </w:r>
      <w:r>
        <w:rPr>
          <w:sz w:val="24"/>
          <w:szCs w:val="24"/>
        </w:rPr>
        <w:tab/>
      </w:r>
      <w:r>
        <w:rPr>
          <w:sz w:val="24"/>
          <w:szCs w:val="24"/>
        </w:rPr>
        <w:fldChar w:fldCharType="begin"/>
      </w:r>
      <w:r>
        <w:rPr>
          <w:sz w:val="24"/>
          <w:szCs w:val="24"/>
        </w:rPr>
        <w:instrText xml:space="preserve"> PAGEREF _Toc31243 \h </w:instrText>
      </w:r>
      <w:r>
        <w:rPr>
          <w:sz w:val="24"/>
          <w:szCs w:val="24"/>
        </w:rPr>
        <w:fldChar w:fldCharType="separate"/>
      </w:r>
      <w:r>
        <w:rPr>
          <w:sz w:val="24"/>
          <w:szCs w:val="24"/>
        </w:rPr>
        <w:t>5</w:t>
      </w:r>
      <w:r>
        <w:rPr>
          <w:sz w:val="24"/>
          <w:szCs w:val="24"/>
        </w:rPr>
        <w:fldChar w:fldCharType="end"/>
      </w:r>
      <w:r>
        <w:rPr>
          <w:sz w:val="24"/>
          <w:szCs w:val="24"/>
        </w:rPr>
        <w:fldChar w:fldCharType="end"/>
      </w:r>
    </w:p>
    <w:p w14:paraId="2D7F349D">
      <w:pPr>
        <w:pStyle w:val="20"/>
        <w:tabs>
          <w:tab w:val="right" w:leader="dot" w:pos="9072"/>
        </w:tabs>
        <w:spacing w:line="360" w:lineRule="auto"/>
        <w:rPr>
          <w:b/>
          <w:bCs/>
          <w:sz w:val="24"/>
          <w:szCs w:val="24"/>
        </w:rPr>
      </w:pPr>
      <w:r>
        <w:fldChar w:fldCharType="begin"/>
      </w:r>
      <w:r>
        <w:instrText xml:space="preserve"> HYPERLINK \l "_Toc31585" </w:instrText>
      </w:r>
      <w:r>
        <w:fldChar w:fldCharType="separate"/>
      </w:r>
      <w:r>
        <w:rPr>
          <w:rFonts w:hint="eastAsia" w:ascii="宋体" w:hAnsi="宋体" w:eastAsia="宋体" w:cs="宋体"/>
          <w:b/>
          <w:bCs/>
          <w:sz w:val="24"/>
          <w:szCs w:val="24"/>
        </w:rPr>
        <w:t>第二章　林地保护利用现状分析</w:t>
      </w:r>
      <w:r>
        <w:rPr>
          <w:b/>
          <w:bCs/>
          <w:sz w:val="24"/>
          <w:szCs w:val="24"/>
        </w:rPr>
        <w:tab/>
      </w:r>
      <w:r>
        <w:rPr>
          <w:b/>
          <w:bCs/>
          <w:sz w:val="24"/>
          <w:szCs w:val="24"/>
        </w:rPr>
        <w:fldChar w:fldCharType="begin"/>
      </w:r>
      <w:r>
        <w:rPr>
          <w:b/>
          <w:bCs/>
          <w:sz w:val="24"/>
          <w:szCs w:val="24"/>
        </w:rPr>
        <w:instrText xml:space="preserve"> PAGEREF _Toc31585 \h </w:instrText>
      </w:r>
      <w:r>
        <w:rPr>
          <w:b/>
          <w:bCs/>
          <w:sz w:val="24"/>
          <w:szCs w:val="24"/>
        </w:rPr>
        <w:fldChar w:fldCharType="separate"/>
      </w:r>
      <w:r>
        <w:rPr>
          <w:b/>
          <w:bCs/>
          <w:sz w:val="24"/>
          <w:szCs w:val="24"/>
        </w:rPr>
        <w:t>8</w:t>
      </w:r>
      <w:r>
        <w:rPr>
          <w:b/>
          <w:bCs/>
          <w:sz w:val="24"/>
          <w:szCs w:val="24"/>
        </w:rPr>
        <w:fldChar w:fldCharType="end"/>
      </w:r>
      <w:r>
        <w:rPr>
          <w:b/>
          <w:bCs/>
          <w:sz w:val="24"/>
          <w:szCs w:val="24"/>
        </w:rPr>
        <w:fldChar w:fldCharType="end"/>
      </w:r>
    </w:p>
    <w:p w14:paraId="0412336B">
      <w:pPr>
        <w:pStyle w:val="21"/>
        <w:tabs>
          <w:tab w:val="right" w:leader="dot" w:pos="9072"/>
        </w:tabs>
        <w:spacing w:line="360" w:lineRule="auto"/>
        <w:ind w:left="560"/>
        <w:rPr>
          <w:sz w:val="24"/>
          <w:szCs w:val="24"/>
        </w:rPr>
      </w:pPr>
      <w:r>
        <w:fldChar w:fldCharType="begin"/>
      </w:r>
      <w:r>
        <w:instrText xml:space="preserve"> HYPERLINK \l "_Toc11341" </w:instrText>
      </w:r>
      <w:r>
        <w:fldChar w:fldCharType="separate"/>
      </w:r>
      <w:r>
        <w:rPr>
          <w:rFonts w:hint="eastAsia" w:ascii="宋体" w:hAnsi="宋体" w:eastAsia="宋体" w:cs="宋体"/>
          <w:sz w:val="24"/>
          <w:szCs w:val="24"/>
        </w:rPr>
        <w:t>2.1 林地资源现状</w:t>
      </w:r>
      <w:r>
        <w:rPr>
          <w:sz w:val="24"/>
          <w:szCs w:val="24"/>
        </w:rPr>
        <w:tab/>
      </w:r>
      <w:r>
        <w:rPr>
          <w:sz w:val="24"/>
          <w:szCs w:val="24"/>
        </w:rPr>
        <w:fldChar w:fldCharType="begin"/>
      </w:r>
      <w:r>
        <w:rPr>
          <w:sz w:val="24"/>
          <w:szCs w:val="24"/>
        </w:rPr>
        <w:instrText xml:space="preserve"> PAGEREF _Toc11341 \h </w:instrText>
      </w:r>
      <w:r>
        <w:rPr>
          <w:sz w:val="24"/>
          <w:szCs w:val="24"/>
        </w:rPr>
        <w:fldChar w:fldCharType="separate"/>
      </w:r>
      <w:r>
        <w:rPr>
          <w:sz w:val="24"/>
          <w:szCs w:val="24"/>
        </w:rPr>
        <w:t>8</w:t>
      </w:r>
      <w:r>
        <w:rPr>
          <w:sz w:val="24"/>
          <w:szCs w:val="24"/>
        </w:rPr>
        <w:fldChar w:fldCharType="end"/>
      </w:r>
      <w:r>
        <w:rPr>
          <w:sz w:val="24"/>
          <w:szCs w:val="24"/>
        </w:rPr>
        <w:fldChar w:fldCharType="end"/>
      </w:r>
    </w:p>
    <w:p w14:paraId="494B552E">
      <w:pPr>
        <w:pStyle w:val="21"/>
        <w:tabs>
          <w:tab w:val="right" w:leader="dot" w:pos="9072"/>
        </w:tabs>
        <w:spacing w:line="360" w:lineRule="auto"/>
        <w:ind w:left="560"/>
        <w:rPr>
          <w:sz w:val="24"/>
          <w:szCs w:val="24"/>
        </w:rPr>
      </w:pPr>
      <w:r>
        <w:fldChar w:fldCharType="begin"/>
      </w:r>
      <w:r>
        <w:instrText xml:space="preserve"> HYPERLINK \l "_Toc22568" </w:instrText>
      </w:r>
      <w:r>
        <w:fldChar w:fldCharType="separate"/>
      </w:r>
      <w:r>
        <w:rPr>
          <w:rFonts w:hint="eastAsia" w:ascii="宋体" w:hAnsi="宋体" w:eastAsia="宋体" w:cs="宋体"/>
          <w:sz w:val="24"/>
          <w:szCs w:val="24"/>
        </w:rPr>
        <w:t>2.</w:t>
      </w:r>
      <w:r>
        <w:rPr>
          <w:rFonts w:hint="eastAsia" w:ascii="宋体" w:hAnsi="宋体" w:cs="宋体"/>
          <w:sz w:val="24"/>
          <w:szCs w:val="24"/>
        </w:rPr>
        <w:t>2</w:t>
      </w:r>
      <w:r>
        <w:rPr>
          <w:rFonts w:hint="eastAsia" w:ascii="宋体" w:hAnsi="宋体" w:eastAsia="宋体" w:cs="宋体"/>
          <w:sz w:val="24"/>
          <w:szCs w:val="24"/>
        </w:rPr>
        <w:t xml:space="preserve"> 自然保护地情况</w:t>
      </w:r>
      <w:r>
        <w:rPr>
          <w:sz w:val="24"/>
          <w:szCs w:val="24"/>
        </w:rPr>
        <w:tab/>
      </w:r>
      <w:r>
        <w:rPr>
          <w:sz w:val="24"/>
          <w:szCs w:val="24"/>
        </w:rPr>
        <w:fldChar w:fldCharType="begin"/>
      </w:r>
      <w:r>
        <w:rPr>
          <w:sz w:val="24"/>
          <w:szCs w:val="24"/>
        </w:rPr>
        <w:instrText xml:space="preserve"> PAGEREF _Toc22568 \h </w:instrText>
      </w:r>
      <w:r>
        <w:rPr>
          <w:sz w:val="24"/>
          <w:szCs w:val="24"/>
        </w:rPr>
        <w:fldChar w:fldCharType="separate"/>
      </w:r>
      <w:r>
        <w:rPr>
          <w:sz w:val="24"/>
          <w:szCs w:val="24"/>
        </w:rPr>
        <w:t>9</w:t>
      </w:r>
      <w:r>
        <w:rPr>
          <w:sz w:val="24"/>
          <w:szCs w:val="24"/>
        </w:rPr>
        <w:fldChar w:fldCharType="end"/>
      </w:r>
      <w:r>
        <w:rPr>
          <w:sz w:val="24"/>
          <w:szCs w:val="24"/>
        </w:rPr>
        <w:fldChar w:fldCharType="end"/>
      </w:r>
    </w:p>
    <w:p w14:paraId="6A0FA039">
      <w:pPr>
        <w:pStyle w:val="21"/>
        <w:tabs>
          <w:tab w:val="right" w:leader="dot" w:pos="9072"/>
        </w:tabs>
        <w:spacing w:line="360" w:lineRule="auto"/>
        <w:ind w:left="560"/>
        <w:rPr>
          <w:sz w:val="24"/>
          <w:szCs w:val="24"/>
        </w:rPr>
      </w:pPr>
      <w:r>
        <w:fldChar w:fldCharType="begin"/>
      </w:r>
      <w:r>
        <w:instrText xml:space="preserve"> HYPERLINK \l "_Toc17468" </w:instrText>
      </w:r>
      <w:r>
        <w:fldChar w:fldCharType="separate"/>
      </w:r>
      <w:r>
        <w:rPr>
          <w:rFonts w:hint="eastAsia" w:ascii="宋体" w:hAnsi="宋体" w:eastAsia="宋体" w:cs="宋体"/>
          <w:sz w:val="24"/>
          <w:szCs w:val="24"/>
        </w:rPr>
        <w:t>2.</w:t>
      </w:r>
      <w:r>
        <w:rPr>
          <w:rFonts w:hint="eastAsia" w:ascii="宋体" w:hAnsi="宋体" w:cs="宋体"/>
          <w:sz w:val="24"/>
          <w:szCs w:val="24"/>
        </w:rPr>
        <w:t>3</w:t>
      </w:r>
      <w:r>
        <w:rPr>
          <w:rFonts w:hint="eastAsia" w:ascii="宋体" w:hAnsi="宋体" w:eastAsia="宋体" w:cs="宋体"/>
          <w:sz w:val="24"/>
          <w:szCs w:val="24"/>
        </w:rPr>
        <w:t xml:space="preserve"> 林地保护利用基本情况分析</w:t>
      </w:r>
      <w:r>
        <w:rPr>
          <w:sz w:val="24"/>
          <w:szCs w:val="24"/>
        </w:rPr>
        <w:tab/>
      </w:r>
      <w:r>
        <w:rPr>
          <w:sz w:val="24"/>
          <w:szCs w:val="24"/>
        </w:rPr>
        <w:fldChar w:fldCharType="begin"/>
      </w:r>
      <w:r>
        <w:rPr>
          <w:sz w:val="24"/>
          <w:szCs w:val="24"/>
        </w:rPr>
        <w:instrText xml:space="preserve"> PAGEREF _Toc17468 \h </w:instrText>
      </w:r>
      <w:r>
        <w:rPr>
          <w:sz w:val="24"/>
          <w:szCs w:val="24"/>
        </w:rPr>
        <w:fldChar w:fldCharType="separate"/>
      </w:r>
      <w:r>
        <w:rPr>
          <w:sz w:val="24"/>
          <w:szCs w:val="24"/>
        </w:rPr>
        <w:t>10</w:t>
      </w:r>
      <w:r>
        <w:rPr>
          <w:sz w:val="24"/>
          <w:szCs w:val="24"/>
        </w:rPr>
        <w:fldChar w:fldCharType="end"/>
      </w:r>
      <w:r>
        <w:rPr>
          <w:sz w:val="24"/>
          <w:szCs w:val="24"/>
        </w:rPr>
        <w:fldChar w:fldCharType="end"/>
      </w:r>
    </w:p>
    <w:p w14:paraId="748294BA">
      <w:pPr>
        <w:pStyle w:val="21"/>
        <w:tabs>
          <w:tab w:val="right" w:leader="dot" w:pos="9072"/>
        </w:tabs>
        <w:spacing w:line="360" w:lineRule="auto"/>
        <w:ind w:left="560"/>
        <w:rPr>
          <w:sz w:val="24"/>
          <w:szCs w:val="24"/>
        </w:rPr>
      </w:pPr>
      <w:r>
        <w:fldChar w:fldCharType="begin"/>
      </w:r>
      <w:r>
        <w:instrText xml:space="preserve"> HYPERLINK \l "_Toc5986" </w:instrText>
      </w:r>
      <w:r>
        <w:fldChar w:fldCharType="separate"/>
      </w:r>
      <w:r>
        <w:rPr>
          <w:rFonts w:hint="eastAsia" w:ascii="宋体" w:hAnsi="宋体" w:eastAsia="宋体" w:cs="宋体"/>
          <w:sz w:val="24"/>
          <w:szCs w:val="24"/>
        </w:rPr>
        <w:t>2.</w:t>
      </w:r>
      <w:r>
        <w:rPr>
          <w:rFonts w:hint="eastAsia" w:ascii="宋体" w:hAnsi="宋体" w:cs="宋体"/>
          <w:sz w:val="24"/>
          <w:szCs w:val="24"/>
        </w:rPr>
        <w:t>4</w:t>
      </w:r>
      <w:r>
        <w:rPr>
          <w:rFonts w:hint="eastAsia" w:ascii="宋体" w:hAnsi="宋体" w:eastAsia="宋体" w:cs="宋体"/>
          <w:sz w:val="24"/>
          <w:szCs w:val="24"/>
        </w:rPr>
        <w:t xml:space="preserve"> 林地质量及变化分析</w:t>
      </w:r>
      <w:r>
        <w:rPr>
          <w:sz w:val="24"/>
          <w:szCs w:val="24"/>
        </w:rPr>
        <w:tab/>
      </w:r>
      <w:r>
        <w:rPr>
          <w:sz w:val="24"/>
          <w:szCs w:val="24"/>
        </w:rPr>
        <w:fldChar w:fldCharType="begin"/>
      </w:r>
      <w:r>
        <w:rPr>
          <w:sz w:val="24"/>
          <w:szCs w:val="24"/>
        </w:rPr>
        <w:instrText xml:space="preserve"> PAGEREF _Toc5986 \h </w:instrText>
      </w:r>
      <w:r>
        <w:rPr>
          <w:sz w:val="24"/>
          <w:szCs w:val="24"/>
        </w:rPr>
        <w:fldChar w:fldCharType="separate"/>
      </w:r>
      <w:r>
        <w:rPr>
          <w:sz w:val="24"/>
          <w:szCs w:val="24"/>
        </w:rPr>
        <w:t>10</w:t>
      </w:r>
      <w:r>
        <w:rPr>
          <w:sz w:val="24"/>
          <w:szCs w:val="24"/>
        </w:rPr>
        <w:fldChar w:fldCharType="end"/>
      </w:r>
      <w:r>
        <w:rPr>
          <w:sz w:val="24"/>
          <w:szCs w:val="24"/>
        </w:rPr>
        <w:fldChar w:fldCharType="end"/>
      </w:r>
    </w:p>
    <w:p w14:paraId="5090A499">
      <w:pPr>
        <w:pStyle w:val="21"/>
        <w:tabs>
          <w:tab w:val="right" w:leader="dot" w:pos="9072"/>
        </w:tabs>
        <w:spacing w:line="360" w:lineRule="auto"/>
        <w:ind w:left="560"/>
        <w:rPr>
          <w:sz w:val="24"/>
          <w:szCs w:val="24"/>
        </w:rPr>
      </w:pPr>
      <w:r>
        <w:fldChar w:fldCharType="begin"/>
      </w:r>
      <w:r>
        <w:instrText xml:space="preserve"> HYPERLINK \l "_Toc21824" </w:instrText>
      </w:r>
      <w:r>
        <w:fldChar w:fldCharType="separate"/>
      </w:r>
      <w:r>
        <w:rPr>
          <w:rFonts w:hint="eastAsia" w:ascii="宋体" w:hAnsi="宋体" w:eastAsia="宋体" w:cs="宋体"/>
          <w:sz w:val="24"/>
          <w:szCs w:val="24"/>
        </w:rPr>
        <w:t>2.</w:t>
      </w:r>
      <w:r>
        <w:rPr>
          <w:rFonts w:hint="eastAsia" w:ascii="宋体" w:hAnsi="宋体" w:cs="宋体"/>
          <w:sz w:val="24"/>
          <w:szCs w:val="24"/>
        </w:rPr>
        <w:t>5</w:t>
      </w:r>
      <w:r>
        <w:rPr>
          <w:rFonts w:hint="eastAsia" w:ascii="宋体" w:hAnsi="宋体" w:eastAsia="宋体" w:cs="宋体"/>
          <w:sz w:val="24"/>
          <w:szCs w:val="24"/>
        </w:rPr>
        <w:t xml:space="preserve"> 林地结构与布局分析</w:t>
      </w:r>
      <w:r>
        <w:rPr>
          <w:sz w:val="24"/>
          <w:szCs w:val="24"/>
        </w:rPr>
        <w:tab/>
      </w:r>
      <w:r>
        <w:rPr>
          <w:sz w:val="24"/>
          <w:szCs w:val="24"/>
        </w:rPr>
        <w:fldChar w:fldCharType="begin"/>
      </w:r>
      <w:r>
        <w:rPr>
          <w:sz w:val="24"/>
          <w:szCs w:val="24"/>
        </w:rPr>
        <w:instrText xml:space="preserve"> PAGEREF _Toc21824 \h </w:instrText>
      </w:r>
      <w:r>
        <w:rPr>
          <w:sz w:val="24"/>
          <w:szCs w:val="24"/>
        </w:rPr>
        <w:fldChar w:fldCharType="separate"/>
      </w:r>
      <w:r>
        <w:rPr>
          <w:sz w:val="24"/>
          <w:szCs w:val="24"/>
        </w:rPr>
        <w:t>11</w:t>
      </w:r>
      <w:r>
        <w:rPr>
          <w:sz w:val="24"/>
          <w:szCs w:val="24"/>
        </w:rPr>
        <w:fldChar w:fldCharType="end"/>
      </w:r>
      <w:r>
        <w:rPr>
          <w:sz w:val="24"/>
          <w:szCs w:val="24"/>
        </w:rPr>
        <w:fldChar w:fldCharType="end"/>
      </w:r>
    </w:p>
    <w:p w14:paraId="58075354">
      <w:pPr>
        <w:pStyle w:val="21"/>
        <w:tabs>
          <w:tab w:val="right" w:leader="dot" w:pos="9072"/>
        </w:tabs>
        <w:spacing w:line="360" w:lineRule="auto"/>
        <w:ind w:left="560"/>
        <w:rPr>
          <w:sz w:val="24"/>
          <w:szCs w:val="24"/>
        </w:rPr>
      </w:pPr>
      <w:r>
        <w:fldChar w:fldCharType="begin"/>
      </w:r>
      <w:r>
        <w:instrText xml:space="preserve"> HYPERLINK \l "_Toc15722" </w:instrText>
      </w:r>
      <w:r>
        <w:fldChar w:fldCharType="separate"/>
      </w:r>
      <w:r>
        <w:rPr>
          <w:rFonts w:hint="eastAsia" w:ascii="宋体" w:hAnsi="宋体" w:eastAsia="宋体" w:cs="宋体"/>
          <w:sz w:val="24"/>
          <w:szCs w:val="24"/>
        </w:rPr>
        <w:t>2.</w:t>
      </w:r>
      <w:r>
        <w:rPr>
          <w:rFonts w:hint="eastAsia" w:ascii="宋体" w:hAnsi="宋体" w:cs="宋体"/>
          <w:sz w:val="24"/>
          <w:szCs w:val="24"/>
        </w:rPr>
        <w:t>6</w:t>
      </w:r>
      <w:r>
        <w:rPr>
          <w:rFonts w:hint="eastAsia" w:ascii="宋体" w:hAnsi="宋体" w:eastAsia="宋体" w:cs="宋体"/>
          <w:sz w:val="24"/>
          <w:szCs w:val="24"/>
        </w:rPr>
        <w:t xml:space="preserve"> 规划期内面临的机遇与挑战</w:t>
      </w:r>
      <w:r>
        <w:rPr>
          <w:sz w:val="24"/>
          <w:szCs w:val="24"/>
        </w:rPr>
        <w:tab/>
      </w:r>
      <w:r>
        <w:rPr>
          <w:sz w:val="24"/>
          <w:szCs w:val="24"/>
        </w:rPr>
        <w:fldChar w:fldCharType="begin"/>
      </w:r>
      <w:r>
        <w:rPr>
          <w:sz w:val="24"/>
          <w:szCs w:val="24"/>
        </w:rPr>
        <w:instrText xml:space="preserve"> PAGEREF _Toc15722 \h </w:instrText>
      </w:r>
      <w:r>
        <w:rPr>
          <w:sz w:val="24"/>
          <w:szCs w:val="24"/>
        </w:rPr>
        <w:fldChar w:fldCharType="separate"/>
      </w:r>
      <w:r>
        <w:rPr>
          <w:sz w:val="24"/>
          <w:szCs w:val="24"/>
        </w:rPr>
        <w:t>11</w:t>
      </w:r>
      <w:r>
        <w:rPr>
          <w:sz w:val="24"/>
          <w:szCs w:val="24"/>
        </w:rPr>
        <w:fldChar w:fldCharType="end"/>
      </w:r>
      <w:r>
        <w:rPr>
          <w:sz w:val="24"/>
          <w:szCs w:val="24"/>
        </w:rPr>
        <w:fldChar w:fldCharType="end"/>
      </w:r>
    </w:p>
    <w:p w14:paraId="2C149DE0">
      <w:pPr>
        <w:pStyle w:val="21"/>
        <w:tabs>
          <w:tab w:val="right" w:leader="dot" w:pos="9072"/>
        </w:tabs>
        <w:spacing w:line="360" w:lineRule="auto"/>
        <w:ind w:left="560"/>
        <w:rPr>
          <w:sz w:val="24"/>
          <w:szCs w:val="24"/>
        </w:rPr>
      </w:pPr>
      <w:r>
        <w:fldChar w:fldCharType="begin"/>
      </w:r>
      <w:r>
        <w:instrText xml:space="preserve"> HYPERLINK \l "_Toc2187" </w:instrText>
      </w:r>
      <w:r>
        <w:fldChar w:fldCharType="separate"/>
      </w:r>
      <w:r>
        <w:rPr>
          <w:rFonts w:hint="eastAsia" w:ascii="宋体" w:hAnsi="宋体" w:eastAsia="宋体" w:cs="宋体"/>
          <w:sz w:val="24"/>
          <w:szCs w:val="24"/>
        </w:rPr>
        <w:t>2.</w:t>
      </w:r>
      <w:r>
        <w:rPr>
          <w:rFonts w:hint="eastAsia" w:ascii="宋体" w:hAnsi="宋体" w:cs="宋体"/>
          <w:sz w:val="24"/>
          <w:szCs w:val="24"/>
        </w:rPr>
        <w:t>7</w:t>
      </w:r>
      <w:r>
        <w:rPr>
          <w:rFonts w:hint="eastAsia" w:ascii="宋体" w:hAnsi="宋体" w:eastAsia="宋体" w:cs="宋体"/>
          <w:sz w:val="24"/>
          <w:szCs w:val="24"/>
        </w:rPr>
        <w:t xml:space="preserve"> 与空间规划等相关规划的关系</w:t>
      </w:r>
      <w:r>
        <w:rPr>
          <w:sz w:val="24"/>
          <w:szCs w:val="24"/>
        </w:rPr>
        <w:tab/>
      </w:r>
      <w:r>
        <w:rPr>
          <w:sz w:val="24"/>
          <w:szCs w:val="24"/>
        </w:rPr>
        <w:fldChar w:fldCharType="begin"/>
      </w:r>
      <w:r>
        <w:rPr>
          <w:sz w:val="24"/>
          <w:szCs w:val="24"/>
        </w:rPr>
        <w:instrText xml:space="preserve"> PAGEREF _Toc2187 \h </w:instrText>
      </w:r>
      <w:r>
        <w:rPr>
          <w:sz w:val="24"/>
          <w:szCs w:val="24"/>
        </w:rPr>
        <w:fldChar w:fldCharType="separate"/>
      </w:r>
      <w:r>
        <w:rPr>
          <w:sz w:val="24"/>
          <w:szCs w:val="24"/>
        </w:rPr>
        <w:t>14</w:t>
      </w:r>
      <w:r>
        <w:rPr>
          <w:sz w:val="24"/>
          <w:szCs w:val="24"/>
        </w:rPr>
        <w:fldChar w:fldCharType="end"/>
      </w:r>
      <w:r>
        <w:rPr>
          <w:sz w:val="24"/>
          <w:szCs w:val="24"/>
        </w:rPr>
        <w:fldChar w:fldCharType="end"/>
      </w:r>
    </w:p>
    <w:p w14:paraId="2DF9647B">
      <w:pPr>
        <w:pStyle w:val="20"/>
        <w:tabs>
          <w:tab w:val="right" w:leader="dot" w:pos="9072"/>
        </w:tabs>
        <w:spacing w:line="360" w:lineRule="auto"/>
        <w:rPr>
          <w:b/>
          <w:bCs/>
          <w:sz w:val="24"/>
          <w:szCs w:val="24"/>
        </w:rPr>
      </w:pPr>
      <w:r>
        <w:fldChar w:fldCharType="begin"/>
      </w:r>
      <w:r>
        <w:instrText xml:space="preserve"> HYPERLINK \l "_Toc8571" </w:instrText>
      </w:r>
      <w:r>
        <w:fldChar w:fldCharType="separate"/>
      </w:r>
      <w:r>
        <w:rPr>
          <w:rFonts w:hint="eastAsia" w:ascii="宋体" w:hAnsi="宋体" w:eastAsia="宋体" w:cs="宋体"/>
          <w:b/>
          <w:bCs/>
          <w:sz w:val="24"/>
          <w:szCs w:val="24"/>
        </w:rPr>
        <w:t>第三章  指导思想与原则</w:t>
      </w:r>
      <w:r>
        <w:rPr>
          <w:b/>
          <w:bCs/>
          <w:sz w:val="24"/>
          <w:szCs w:val="24"/>
        </w:rPr>
        <w:tab/>
      </w:r>
      <w:r>
        <w:rPr>
          <w:b/>
          <w:bCs/>
          <w:sz w:val="24"/>
          <w:szCs w:val="24"/>
        </w:rPr>
        <w:fldChar w:fldCharType="begin"/>
      </w:r>
      <w:r>
        <w:rPr>
          <w:b/>
          <w:bCs/>
          <w:sz w:val="24"/>
          <w:szCs w:val="24"/>
        </w:rPr>
        <w:instrText xml:space="preserve"> PAGEREF _Toc8571 \h </w:instrText>
      </w:r>
      <w:r>
        <w:rPr>
          <w:b/>
          <w:bCs/>
          <w:sz w:val="24"/>
          <w:szCs w:val="24"/>
        </w:rPr>
        <w:fldChar w:fldCharType="separate"/>
      </w:r>
      <w:r>
        <w:rPr>
          <w:b/>
          <w:bCs/>
          <w:sz w:val="24"/>
          <w:szCs w:val="24"/>
        </w:rPr>
        <w:t>16</w:t>
      </w:r>
      <w:r>
        <w:rPr>
          <w:b/>
          <w:bCs/>
          <w:sz w:val="24"/>
          <w:szCs w:val="24"/>
        </w:rPr>
        <w:fldChar w:fldCharType="end"/>
      </w:r>
      <w:r>
        <w:rPr>
          <w:b/>
          <w:bCs/>
          <w:sz w:val="24"/>
          <w:szCs w:val="24"/>
        </w:rPr>
        <w:fldChar w:fldCharType="end"/>
      </w:r>
    </w:p>
    <w:p w14:paraId="53908ECF">
      <w:pPr>
        <w:pStyle w:val="21"/>
        <w:tabs>
          <w:tab w:val="right" w:leader="dot" w:pos="9072"/>
        </w:tabs>
        <w:spacing w:line="360" w:lineRule="auto"/>
        <w:ind w:left="560"/>
        <w:rPr>
          <w:sz w:val="24"/>
          <w:szCs w:val="24"/>
        </w:rPr>
      </w:pPr>
      <w:r>
        <w:fldChar w:fldCharType="begin"/>
      </w:r>
      <w:r>
        <w:instrText xml:space="preserve"> HYPERLINK \l "_Toc6182" </w:instrText>
      </w:r>
      <w:r>
        <w:fldChar w:fldCharType="separate"/>
      </w:r>
      <w:r>
        <w:rPr>
          <w:rFonts w:hint="eastAsia" w:ascii="宋体" w:hAnsi="宋体" w:eastAsia="宋体" w:cs="宋体"/>
          <w:sz w:val="24"/>
          <w:szCs w:val="24"/>
        </w:rPr>
        <w:t>3.1 指导思想</w:t>
      </w:r>
      <w:r>
        <w:rPr>
          <w:sz w:val="24"/>
          <w:szCs w:val="24"/>
        </w:rPr>
        <w:tab/>
      </w:r>
      <w:r>
        <w:rPr>
          <w:sz w:val="24"/>
          <w:szCs w:val="24"/>
        </w:rPr>
        <w:fldChar w:fldCharType="begin"/>
      </w:r>
      <w:r>
        <w:rPr>
          <w:sz w:val="24"/>
          <w:szCs w:val="24"/>
        </w:rPr>
        <w:instrText xml:space="preserve"> PAGEREF _Toc6182 \h </w:instrText>
      </w:r>
      <w:r>
        <w:rPr>
          <w:sz w:val="24"/>
          <w:szCs w:val="24"/>
        </w:rPr>
        <w:fldChar w:fldCharType="separate"/>
      </w:r>
      <w:r>
        <w:rPr>
          <w:sz w:val="24"/>
          <w:szCs w:val="24"/>
        </w:rPr>
        <w:t>16</w:t>
      </w:r>
      <w:r>
        <w:rPr>
          <w:sz w:val="24"/>
          <w:szCs w:val="24"/>
        </w:rPr>
        <w:fldChar w:fldCharType="end"/>
      </w:r>
      <w:r>
        <w:rPr>
          <w:sz w:val="24"/>
          <w:szCs w:val="24"/>
        </w:rPr>
        <w:fldChar w:fldCharType="end"/>
      </w:r>
    </w:p>
    <w:p w14:paraId="6BC38A04">
      <w:pPr>
        <w:pStyle w:val="21"/>
        <w:tabs>
          <w:tab w:val="right" w:leader="dot" w:pos="9072"/>
        </w:tabs>
        <w:spacing w:line="360" w:lineRule="auto"/>
        <w:ind w:left="560"/>
        <w:rPr>
          <w:sz w:val="24"/>
          <w:szCs w:val="24"/>
        </w:rPr>
      </w:pPr>
      <w:r>
        <w:fldChar w:fldCharType="begin"/>
      </w:r>
      <w:r>
        <w:instrText xml:space="preserve"> HYPERLINK \l "_Toc7778" </w:instrText>
      </w:r>
      <w:r>
        <w:fldChar w:fldCharType="separate"/>
      </w:r>
      <w:r>
        <w:rPr>
          <w:rFonts w:hint="eastAsia" w:ascii="宋体" w:hAnsi="宋体" w:eastAsia="宋体" w:cs="宋体"/>
          <w:sz w:val="24"/>
          <w:szCs w:val="24"/>
        </w:rPr>
        <w:t>3.2 基本原则</w:t>
      </w:r>
      <w:r>
        <w:rPr>
          <w:sz w:val="24"/>
          <w:szCs w:val="24"/>
        </w:rPr>
        <w:tab/>
      </w:r>
      <w:r>
        <w:rPr>
          <w:sz w:val="24"/>
          <w:szCs w:val="24"/>
        </w:rPr>
        <w:fldChar w:fldCharType="begin"/>
      </w:r>
      <w:r>
        <w:rPr>
          <w:sz w:val="24"/>
          <w:szCs w:val="24"/>
        </w:rPr>
        <w:instrText xml:space="preserve"> PAGEREF _Toc7778 \h </w:instrText>
      </w:r>
      <w:r>
        <w:rPr>
          <w:sz w:val="24"/>
          <w:szCs w:val="24"/>
        </w:rPr>
        <w:fldChar w:fldCharType="separate"/>
      </w:r>
      <w:r>
        <w:rPr>
          <w:sz w:val="24"/>
          <w:szCs w:val="24"/>
        </w:rPr>
        <w:t>16</w:t>
      </w:r>
      <w:r>
        <w:rPr>
          <w:sz w:val="24"/>
          <w:szCs w:val="24"/>
        </w:rPr>
        <w:fldChar w:fldCharType="end"/>
      </w:r>
      <w:r>
        <w:rPr>
          <w:sz w:val="24"/>
          <w:szCs w:val="24"/>
        </w:rPr>
        <w:fldChar w:fldCharType="end"/>
      </w:r>
    </w:p>
    <w:p w14:paraId="4792AE18">
      <w:pPr>
        <w:pStyle w:val="21"/>
        <w:tabs>
          <w:tab w:val="right" w:leader="dot" w:pos="9072"/>
        </w:tabs>
        <w:spacing w:line="360" w:lineRule="auto"/>
        <w:ind w:left="560"/>
        <w:rPr>
          <w:sz w:val="24"/>
          <w:szCs w:val="24"/>
        </w:rPr>
      </w:pPr>
      <w:r>
        <w:fldChar w:fldCharType="begin"/>
      </w:r>
      <w:r>
        <w:instrText xml:space="preserve"> HYPERLINK \l "_Toc232" </w:instrText>
      </w:r>
      <w:r>
        <w:fldChar w:fldCharType="separate"/>
      </w:r>
      <w:r>
        <w:rPr>
          <w:rFonts w:hint="eastAsia" w:ascii="宋体" w:hAnsi="宋体" w:eastAsia="宋体" w:cs="宋体"/>
          <w:sz w:val="24"/>
          <w:szCs w:val="24"/>
        </w:rPr>
        <w:t>3.</w:t>
      </w:r>
      <w:r>
        <w:rPr>
          <w:rFonts w:hint="eastAsia" w:ascii="宋体" w:hAnsi="宋体" w:cs="宋体"/>
          <w:sz w:val="24"/>
          <w:szCs w:val="24"/>
        </w:rPr>
        <w:t>3</w:t>
      </w:r>
      <w:r>
        <w:rPr>
          <w:rFonts w:hint="eastAsia" w:ascii="宋体" w:hAnsi="宋体" w:eastAsia="宋体" w:cs="宋体"/>
          <w:sz w:val="24"/>
          <w:szCs w:val="24"/>
        </w:rPr>
        <w:t xml:space="preserve"> 规划的主要目标及任务</w:t>
      </w:r>
      <w:r>
        <w:rPr>
          <w:sz w:val="24"/>
          <w:szCs w:val="24"/>
        </w:rPr>
        <w:tab/>
      </w:r>
      <w:r>
        <w:rPr>
          <w:sz w:val="24"/>
          <w:szCs w:val="24"/>
        </w:rPr>
        <w:fldChar w:fldCharType="begin"/>
      </w:r>
      <w:r>
        <w:rPr>
          <w:sz w:val="24"/>
          <w:szCs w:val="24"/>
        </w:rPr>
        <w:instrText xml:space="preserve"> PAGEREF _Toc232 \h </w:instrText>
      </w:r>
      <w:r>
        <w:rPr>
          <w:sz w:val="24"/>
          <w:szCs w:val="24"/>
        </w:rPr>
        <w:fldChar w:fldCharType="separate"/>
      </w:r>
      <w:r>
        <w:rPr>
          <w:sz w:val="24"/>
          <w:szCs w:val="24"/>
        </w:rPr>
        <w:t>17</w:t>
      </w:r>
      <w:r>
        <w:rPr>
          <w:sz w:val="24"/>
          <w:szCs w:val="24"/>
        </w:rPr>
        <w:fldChar w:fldCharType="end"/>
      </w:r>
      <w:r>
        <w:rPr>
          <w:sz w:val="24"/>
          <w:szCs w:val="24"/>
        </w:rPr>
        <w:fldChar w:fldCharType="end"/>
      </w:r>
    </w:p>
    <w:p w14:paraId="612DA542">
      <w:pPr>
        <w:pStyle w:val="20"/>
        <w:tabs>
          <w:tab w:val="right" w:leader="dot" w:pos="9072"/>
        </w:tabs>
        <w:spacing w:line="360" w:lineRule="auto"/>
        <w:rPr>
          <w:b/>
          <w:bCs/>
          <w:sz w:val="24"/>
          <w:szCs w:val="24"/>
        </w:rPr>
      </w:pPr>
      <w:r>
        <w:fldChar w:fldCharType="begin"/>
      </w:r>
      <w:r>
        <w:instrText xml:space="preserve"> HYPERLINK \l "_Toc7637" </w:instrText>
      </w:r>
      <w:r>
        <w:fldChar w:fldCharType="separate"/>
      </w:r>
      <w:r>
        <w:rPr>
          <w:rFonts w:hint="eastAsia" w:ascii="宋体" w:hAnsi="宋体" w:eastAsia="宋体" w:cs="宋体"/>
          <w:b/>
          <w:bCs/>
          <w:sz w:val="24"/>
          <w:szCs w:val="24"/>
        </w:rPr>
        <w:t>第四章 林地保护利用总体格局</w:t>
      </w:r>
      <w:r>
        <w:rPr>
          <w:b/>
          <w:bCs/>
          <w:sz w:val="24"/>
          <w:szCs w:val="24"/>
        </w:rPr>
        <w:tab/>
      </w:r>
      <w:r>
        <w:rPr>
          <w:b/>
          <w:bCs/>
          <w:sz w:val="24"/>
          <w:szCs w:val="24"/>
        </w:rPr>
        <w:fldChar w:fldCharType="begin"/>
      </w:r>
      <w:r>
        <w:rPr>
          <w:b/>
          <w:bCs/>
          <w:sz w:val="24"/>
          <w:szCs w:val="24"/>
        </w:rPr>
        <w:instrText xml:space="preserve"> PAGEREF _Toc7637 \h </w:instrText>
      </w:r>
      <w:r>
        <w:rPr>
          <w:b/>
          <w:bCs/>
          <w:sz w:val="24"/>
          <w:szCs w:val="24"/>
        </w:rPr>
        <w:fldChar w:fldCharType="separate"/>
      </w:r>
      <w:r>
        <w:rPr>
          <w:b/>
          <w:bCs/>
          <w:sz w:val="24"/>
          <w:szCs w:val="24"/>
        </w:rPr>
        <w:t>20</w:t>
      </w:r>
      <w:r>
        <w:rPr>
          <w:b/>
          <w:bCs/>
          <w:sz w:val="24"/>
          <w:szCs w:val="24"/>
        </w:rPr>
        <w:fldChar w:fldCharType="end"/>
      </w:r>
      <w:r>
        <w:rPr>
          <w:b/>
          <w:bCs/>
          <w:sz w:val="24"/>
          <w:szCs w:val="24"/>
        </w:rPr>
        <w:fldChar w:fldCharType="end"/>
      </w:r>
    </w:p>
    <w:p w14:paraId="2F29CD50">
      <w:pPr>
        <w:pStyle w:val="21"/>
        <w:tabs>
          <w:tab w:val="right" w:leader="dot" w:pos="9072"/>
        </w:tabs>
        <w:spacing w:line="360" w:lineRule="auto"/>
        <w:ind w:left="560"/>
        <w:rPr>
          <w:sz w:val="24"/>
          <w:szCs w:val="24"/>
        </w:rPr>
      </w:pPr>
      <w:r>
        <w:fldChar w:fldCharType="begin"/>
      </w:r>
      <w:r>
        <w:instrText xml:space="preserve"> HYPERLINK \l "_Toc19714" </w:instrText>
      </w:r>
      <w:r>
        <w:fldChar w:fldCharType="separate"/>
      </w:r>
      <w:r>
        <w:rPr>
          <w:rFonts w:hint="eastAsia" w:ascii="宋体" w:hAnsi="宋体" w:eastAsia="宋体" w:cs="宋体"/>
          <w:sz w:val="24"/>
          <w:szCs w:val="24"/>
        </w:rPr>
        <w:t>4.1</w:t>
      </w:r>
      <w:r>
        <w:rPr>
          <w:rFonts w:hint="eastAsia" w:ascii="宋体" w:hAnsi="宋体" w:eastAsia="宋体" w:cs="宋体"/>
          <w:sz w:val="24"/>
          <w:szCs w:val="24"/>
          <w:lang w:val="zh-CN"/>
        </w:rPr>
        <w:t>国土空间规划</w:t>
      </w:r>
      <w:r>
        <w:rPr>
          <w:rFonts w:hint="eastAsia" w:ascii="宋体" w:hAnsi="宋体" w:eastAsia="宋体" w:cs="宋体"/>
          <w:sz w:val="24"/>
          <w:szCs w:val="24"/>
        </w:rPr>
        <w:t>主体功能分区</w:t>
      </w:r>
      <w:r>
        <w:rPr>
          <w:sz w:val="24"/>
          <w:szCs w:val="24"/>
        </w:rPr>
        <w:tab/>
      </w:r>
      <w:r>
        <w:rPr>
          <w:sz w:val="24"/>
          <w:szCs w:val="24"/>
        </w:rPr>
        <w:fldChar w:fldCharType="begin"/>
      </w:r>
      <w:r>
        <w:rPr>
          <w:sz w:val="24"/>
          <w:szCs w:val="24"/>
        </w:rPr>
        <w:instrText xml:space="preserve"> PAGEREF _Toc19714 \h </w:instrText>
      </w:r>
      <w:r>
        <w:rPr>
          <w:sz w:val="24"/>
          <w:szCs w:val="24"/>
        </w:rPr>
        <w:fldChar w:fldCharType="separate"/>
      </w:r>
      <w:r>
        <w:rPr>
          <w:sz w:val="24"/>
          <w:szCs w:val="24"/>
        </w:rPr>
        <w:t>20</w:t>
      </w:r>
      <w:r>
        <w:rPr>
          <w:sz w:val="24"/>
          <w:szCs w:val="24"/>
        </w:rPr>
        <w:fldChar w:fldCharType="end"/>
      </w:r>
      <w:r>
        <w:rPr>
          <w:sz w:val="24"/>
          <w:szCs w:val="24"/>
        </w:rPr>
        <w:fldChar w:fldCharType="end"/>
      </w:r>
    </w:p>
    <w:p w14:paraId="71B644F6">
      <w:pPr>
        <w:pStyle w:val="21"/>
        <w:tabs>
          <w:tab w:val="right" w:leader="dot" w:pos="9072"/>
        </w:tabs>
        <w:spacing w:line="360" w:lineRule="auto"/>
        <w:ind w:left="560"/>
        <w:rPr>
          <w:sz w:val="24"/>
          <w:szCs w:val="24"/>
        </w:rPr>
      </w:pPr>
      <w:r>
        <w:fldChar w:fldCharType="begin"/>
      </w:r>
      <w:r>
        <w:instrText xml:space="preserve"> HYPERLINK \l "_Toc29516" </w:instrText>
      </w:r>
      <w:r>
        <w:fldChar w:fldCharType="separate"/>
      </w:r>
      <w:r>
        <w:rPr>
          <w:rFonts w:hint="eastAsia" w:ascii="宋体" w:hAnsi="宋体" w:eastAsia="宋体" w:cs="宋体"/>
          <w:sz w:val="24"/>
          <w:szCs w:val="24"/>
        </w:rPr>
        <w:t>4.2林地功能分区</w:t>
      </w:r>
      <w:r>
        <w:rPr>
          <w:sz w:val="24"/>
          <w:szCs w:val="24"/>
        </w:rPr>
        <w:tab/>
      </w:r>
      <w:r>
        <w:rPr>
          <w:sz w:val="24"/>
          <w:szCs w:val="24"/>
        </w:rPr>
        <w:fldChar w:fldCharType="begin"/>
      </w:r>
      <w:r>
        <w:rPr>
          <w:sz w:val="24"/>
          <w:szCs w:val="24"/>
        </w:rPr>
        <w:instrText xml:space="preserve"> PAGEREF _Toc29516 \h </w:instrText>
      </w:r>
      <w:r>
        <w:rPr>
          <w:sz w:val="24"/>
          <w:szCs w:val="24"/>
        </w:rPr>
        <w:fldChar w:fldCharType="separate"/>
      </w:r>
      <w:r>
        <w:rPr>
          <w:sz w:val="24"/>
          <w:szCs w:val="24"/>
        </w:rPr>
        <w:t>22</w:t>
      </w:r>
      <w:r>
        <w:rPr>
          <w:sz w:val="24"/>
          <w:szCs w:val="24"/>
        </w:rPr>
        <w:fldChar w:fldCharType="end"/>
      </w:r>
      <w:r>
        <w:rPr>
          <w:sz w:val="24"/>
          <w:szCs w:val="24"/>
        </w:rPr>
        <w:fldChar w:fldCharType="end"/>
      </w:r>
    </w:p>
    <w:p w14:paraId="78807578">
      <w:pPr>
        <w:pStyle w:val="20"/>
        <w:tabs>
          <w:tab w:val="right" w:leader="dot" w:pos="9072"/>
        </w:tabs>
        <w:spacing w:line="360" w:lineRule="auto"/>
        <w:rPr>
          <w:b/>
          <w:bCs/>
          <w:sz w:val="24"/>
          <w:szCs w:val="24"/>
        </w:rPr>
      </w:pPr>
      <w:r>
        <w:fldChar w:fldCharType="begin"/>
      </w:r>
      <w:r>
        <w:instrText xml:space="preserve"> HYPERLINK \l "_Toc21489" </w:instrText>
      </w:r>
      <w:r>
        <w:fldChar w:fldCharType="separate"/>
      </w:r>
      <w:r>
        <w:rPr>
          <w:rFonts w:hint="eastAsia" w:ascii="宋体" w:hAnsi="宋体" w:eastAsia="宋体" w:cs="宋体"/>
          <w:b/>
          <w:bCs/>
          <w:sz w:val="24"/>
          <w:szCs w:val="24"/>
        </w:rPr>
        <w:t>第五章 全面保护林地</w:t>
      </w:r>
      <w:r>
        <w:rPr>
          <w:b/>
          <w:bCs/>
          <w:sz w:val="24"/>
          <w:szCs w:val="24"/>
        </w:rPr>
        <w:tab/>
      </w:r>
      <w:r>
        <w:rPr>
          <w:b/>
          <w:bCs/>
          <w:sz w:val="24"/>
          <w:szCs w:val="24"/>
        </w:rPr>
        <w:fldChar w:fldCharType="begin"/>
      </w:r>
      <w:r>
        <w:rPr>
          <w:b/>
          <w:bCs/>
          <w:sz w:val="24"/>
          <w:szCs w:val="24"/>
        </w:rPr>
        <w:instrText xml:space="preserve"> PAGEREF _Toc21489 \h </w:instrText>
      </w:r>
      <w:r>
        <w:rPr>
          <w:b/>
          <w:bCs/>
          <w:sz w:val="24"/>
          <w:szCs w:val="24"/>
        </w:rPr>
        <w:fldChar w:fldCharType="separate"/>
      </w:r>
      <w:r>
        <w:rPr>
          <w:b/>
          <w:bCs/>
          <w:sz w:val="24"/>
          <w:szCs w:val="24"/>
        </w:rPr>
        <w:t>26</w:t>
      </w:r>
      <w:r>
        <w:rPr>
          <w:b/>
          <w:bCs/>
          <w:sz w:val="24"/>
          <w:szCs w:val="24"/>
        </w:rPr>
        <w:fldChar w:fldCharType="end"/>
      </w:r>
      <w:r>
        <w:rPr>
          <w:b/>
          <w:bCs/>
          <w:sz w:val="24"/>
          <w:szCs w:val="24"/>
        </w:rPr>
        <w:fldChar w:fldCharType="end"/>
      </w:r>
    </w:p>
    <w:p w14:paraId="73277035">
      <w:pPr>
        <w:pStyle w:val="21"/>
        <w:tabs>
          <w:tab w:val="right" w:leader="dot" w:pos="9072"/>
        </w:tabs>
        <w:spacing w:line="360" w:lineRule="auto"/>
        <w:ind w:left="560"/>
        <w:rPr>
          <w:sz w:val="24"/>
          <w:szCs w:val="24"/>
        </w:rPr>
      </w:pPr>
      <w:r>
        <w:fldChar w:fldCharType="begin"/>
      </w:r>
      <w:r>
        <w:instrText xml:space="preserve"> HYPERLINK \l "_Toc10921" </w:instrText>
      </w:r>
      <w:r>
        <w:fldChar w:fldCharType="separate"/>
      </w:r>
      <w:r>
        <w:rPr>
          <w:rFonts w:hint="eastAsia" w:ascii="宋体" w:hAnsi="宋体" w:eastAsia="宋体" w:cs="宋体"/>
          <w:sz w:val="24"/>
          <w:szCs w:val="24"/>
        </w:rPr>
        <w:t>5.1 严格林地用途管制</w:t>
      </w:r>
      <w:r>
        <w:rPr>
          <w:sz w:val="24"/>
          <w:szCs w:val="24"/>
        </w:rPr>
        <w:tab/>
      </w:r>
      <w:r>
        <w:rPr>
          <w:sz w:val="24"/>
          <w:szCs w:val="24"/>
        </w:rPr>
        <w:fldChar w:fldCharType="begin"/>
      </w:r>
      <w:r>
        <w:rPr>
          <w:sz w:val="24"/>
          <w:szCs w:val="24"/>
        </w:rPr>
        <w:instrText xml:space="preserve"> PAGEREF _Toc10921 \h </w:instrText>
      </w:r>
      <w:r>
        <w:rPr>
          <w:sz w:val="24"/>
          <w:szCs w:val="24"/>
        </w:rPr>
        <w:fldChar w:fldCharType="separate"/>
      </w:r>
      <w:r>
        <w:rPr>
          <w:sz w:val="24"/>
          <w:szCs w:val="24"/>
        </w:rPr>
        <w:t>26</w:t>
      </w:r>
      <w:r>
        <w:rPr>
          <w:sz w:val="24"/>
          <w:szCs w:val="24"/>
        </w:rPr>
        <w:fldChar w:fldCharType="end"/>
      </w:r>
      <w:r>
        <w:rPr>
          <w:sz w:val="24"/>
          <w:szCs w:val="24"/>
        </w:rPr>
        <w:fldChar w:fldCharType="end"/>
      </w:r>
    </w:p>
    <w:p w14:paraId="4B088595">
      <w:pPr>
        <w:pStyle w:val="21"/>
        <w:tabs>
          <w:tab w:val="right" w:leader="dot" w:pos="9072"/>
        </w:tabs>
        <w:spacing w:line="360" w:lineRule="auto"/>
        <w:ind w:left="560"/>
        <w:rPr>
          <w:sz w:val="24"/>
          <w:szCs w:val="24"/>
        </w:rPr>
      </w:pPr>
      <w:r>
        <w:fldChar w:fldCharType="begin"/>
      </w:r>
      <w:r>
        <w:instrText xml:space="preserve"> HYPERLINK \l "_Toc8956" </w:instrText>
      </w:r>
      <w:r>
        <w:fldChar w:fldCharType="separate"/>
      </w:r>
      <w:r>
        <w:rPr>
          <w:rFonts w:hint="eastAsia" w:ascii="宋体" w:hAnsi="宋体" w:eastAsia="宋体" w:cs="宋体"/>
          <w:sz w:val="24"/>
          <w:szCs w:val="24"/>
        </w:rPr>
        <w:t>5.2 实行分级管理</w:t>
      </w:r>
      <w:r>
        <w:rPr>
          <w:sz w:val="24"/>
          <w:szCs w:val="24"/>
        </w:rPr>
        <w:tab/>
      </w:r>
      <w:r>
        <w:rPr>
          <w:sz w:val="24"/>
          <w:szCs w:val="24"/>
        </w:rPr>
        <w:fldChar w:fldCharType="begin"/>
      </w:r>
      <w:r>
        <w:rPr>
          <w:sz w:val="24"/>
          <w:szCs w:val="24"/>
        </w:rPr>
        <w:instrText xml:space="preserve"> PAGEREF _Toc8956 \h </w:instrText>
      </w:r>
      <w:r>
        <w:rPr>
          <w:sz w:val="24"/>
          <w:szCs w:val="24"/>
        </w:rPr>
        <w:fldChar w:fldCharType="separate"/>
      </w:r>
      <w:r>
        <w:rPr>
          <w:sz w:val="24"/>
          <w:szCs w:val="24"/>
        </w:rPr>
        <w:t>28</w:t>
      </w:r>
      <w:r>
        <w:rPr>
          <w:sz w:val="24"/>
          <w:szCs w:val="24"/>
        </w:rPr>
        <w:fldChar w:fldCharType="end"/>
      </w:r>
      <w:r>
        <w:rPr>
          <w:sz w:val="24"/>
          <w:szCs w:val="24"/>
        </w:rPr>
        <w:fldChar w:fldCharType="end"/>
      </w:r>
    </w:p>
    <w:p w14:paraId="20F9875D">
      <w:pPr>
        <w:pStyle w:val="21"/>
        <w:tabs>
          <w:tab w:val="right" w:leader="dot" w:pos="9072"/>
        </w:tabs>
        <w:spacing w:line="360" w:lineRule="auto"/>
        <w:ind w:left="560"/>
        <w:rPr>
          <w:sz w:val="24"/>
          <w:szCs w:val="24"/>
        </w:rPr>
      </w:pPr>
      <w:r>
        <w:fldChar w:fldCharType="begin"/>
      </w:r>
      <w:r>
        <w:instrText xml:space="preserve"> HYPERLINK \l "_Toc20801" </w:instrText>
      </w:r>
      <w:r>
        <w:fldChar w:fldCharType="separate"/>
      </w:r>
      <w:r>
        <w:rPr>
          <w:rFonts w:hint="eastAsia" w:ascii="宋体" w:hAnsi="宋体" w:eastAsia="宋体" w:cs="宋体"/>
          <w:sz w:val="24"/>
          <w:szCs w:val="24"/>
        </w:rPr>
        <w:t>5.3 严格控制林地总量</w:t>
      </w:r>
      <w:r>
        <w:rPr>
          <w:sz w:val="24"/>
          <w:szCs w:val="24"/>
        </w:rPr>
        <w:tab/>
      </w:r>
      <w:r>
        <w:rPr>
          <w:sz w:val="24"/>
          <w:szCs w:val="24"/>
        </w:rPr>
        <w:fldChar w:fldCharType="begin"/>
      </w:r>
      <w:r>
        <w:rPr>
          <w:sz w:val="24"/>
          <w:szCs w:val="24"/>
        </w:rPr>
        <w:instrText xml:space="preserve"> PAGEREF _Toc20801 \h </w:instrText>
      </w:r>
      <w:r>
        <w:rPr>
          <w:sz w:val="24"/>
          <w:szCs w:val="24"/>
        </w:rPr>
        <w:fldChar w:fldCharType="separate"/>
      </w:r>
      <w:r>
        <w:rPr>
          <w:sz w:val="24"/>
          <w:szCs w:val="24"/>
        </w:rPr>
        <w:t>30</w:t>
      </w:r>
      <w:r>
        <w:rPr>
          <w:sz w:val="24"/>
          <w:szCs w:val="24"/>
        </w:rPr>
        <w:fldChar w:fldCharType="end"/>
      </w:r>
      <w:r>
        <w:rPr>
          <w:sz w:val="24"/>
          <w:szCs w:val="24"/>
        </w:rPr>
        <w:fldChar w:fldCharType="end"/>
      </w:r>
    </w:p>
    <w:p w14:paraId="1FCAB349">
      <w:pPr>
        <w:pStyle w:val="21"/>
        <w:tabs>
          <w:tab w:val="right" w:leader="dot" w:pos="9072"/>
        </w:tabs>
        <w:spacing w:line="360" w:lineRule="auto"/>
        <w:ind w:left="560"/>
        <w:rPr>
          <w:sz w:val="24"/>
          <w:szCs w:val="24"/>
        </w:rPr>
      </w:pPr>
      <w:r>
        <w:fldChar w:fldCharType="begin"/>
      </w:r>
      <w:r>
        <w:instrText xml:space="preserve"> HYPERLINK \l "_Toc6824" </w:instrText>
      </w:r>
      <w:r>
        <w:fldChar w:fldCharType="separate"/>
      </w:r>
      <w:r>
        <w:rPr>
          <w:rFonts w:hint="eastAsia" w:ascii="宋体" w:hAnsi="宋体" w:eastAsia="宋体" w:cs="宋体"/>
          <w:sz w:val="24"/>
          <w:szCs w:val="24"/>
        </w:rPr>
        <w:t>5.4 加强自然保护地管理</w:t>
      </w:r>
      <w:r>
        <w:rPr>
          <w:sz w:val="24"/>
          <w:szCs w:val="24"/>
        </w:rPr>
        <w:tab/>
      </w:r>
      <w:r>
        <w:rPr>
          <w:sz w:val="24"/>
          <w:szCs w:val="24"/>
        </w:rPr>
        <w:fldChar w:fldCharType="begin"/>
      </w:r>
      <w:r>
        <w:rPr>
          <w:sz w:val="24"/>
          <w:szCs w:val="24"/>
        </w:rPr>
        <w:instrText xml:space="preserve"> PAGEREF _Toc6824 \h </w:instrText>
      </w:r>
      <w:r>
        <w:rPr>
          <w:sz w:val="24"/>
          <w:szCs w:val="24"/>
        </w:rPr>
        <w:fldChar w:fldCharType="separate"/>
      </w:r>
      <w:r>
        <w:rPr>
          <w:sz w:val="24"/>
          <w:szCs w:val="24"/>
        </w:rPr>
        <w:t>31</w:t>
      </w:r>
      <w:r>
        <w:rPr>
          <w:sz w:val="24"/>
          <w:szCs w:val="24"/>
        </w:rPr>
        <w:fldChar w:fldCharType="end"/>
      </w:r>
      <w:r>
        <w:rPr>
          <w:sz w:val="24"/>
          <w:szCs w:val="24"/>
        </w:rPr>
        <w:fldChar w:fldCharType="end"/>
      </w:r>
    </w:p>
    <w:p w14:paraId="3E4CA959">
      <w:pPr>
        <w:pStyle w:val="21"/>
        <w:tabs>
          <w:tab w:val="right" w:leader="dot" w:pos="9072"/>
        </w:tabs>
        <w:spacing w:line="360" w:lineRule="auto"/>
        <w:ind w:left="560"/>
        <w:rPr>
          <w:sz w:val="24"/>
          <w:szCs w:val="24"/>
        </w:rPr>
      </w:pPr>
      <w:r>
        <w:fldChar w:fldCharType="begin"/>
      </w:r>
      <w:r>
        <w:instrText xml:space="preserve"> HYPERLINK \l "_Toc13310" </w:instrText>
      </w:r>
      <w:r>
        <w:fldChar w:fldCharType="separate"/>
      </w:r>
      <w:r>
        <w:rPr>
          <w:rFonts w:hint="eastAsia" w:ascii="宋体" w:hAnsi="宋体" w:eastAsia="宋体" w:cs="宋体"/>
          <w:sz w:val="24"/>
          <w:szCs w:val="24"/>
        </w:rPr>
        <w:t>5.5 加强天然林地保护</w:t>
      </w:r>
      <w:r>
        <w:rPr>
          <w:sz w:val="24"/>
          <w:szCs w:val="24"/>
        </w:rPr>
        <w:tab/>
      </w:r>
      <w:r>
        <w:rPr>
          <w:sz w:val="24"/>
          <w:szCs w:val="24"/>
        </w:rPr>
        <w:fldChar w:fldCharType="begin"/>
      </w:r>
      <w:r>
        <w:rPr>
          <w:sz w:val="24"/>
          <w:szCs w:val="24"/>
        </w:rPr>
        <w:instrText xml:space="preserve"> PAGEREF _Toc13310 \h </w:instrText>
      </w:r>
      <w:r>
        <w:rPr>
          <w:sz w:val="24"/>
          <w:szCs w:val="24"/>
        </w:rPr>
        <w:fldChar w:fldCharType="separate"/>
      </w:r>
      <w:r>
        <w:rPr>
          <w:sz w:val="24"/>
          <w:szCs w:val="24"/>
        </w:rPr>
        <w:t>32</w:t>
      </w:r>
      <w:r>
        <w:rPr>
          <w:sz w:val="24"/>
          <w:szCs w:val="24"/>
        </w:rPr>
        <w:fldChar w:fldCharType="end"/>
      </w:r>
      <w:r>
        <w:rPr>
          <w:sz w:val="24"/>
          <w:szCs w:val="24"/>
        </w:rPr>
        <w:fldChar w:fldCharType="end"/>
      </w:r>
    </w:p>
    <w:p w14:paraId="1E098D28">
      <w:pPr>
        <w:pStyle w:val="21"/>
        <w:tabs>
          <w:tab w:val="right" w:leader="dot" w:pos="9072"/>
        </w:tabs>
        <w:spacing w:line="360" w:lineRule="auto"/>
        <w:ind w:left="560"/>
        <w:rPr>
          <w:sz w:val="24"/>
          <w:szCs w:val="24"/>
        </w:rPr>
      </w:pPr>
      <w:r>
        <w:fldChar w:fldCharType="begin"/>
      </w:r>
      <w:r>
        <w:instrText xml:space="preserve"> HYPERLINK \l "_Toc28874" </w:instrText>
      </w:r>
      <w:r>
        <w:fldChar w:fldCharType="separate"/>
      </w:r>
      <w:r>
        <w:rPr>
          <w:rFonts w:hint="eastAsia" w:ascii="宋体" w:hAnsi="宋体" w:eastAsia="宋体" w:cs="宋体"/>
          <w:sz w:val="24"/>
          <w:szCs w:val="24"/>
        </w:rPr>
        <w:t>5.6 实施公益林优化保护</w:t>
      </w:r>
      <w:r>
        <w:rPr>
          <w:sz w:val="24"/>
          <w:szCs w:val="24"/>
        </w:rPr>
        <w:tab/>
      </w:r>
      <w:r>
        <w:rPr>
          <w:sz w:val="24"/>
          <w:szCs w:val="24"/>
        </w:rPr>
        <w:fldChar w:fldCharType="begin"/>
      </w:r>
      <w:r>
        <w:rPr>
          <w:sz w:val="24"/>
          <w:szCs w:val="24"/>
        </w:rPr>
        <w:instrText xml:space="preserve"> PAGEREF _Toc28874 \h </w:instrText>
      </w:r>
      <w:r>
        <w:rPr>
          <w:sz w:val="24"/>
          <w:szCs w:val="24"/>
        </w:rPr>
        <w:fldChar w:fldCharType="separate"/>
      </w:r>
      <w:r>
        <w:rPr>
          <w:sz w:val="24"/>
          <w:szCs w:val="24"/>
        </w:rPr>
        <w:t>33</w:t>
      </w:r>
      <w:r>
        <w:rPr>
          <w:sz w:val="24"/>
          <w:szCs w:val="24"/>
        </w:rPr>
        <w:fldChar w:fldCharType="end"/>
      </w:r>
      <w:r>
        <w:rPr>
          <w:sz w:val="24"/>
          <w:szCs w:val="24"/>
        </w:rPr>
        <w:fldChar w:fldCharType="end"/>
      </w:r>
    </w:p>
    <w:p w14:paraId="6F78F87E">
      <w:pPr>
        <w:pStyle w:val="20"/>
        <w:tabs>
          <w:tab w:val="right" w:leader="dot" w:pos="9072"/>
        </w:tabs>
        <w:spacing w:line="360" w:lineRule="auto"/>
        <w:rPr>
          <w:b/>
          <w:bCs/>
          <w:sz w:val="24"/>
          <w:szCs w:val="24"/>
        </w:rPr>
      </w:pPr>
      <w:r>
        <w:fldChar w:fldCharType="begin"/>
      </w:r>
      <w:r>
        <w:instrText xml:space="preserve"> HYPERLINK \l "_Toc9134" </w:instrText>
      </w:r>
      <w:r>
        <w:fldChar w:fldCharType="separate"/>
      </w:r>
      <w:r>
        <w:rPr>
          <w:rFonts w:hint="eastAsia" w:ascii="宋体" w:hAnsi="宋体" w:eastAsia="宋体" w:cs="宋体"/>
          <w:b/>
          <w:bCs/>
          <w:sz w:val="24"/>
          <w:szCs w:val="24"/>
        </w:rPr>
        <w:t>第六章 合理利用林地</w:t>
      </w:r>
      <w:r>
        <w:rPr>
          <w:b/>
          <w:bCs/>
          <w:sz w:val="24"/>
          <w:szCs w:val="24"/>
        </w:rPr>
        <w:tab/>
      </w:r>
      <w:r>
        <w:rPr>
          <w:b/>
          <w:bCs/>
          <w:sz w:val="24"/>
          <w:szCs w:val="24"/>
        </w:rPr>
        <w:fldChar w:fldCharType="begin"/>
      </w:r>
      <w:r>
        <w:rPr>
          <w:b/>
          <w:bCs/>
          <w:sz w:val="24"/>
          <w:szCs w:val="24"/>
        </w:rPr>
        <w:instrText xml:space="preserve"> PAGEREF _Toc9134 \h </w:instrText>
      </w:r>
      <w:r>
        <w:rPr>
          <w:b/>
          <w:bCs/>
          <w:sz w:val="24"/>
          <w:szCs w:val="24"/>
        </w:rPr>
        <w:fldChar w:fldCharType="separate"/>
      </w:r>
      <w:r>
        <w:rPr>
          <w:b/>
          <w:bCs/>
          <w:sz w:val="24"/>
          <w:szCs w:val="24"/>
        </w:rPr>
        <w:t>36</w:t>
      </w:r>
      <w:r>
        <w:rPr>
          <w:b/>
          <w:bCs/>
          <w:sz w:val="24"/>
          <w:szCs w:val="24"/>
        </w:rPr>
        <w:fldChar w:fldCharType="end"/>
      </w:r>
      <w:r>
        <w:rPr>
          <w:b/>
          <w:bCs/>
          <w:sz w:val="24"/>
          <w:szCs w:val="24"/>
        </w:rPr>
        <w:fldChar w:fldCharType="end"/>
      </w:r>
    </w:p>
    <w:p w14:paraId="0EE1E620">
      <w:pPr>
        <w:pStyle w:val="21"/>
        <w:tabs>
          <w:tab w:val="right" w:leader="dot" w:pos="9072"/>
        </w:tabs>
        <w:spacing w:line="360" w:lineRule="auto"/>
        <w:ind w:left="560"/>
        <w:rPr>
          <w:sz w:val="24"/>
          <w:szCs w:val="24"/>
        </w:rPr>
      </w:pPr>
      <w:r>
        <w:fldChar w:fldCharType="begin"/>
      </w:r>
      <w:r>
        <w:instrText xml:space="preserve"> HYPERLINK \l "_Toc1050" </w:instrText>
      </w:r>
      <w:r>
        <w:fldChar w:fldCharType="separate"/>
      </w:r>
      <w:r>
        <w:rPr>
          <w:rFonts w:hint="eastAsia" w:ascii="宋体" w:hAnsi="宋体" w:eastAsia="宋体" w:cs="宋体"/>
          <w:sz w:val="24"/>
          <w:szCs w:val="24"/>
        </w:rPr>
        <w:t>6.1 保障重点项目使用林地</w:t>
      </w:r>
      <w:r>
        <w:rPr>
          <w:sz w:val="24"/>
          <w:szCs w:val="24"/>
        </w:rPr>
        <w:tab/>
      </w:r>
      <w:r>
        <w:rPr>
          <w:sz w:val="24"/>
          <w:szCs w:val="24"/>
        </w:rPr>
        <w:fldChar w:fldCharType="begin"/>
      </w:r>
      <w:r>
        <w:rPr>
          <w:sz w:val="24"/>
          <w:szCs w:val="24"/>
        </w:rPr>
        <w:instrText xml:space="preserve"> PAGEREF _Toc1050 \h </w:instrText>
      </w:r>
      <w:r>
        <w:rPr>
          <w:sz w:val="24"/>
          <w:szCs w:val="24"/>
        </w:rPr>
        <w:fldChar w:fldCharType="separate"/>
      </w:r>
      <w:r>
        <w:rPr>
          <w:sz w:val="24"/>
          <w:szCs w:val="24"/>
        </w:rPr>
        <w:t>36</w:t>
      </w:r>
      <w:r>
        <w:rPr>
          <w:sz w:val="24"/>
          <w:szCs w:val="24"/>
        </w:rPr>
        <w:fldChar w:fldCharType="end"/>
      </w:r>
      <w:r>
        <w:rPr>
          <w:sz w:val="24"/>
          <w:szCs w:val="24"/>
        </w:rPr>
        <w:fldChar w:fldCharType="end"/>
      </w:r>
    </w:p>
    <w:p w14:paraId="0B45FFEB">
      <w:pPr>
        <w:pStyle w:val="21"/>
        <w:tabs>
          <w:tab w:val="right" w:leader="dot" w:pos="9072"/>
        </w:tabs>
        <w:spacing w:line="360" w:lineRule="auto"/>
        <w:ind w:left="560"/>
        <w:rPr>
          <w:sz w:val="24"/>
          <w:szCs w:val="24"/>
        </w:rPr>
      </w:pPr>
      <w:r>
        <w:fldChar w:fldCharType="begin"/>
      </w:r>
      <w:r>
        <w:instrText xml:space="preserve"> HYPERLINK \l "_Toc6337" </w:instrText>
      </w:r>
      <w:r>
        <w:fldChar w:fldCharType="separate"/>
      </w:r>
      <w:r>
        <w:rPr>
          <w:rFonts w:hint="eastAsia" w:ascii="宋体" w:hAnsi="宋体" w:eastAsia="宋体" w:cs="宋体"/>
          <w:sz w:val="24"/>
          <w:szCs w:val="24"/>
        </w:rPr>
        <w:t>6.2 引导集约节约使用林地</w:t>
      </w:r>
      <w:r>
        <w:rPr>
          <w:sz w:val="24"/>
          <w:szCs w:val="24"/>
        </w:rPr>
        <w:tab/>
      </w:r>
      <w:r>
        <w:rPr>
          <w:sz w:val="24"/>
          <w:szCs w:val="24"/>
        </w:rPr>
        <w:fldChar w:fldCharType="begin"/>
      </w:r>
      <w:r>
        <w:rPr>
          <w:sz w:val="24"/>
          <w:szCs w:val="24"/>
        </w:rPr>
        <w:instrText xml:space="preserve"> PAGEREF _Toc6337 \h </w:instrText>
      </w:r>
      <w:r>
        <w:rPr>
          <w:sz w:val="24"/>
          <w:szCs w:val="24"/>
        </w:rPr>
        <w:fldChar w:fldCharType="separate"/>
      </w:r>
      <w:r>
        <w:rPr>
          <w:sz w:val="24"/>
          <w:szCs w:val="24"/>
        </w:rPr>
        <w:t>38</w:t>
      </w:r>
      <w:r>
        <w:rPr>
          <w:sz w:val="24"/>
          <w:szCs w:val="24"/>
        </w:rPr>
        <w:fldChar w:fldCharType="end"/>
      </w:r>
      <w:r>
        <w:rPr>
          <w:sz w:val="24"/>
          <w:szCs w:val="24"/>
        </w:rPr>
        <w:fldChar w:fldCharType="end"/>
      </w:r>
    </w:p>
    <w:p w14:paraId="177786E2">
      <w:pPr>
        <w:pStyle w:val="21"/>
        <w:tabs>
          <w:tab w:val="right" w:leader="dot" w:pos="9072"/>
        </w:tabs>
        <w:spacing w:line="360" w:lineRule="auto"/>
        <w:ind w:left="560"/>
        <w:rPr>
          <w:sz w:val="24"/>
          <w:szCs w:val="24"/>
        </w:rPr>
      </w:pPr>
      <w:r>
        <w:fldChar w:fldCharType="begin"/>
      </w:r>
      <w:r>
        <w:instrText xml:space="preserve"> HYPERLINK \l "_Toc5495" </w:instrText>
      </w:r>
      <w:r>
        <w:fldChar w:fldCharType="separate"/>
      </w:r>
      <w:r>
        <w:rPr>
          <w:rFonts w:hint="eastAsia" w:ascii="宋体" w:hAnsi="宋体" w:eastAsia="宋体" w:cs="宋体"/>
          <w:sz w:val="24"/>
          <w:szCs w:val="24"/>
        </w:rPr>
        <w:t>6.3 科学经营</w:t>
      </w:r>
      <w:r>
        <w:rPr>
          <w:sz w:val="24"/>
          <w:szCs w:val="24"/>
        </w:rPr>
        <w:tab/>
      </w:r>
      <w:r>
        <w:rPr>
          <w:sz w:val="24"/>
          <w:szCs w:val="24"/>
        </w:rPr>
        <w:fldChar w:fldCharType="begin"/>
      </w:r>
      <w:r>
        <w:rPr>
          <w:sz w:val="24"/>
          <w:szCs w:val="24"/>
        </w:rPr>
        <w:instrText xml:space="preserve"> PAGEREF _Toc5495 \h </w:instrText>
      </w:r>
      <w:r>
        <w:rPr>
          <w:sz w:val="24"/>
          <w:szCs w:val="24"/>
        </w:rPr>
        <w:fldChar w:fldCharType="separate"/>
      </w:r>
      <w:r>
        <w:rPr>
          <w:sz w:val="24"/>
          <w:szCs w:val="24"/>
        </w:rPr>
        <w:t>38</w:t>
      </w:r>
      <w:r>
        <w:rPr>
          <w:sz w:val="24"/>
          <w:szCs w:val="24"/>
        </w:rPr>
        <w:fldChar w:fldCharType="end"/>
      </w:r>
      <w:r>
        <w:rPr>
          <w:sz w:val="24"/>
          <w:szCs w:val="24"/>
        </w:rPr>
        <w:fldChar w:fldCharType="end"/>
      </w:r>
    </w:p>
    <w:p w14:paraId="5F7E3B88">
      <w:pPr>
        <w:pStyle w:val="21"/>
        <w:tabs>
          <w:tab w:val="right" w:leader="dot" w:pos="9072"/>
        </w:tabs>
        <w:spacing w:line="360" w:lineRule="auto"/>
        <w:ind w:left="560"/>
        <w:rPr>
          <w:sz w:val="24"/>
          <w:szCs w:val="24"/>
        </w:rPr>
      </w:pPr>
      <w:r>
        <w:fldChar w:fldCharType="begin"/>
      </w:r>
      <w:r>
        <w:instrText xml:space="preserve"> HYPERLINK \l "_Toc6660" </w:instrText>
      </w:r>
      <w:r>
        <w:fldChar w:fldCharType="separate"/>
      </w:r>
      <w:r>
        <w:rPr>
          <w:rFonts w:hint="eastAsia" w:ascii="宋体" w:hAnsi="宋体" w:eastAsia="宋体" w:cs="宋体"/>
          <w:sz w:val="24"/>
          <w:szCs w:val="24"/>
        </w:rPr>
        <w:t>6.4优化林地利用</w:t>
      </w:r>
      <w:r>
        <w:rPr>
          <w:sz w:val="24"/>
          <w:szCs w:val="24"/>
        </w:rPr>
        <w:tab/>
      </w:r>
      <w:r>
        <w:rPr>
          <w:sz w:val="24"/>
          <w:szCs w:val="24"/>
        </w:rPr>
        <w:fldChar w:fldCharType="begin"/>
      </w:r>
      <w:r>
        <w:rPr>
          <w:sz w:val="24"/>
          <w:szCs w:val="24"/>
        </w:rPr>
        <w:instrText xml:space="preserve"> PAGEREF _Toc6660 \h </w:instrText>
      </w:r>
      <w:r>
        <w:rPr>
          <w:sz w:val="24"/>
          <w:szCs w:val="24"/>
        </w:rPr>
        <w:fldChar w:fldCharType="separate"/>
      </w:r>
      <w:r>
        <w:rPr>
          <w:sz w:val="24"/>
          <w:szCs w:val="24"/>
        </w:rPr>
        <w:t>40</w:t>
      </w:r>
      <w:r>
        <w:rPr>
          <w:sz w:val="24"/>
          <w:szCs w:val="24"/>
        </w:rPr>
        <w:fldChar w:fldCharType="end"/>
      </w:r>
      <w:r>
        <w:rPr>
          <w:sz w:val="24"/>
          <w:szCs w:val="24"/>
        </w:rPr>
        <w:fldChar w:fldCharType="end"/>
      </w:r>
    </w:p>
    <w:p w14:paraId="08BEA96D">
      <w:pPr>
        <w:pStyle w:val="21"/>
        <w:tabs>
          <w:tab w:val="right" w:leader="dot" w:pos="9072"/>
        </w:tabs>
        <w:spacing w:line="360" w:lineRule="auto"/>
        <w:ind w:left="560"/>
        <w:rPr>
          <w:sz w:val="24"/>
          <w:szCs w:val="24"/>
        </w:rPr>
      </w:pPr>
      <w:r>
        <w:fldChar w:fldCharType="begin"/>
      </w:r>
      <w:r>
        <w:instrText xml:space="preserve"> HYPERLINK \l "_Toc23615" </w:instrText>
      </w:r>
      <w:r>
        <w:fldChar w:fldCharType="separate"/>
      </w:r>
      <w:r>
        <w:rPr>
          <w:rFonts w:hint="eastAsia" w:ascii="宋体" w:hAnsi="宋体" w:eastAsia="宋体" w:cs="宋体"/>
          <w:sz w:val="24"/>
          <w:szCs w:val="24"/>
        </w:rPr>
        <w:t>6.5 助力碳达峰碳中和</w:t>
      </w:r>
      <w:r>
        <w:rPr>
          <w:sz w:val="24"/>
          <w:szCs w:val="24"/>
        </w:rPr>
        <w:tab/>
      </w:r>
      <w:r>
        <w:rPr>
          <w:sz w:val="24"/>
          <w:szCs w:val="24"/>
        </w:rPr>
        <w:fldChar w:fldCharType="begin"/>
      </w:r>
      <w:r>
        <w:rPr>
          <w:sz w:val="24"/>
          <w:szCs w:val="24"/>
        </w:rPr>
        <w:instrText xml:space="preserve"> PAGEREF _Toc23615 \h </w:instrText>
      </w:r>
      <w:r>
        <w:rPr>
          <w:sz w:val="24"/>
          <w:szCs w:val="24"/>
        </w:rPr>
        <w:fldChar w:fldCharType="separate"/>
      </w:r>
      <w:r>
        <w:rPr>
          <w:sz w:val="24"/>
          <w:szCs w:val="24"/>
        </w:rPr>
        <w:t>40</w:t>
      </w:r>
      <w:r>
        <w:rPr>
          <w:sz w:val="24"/>
          <w:szCs w:val="24"/>
        </w:rPr>
        <w:fldChar w:fldCharType="end"/>
      </w:r>
      <w:r>
        <w:rPr>
          <w:sz w:val="24"/>
          <w:szCs w:val="24"/>
        </w:rPr>
        <w:fldChar w:fldCharType="end"/>
      </w:r>
    </w:p>
    <w:p w14:paraId="157665FC">
      <w:pPr>
        <w:pStyle w:val="21"/>
        <w:tabs>
          <w:tab w:val="right" w:leader="dot" w:pos="9072"/>
        </w:tabs>
        <w:spacing w:line="360" w:lineRule="auto"/>
        <w:ind w:left="560"/>
        <w:rPr>
          <w:sz w:val="24"/>
          <w:szCs w:val="24"/>
        </w:rPr>
      </w:pPr>
      <w:r>
        <w:fldChar w:fldCharType="begin"/>
      </w:r>
      <w:r>
        <w:instrText xml:space="preserve"> HYPERLINK \l "_Toc9751" </w:instrText>
      </w:r>
      <w:r>
        <w:fldChar w:fldCharType="separate"/>
      </w:r>
      <w:r>
        <w:rPr>
          <w:rFonts w:hint="eastAsia" w:ascii="宋体" w:hAnsi="宋体" w:eastAsia="宋体" w:cs="宋体"/>
          <w:sz w:val="24"/>
          <w:szCs w:val="24"/>
        </w:rPr>
        <w:t>6.6 助力乡村振兴战略</w:t>
      </w:r>
      <w:r>
        <w:rPr>
          <w:sz w:val="24"/>
          <w:szCs w:val="24"/>
        </w:rPr>
        <w:tab/>
      </w:r>
      <w:r>
        <w:rPr>
          <w:sz w:val="24"/>
          <w:szCs w:val="24"/>
        </w:rPr>
        <w:fldChar w:fldCharType="begin"/>
      </w:r>
      <w:r>
        <w:rPr>
          <w:sz w:val="24"/>
          <w:szCs w:val="24"/>
        </w:rPr>
        <w:instrText xml:space="preserve"> PAGEREF _Toc9751 \h </w:instrText>
      </w:r>
      <w:r>
        <w:rPr>
          <w:sz w:val="24"/>
          <w:szCs w:val="24"/>
        </w:rPr>
        <w:fldChar w:fldCharType="separate"/>
      </w:r>
      <w:r>
        <w:rPr>
          <w:sz w:val="24"/>
          <w:szCs w:val="24"/>
        </w:rPr>
        <w:t>40</w:t>
      </w:r>
      <w:r>
        <w:rPr>
          <w:sz w:val="24"/>
          <w:szCs w:val="24"/>
        </w:rPr>
        <w:fldChar w:fldCharType="end"/>
      </w:r>
      <w:r>
        <w:rPr>
          <w:sz w:val="24"/>
          <w:szCs w:val="24"/>
        </w:rPr>
        <w:fldChar w:fldCharType="end"/>
      </w:r>
    </w:p>
    <w:p w14:paraId="7A332E8A">
      <w:pPr>
        <w:pStyle w:val="20"/>
        <w:tabs>
          <w:tab w:val="right" w:leader="dot" w:pos="9072"/>
        </w:tabs>
        <w:spacing w:line="360" w:lineRule="auto"/>
        <w:rPr>
          <w:b/>
          <w:bCs/>
          <w:sz w:val="24"/>
          <w:szCs w:val="24"/>
        </w:rPr>
      </w:pPr>
      <w:r>
        <w:fldChar w:fldCharType="begin"/>
      </w:r>
      <w:r>
        <w:instrText xml:space="preserve"> HYPERLINK \l "_Toc22115" </w:instrText>
      </w:r>
      <w:r>
        <w:fldChar w:fldCharType="separate"/>
      </w:r>
      <w:r>
        <w:rPr>
          <w:rFonts w:hint="eastAsia" w:ascii="宋体" w:hAnsi="宋体" w:eastAsia="宋体" w:cs="宋体"/>
          <w:b/>
          <w:bCs/>
          <w:sz w:val="24"/>
          <w:szCs w:val="24"/>
        </w:rPr>
        <w:t>第七章 林地治理体系与重点工程规划</w:t>
      </w:r>
      <w:r>
        <w:rPr>
          <w:b/>
          <w:bCs/>
          <w:sz w:val="24"/>
          <w:szCs w:val="24"/>
        </w:rPr>
        <w:tab/>
      </w:r>
      <w:r>
        <w:rPr>
          <w:b/>
          <w:bCs/>
          <w:sz w:val="24"/>
          <w:szCs w:val="24"/>
        </w:rPr>
        <w:fldChar w:fldCharType="begin"/>
      </w:r>
      <w:r>
        <w:rPr>
          <w:b/>
          <w:bCs/>
          <w:sz w:val="24"/>
          <w:szCs w:val="24"/>
        </w:rPr>
        <w:instrText xml:space="preserve"> PAGEREF _Toc22115 \h </w:instrText>
      </w:r>
      <w:r>
        <w:rPr>
          <w:b/>
          <w:bCs/>
          <w:sz w:val="24"/>
          <w:szCs w:val="24"/>
        </w:rPr>
        <w:fldChar w:fldCharType="separate"/>
      </w:r>
      <w:r>
        <w:rPr>
          <w:b/>
          <w:bCs/>
          <w:sz w:val="24"/>
          <w:szCs w:val="24"/>
        </w:rPr>
        <w:t>42</w:t>
      </w:r>
      <w:r>
        <w:rPr>
          <w:b/>
          <w:bCs/>
          <w:sz w:val="24"/>
          <w:szCs w:val="24"/>
        </w:rPr>
        <w:fldChar w:fldCharType="end"/>
      </w:r>
      <w:r>
        <w:rPr>
          <w:b/>
          <w:bCs/>
          <w:sz w:val="24"/>
          <w:szCs w:val="24"/>
        </w:rPr>
        <w:fldChar w:fldCharType="end"/>
      </w:r>
    </w:p>
    <w:p w14:paraId="188D549A">
      <w:pPr>
        <w:pStyle w:val="21"/>
        <w:tabs>
          <w:tab w:val="right" w:leader="dot" w:pos="9072"/>
        </w:tabs>
        <w:spacing w:line="360" w:lineRule="auto"/>
        <w:ind w:left="560"/>
        <w:rPr>
          <w:sz w:val="24"/>
          <w:szCs w:val="24"/>
        </w:rPr>
      </w:pPr>
      <w:r>
        <w:fldChar w:fldCharType="begin"/>
      </w:r>
      <w:r>
        <w:instrText xml:space="preserve"> HYPERLINK \l "_Toc7601" </w:instrText>
      </w:r>
      <w:r>
        <w:fldChar w:fldCharType="separate"/>
      </w:r>
      <w:r>
        <w:rPr>
          <w:rFonts w:hint="eastAsia" w:ascii="宋体" w:hAnsi="宋体" w:eastAsia="宋体" w:cs="宋体"/>
          <w:sz w:val="24"/>
          <w:szCs w:val="24"/>
        </w:rPr>
        <w:t>7.1 构建林业生态安全体系</w:t>
      </w:r>
      <w:r>
        <w:rPr>
          <w:sz w:val="24"/>
          <w:szCs w:val="24"/>
        </w:rPr>
        <w:tab/>
      </w:r>
      <w:r>
        <w:rPr>
          <w:sz w:val="24"/>
          <w:szCs w:val="24"/>
        </w:rPr>
        <w:fldChar w:fldCharType="begin"/>
      </w:r>
      <w:r>
        <w:rPr>
          <w:sz w:val="24"/>
          <w:szCs w:val="24"/>
        </w:rPr>
        <w:instrText xml:space="preserve"> PAGEREF _Toc7601 \h </w:instrText>
      </w:r>
      <w:r>
        <w:rPr>
          <w:sz w:val="24"/>
          <w:szCs w:val="24"/>
        </w:rPr>
        <w:fldChar w:fldCharType="separate"/>
      </w:r>
      <w:r>
        <w:rPr>
          <w:sz w:val="24"/>
          <w:szCs w:val="24"/>
        </w:rPr>
        <w:t>43</w:t>
      </w:r>
      <w:r>
        <w:rPr>
          <w:sz w:val="24"/>
          <w:szCs w:val="24"/>
        </w:rPr>
        <w:fldChar w:fldCharType="end"/>
      </w:r>
      <w:r>
        <w:rPr>
          <w:sz w:val="24"/>
          <w:szCs w:val="24"/>
        </w:rPr>
        <w:fldChar w:fldCharType="end"/>
      </w:r>
    </w:p>
    <w:p w14:paraId="00F36427">
      <w:pPr>
        <w:pStyle w:val="21"/>
        <w:tabs>
          <w:tab w:val="right" w:leader="dot" w:pos="9072"/>
        </w:tabs>
        <w:spacing w:line="360" w:lineRule="auto"/>
        <w:ind w:left="560"/>
        <w:rPr>
          <w:sz w:val="24"/>
          <w:szCs w:val="24"/>
        </w:rPr>
      </w:pPr>
      <w:r>
        <w:fldChar w:fldCharType="begin"/>
      </w:r>
      <w:r>
        <w:instrText xml:space="preserve"> HYPERLINK \l "_Toc31266" </w:instrText>
      </w:r>
      <w:r>
        <w:fldChar w:fldCharType="separate"/>
      </w:r>
      <w:r>
        <w:rPr>
          <w:rFonts w:hint="eastAsia" w:ascii="宋体" w:hAnsi="宋体" w:eastAsia="宋体" w:cs="宋体"/>
          <w:sz w:val="24"/>
          <w:szCs w:val="24"/>
        </w:rPr>
        <w:t>7.2 发展林业产业</w:t>
      </w:r>
      <w:r>
        <w:rPr>
          <w:sz w:val="24"/>
          <w:szCs w:val="24"/>
        </w:rPr>
        <w:tab/>
      </w:r>
      <w:r>
        <w:rPr>
          <w:sz w:val="24"/>
          <w:szCs w:val="24"/>
        </w:rPr>
        <w:fldChar w:fldCharType="begin"/>
      </w:r>
      <w:r>
        <w:rPr>
          <w:sz w:val="24"/>
          <w:szCs w:val="24"/>
        </w:rPr>
        <w:instrText xml:space="preserve"> PAGEREF _Toc31266 \h </w:instrText>
      </w:r>
      <w:r>
        <w:rPr>
          <w:sz w:val="24"/>
          <w:szCs w:val="24"/>
        </w:rPr>
        <w:fldChar w:fldCharType="separate"/>
      </w:r>
      <w:r>
        <w:rPr>
          <w:sz w:val="24"/>
          <w:szCs w:val="24"/>
        </w:rPr>
        <w:t>47</w:t>
      </w:r>
      <w:r>
        <w:rPr>
          <w:sz w:val="24"/>
          <w:szCs w:val="24"/>
        </w:rPr>
        <w:fldChar w:fldCharType="end"/>
      </w:r>
      <w:r>
        <w:rPr>
          <w:sz w:val="24"/>
          <w:szCs w:val="24"/>
        </w:rPr>
        <w:fldChar w:fldCharType="end"/>
      </w:r>
    </w:p>
    <w:p w14:paraId="1455D53B">
      <w:pPr>
        <w:pStyle w:val="21"/>
        <w:tabs>
          <w:tab w:val="right" w:leader="dot" w:pos="9072"/>
        </w:tabs>
        <w:spacing w:line="360" w:lineRule="auto"/>
        <w:ind w:left="560"/>
        <w:rPr>
          <w:sz w:val="24"/>
          <w:szCs w:val="24"/>
        </w:rPr>
      </w:pPr>
      <w:r>
        <w:fldChar w:fldCharType="begin"/>
      </w:r>
      <w:r>
        <w:instrText xml:space="preserve"> HYPERLINK \l "_Toc23794" </w:instrText>
      </w:r>
      <w:r>
        <w:fldChar w:fldCharType="separate"/>
      </w:r>
      <w:r>
        <w:rPr>
          <w:rFonts w:hint="eastAsia" w:ascii="宋体" w:hAnsi="宋体" w:eastAsia="宋体" w:cs="宋体"/>
          <w:sz w:val="24"/>
          <w:szCs w:val="24"/>
        </w:rPr>
        <w:t>7.3 构建生态文化体系</w:t>
      </w:r>
      <w:r>
        <w:rPr>
          <w:sz w:val="24"/>
          <w:szCs w:val="24"/>
        </w:rPr>
        <w:tab/>
      </w:r>
      <w:r>
        <w:rPr>
          <w:sz w:val="24"/>
          <w:szCs w:val="24"/>
        </w:rPr>
        <w:fldChar w:fldCharType="begin"/>
      </w:r>
      <w:r>
        <w:rPr>
          <w:sz w:val="24"/>
          <w:szCs w:val="24"/>
        </w:rPr>
        <w:instrText xml:space="preserve"> PAGEREF _Toc23794 \h </w:instrText>
      </w:r>
      <w:r>
        <w:rPr>
          <w:sz w:val="24"/>
          <w:szCs w:val="24"/>
        </w:rPr>
        <w:fldChar w:fldCharType="separate"/>
      </w:r>
      <w:r>
        <w:rPr>
          <w:sz w:val="24"/>
          <w:szCs w:val="24"/>
        </w:rPr>
        <w:t>50</w:t>
      </w:r>
      <w:r>
        <w:rPr>
          <w:sz w:val="24"/>
          <w:szCs w:val="24"/>
        </w:rPr>
        <w:fldChar w:fldCharType="end"/>
      </w:r>
      <w:r>
        <w:rPr>
          <w:sz w:val="24"/>
          <w:szCs w:val="24"/>
        </w:rPr>
        <w:fldChar w:fldCharType="end"/>
      </w:r>
    </w:p>
    <w:p w14:paraId="3BE20097">
      <w:pPr>
        <w:pStyle w:val="21"/>
        <w:tabs>
          <w:tab w:val="right" w:leader="dot" w:pos="9072"/>
        </w:tabs>
        <w:spacing w:line="360" w:lineRule="auto"/>
        <w:ind w:left="560"/>
        <w:rPr>
          <w:sz w:val="24"/>
          <w:szCs w:val="24"/>
        </w:rPr>
      </w:pPr>
      <w:r>
        <w:fldChar w:fldCharType="begin"/>
      </w:r>
      <w:r>
        <w:instrText xml:space="preserve"> HYPERLINK \l "_Toc24204" </w:instrText>
      </w:r>
      <w:r>
        <w:fldChar w:fldCharType="separate"/>
      </w:r>
      <w:r>
        <w:rPr>
          <w:rFonts w:hint="eastAsia" w:ascii="宋体" w:hAnsi="宋体" w:eastAsia="宋体" w:cs="宋体"/>
          <w:sz w:val="24"/>
          <w:szCs w:val="24"/>
        </w:rPr>
        <w:t>7.4 构建林业法治体系</w:t>
      </w:r>
      <w:r>
        <w:rPr>
          <w:sz w:val="24"/>
          <w:szCs w:val="24"/>
        </w:rPr>
        <w:tab/>
      </w:r>
      <w:r>
        <w:rPr>
          <w:sz w:val="24"/>
          <w:szCs w:val="24"/>
        </w:rPr>
        <w:fldChar w:fldCharType="begin"/>
      </w:r>
      <w:r>
        <w:rPr>
          <w:sz w:val="24"/>
          <w:szCs w:val="24"/>
        </w:rPr>
        <w:instrText xml:space="preserve"> PAGEREF _Toc24204 \h </w:instrText>
      </w:r>
      <w:r>
        <w:rPr>
          <w:sz w:val="24"/>
          <w:szCs w:val="24"/>
        </w:rPr>
        <w:fldChar w:fldCharType="separate"/>
      </w:r>
      <w:r>
        <w:rPr>
          <w:sz w:val="24"/>
          <w:szCs w:val="24"/>
        </w:rPr>
        <w:t>51</w:t>
      </w:r>
      <w:r>
        <w:rPr>
          <w:sz w:val="24"/>
          <w:szCs w:val="24"/>
        </w:rPr>
        <w:fldChar w:fldCharType="end"/>
      </w:r>
      <w:r>
        <w:rPr>
          <w:sz w:val="24"/>
          <w:szCs w:val="24"/>
        </w:rPr>
        <w:fldChar w:fldCharType="end"/>
      </w:r>
    </w:p>
    <w:p w14:paraId="683D831F">
      <w:pPr>
        <w:pStyle w:val="21"/>
        <w:tabs>
          <w:tab w:val="right" w:leader="dot" w:pos="9072"/>
        </w:tabs>
        <w:spacing w:line="360" w:lineRule="auto"/>
        <w:ind w:left="560"/>
        <w:rPr>
          <w:sz w:val="24"/>
          <w:szCs w:val="24"/>
        </w:rPr>
      </w:pPr>
      <w:r>
        <w:fldChar w:fldCharType="begin"/>
      </w:r>
      <w:r>
        <w:instrText xml:space="preserve"> HYPERLINK \l "_Toc25680" </w:instrText>
      </w:r>
      <w:r>
        <w:fldChar w:fldCharType="separate"/>
      </w:r>
      <w:r>
        <w:rPr>
          <w:rFonts w:hint="eastAsia" w:ascii="宋体" w:hAnsi="宋体" w:eastAsia="宋体" w:cs="宋体"/>
          <w:sz w:val="24"/>
          <w:szCs w:val="24"/>
        </w:rPr>
        <w:t>7.5 提升林业基础设施体系</w:t>
      </w:r>
      <w:r>
        <w:rPr>
          <w:sz w:val="24"/>
          <w:szCs w:val="24"/>
        </w:rPr>
        <w:tab/>
      </w:r>
      <w:r>
        <w:rPr>
          <w:sz w:val="24"/>
          <w:szCs w:val="24"/>
        </w:rPr>
        <w:fldChar w:fldCharType="begin"/>
      </w:r>
      <w:r>
        <w:rPr>
          <w:sz w:val="24"/>
          <w:szCs w:val="24"/>
        </w:rPr>
        <w:instrText xml:space="preserve"> PAGEREF _Toc25680 \h </w:instrText>
      </w:r>
      <w:r>
        <w:rPr>
          <w:sz w:val="24"/>
          <w:szCs w:val="24"/>
        </w:rPr>
        <w:fldChar w:fldCharType="separate"/>
      </w:r>
      <w:r>
        <w:rPr>
          <w:sz w:val="24"/>
          <w:szCs w:val="24"/>
        </w:rPr>
        <w:t>54</w:t>
      </w:r>
      <w:r>
        <w:rPr>
          <w:sz w:val="24"/>
          <w:szCs w:val="24"/>
        </w:rPr>
        <w:fldChar w:fldCharType="end"/>
      </w:r>
      <w:r>
        <w:rPr>
          <w:sz w:val="24"/>
          <w:szCs w:val="24"/>
        </w:rPr>
        <w:fldChar w:fldCharType="end"/>
      </w:r>
    </w:p>
    <w:p w14:paraId="1ADC31C0">
      <w:pPr>
        <w:pStyle w:val="20"/>
        <w:tabs>
          <w:tab w:val="right" w:leader="dot" w:pos="9072"/>
        </w:tabs>
        <w:spacing w:line="360" w:lineRule="auto"/>
        <w:rPr>
          <w:b/>
          <w:bCs/>
          <w:sz w:val="24"/>
          <w:szCs w:val="24"/>
        </w:rPr>
      </w:pPr>
      <w:r>
        <w:fldChar w:fldCharType="begin"/>
      </w:r>
      <w:r>
        <w:instrText xml:space="preserve"> HYPERLINK \l "_Toc22849" </w:instrText>
      </w:r>
      <w:r>
        <w:fldChar w:fldCharType="separate"/>
      </w:r>
      <w:r>
        <w:rPr>
          <w:rFonts w:hint="eastAsia" w:ascii="宋体" w:hAnsi="宋体" w:eastAsia="宋体" w:cs="宋体"/>
          <w:b/>
          <w:bCs/>
          <w:sz w:val="24"/>
          <w:szCs w:val="24"/>
        </w:rPr>
        <w:t>第八章  规划实施保障措施</w:t>
      </w:r>
      <w:r>
        <w:rPr>
          <w:b/>
          <w:bCs/>
          <w:sz w:val="24"/>
          <w:szCs w:val="24"/>
        </w:rPr>
        <w:tab/>
      </w:r>
      <w:r>
        <w:rPr>
          <w:b/>
          <w:bCs/>
          <w:sz w:val="24"/>
          <w:szCs w:val="24"/>
        </w:rPr>
        <w:fldChar w:fldCharType="begin"/>
      </w:r>
      <w:r>
        <w:rPr>
          <w:b/>
          <w:bCs/>
          <w:sz w:val="24"/>
          <w:szCs w:val="24"/>
        </w:rPr>
        <w:instrText xml:space="preserve"> PAGEREF _Toc22849 \h </w:instrText>
      </w:r>
      <w:r>
        <w:rPr>
          <w:b/>
          <w:bCs/>
          <w:sz w:val="24"/>
          <w:szCs w:val="24"/>
        </w:rPr>
        <w:fldChar w:fldCharType="separate"/>
      </w:r>
      <w:r>
        <w:rPr>
          <w:b/>
          <w:bCs/>
          <w:sz w:val="24"/>
          <w:szCs w:val="24"/>
        </w:rPr>
        <w:t>59</w:t>
      </w:r>
      <w:r>
        <w:rPr>
          <w:b/>
          <w:bCs/>
          <w:sz w:val="24"/>
          <w:szCs w:val="24"/>
        </w:rPr>
        <w:fldChar w:fldCharType="end"/>
      </w:r>
      <w:r>
        <w:rPr>
          <w:b/>
          <w:bCs/>
          <w:sz w:val="24"/>
          <w:szCs w:val="24"/>
        </w:rPr>
        <w:fldChar w:fldCharType="end"/>
      </w:r>
    </w:p>
    <w:p w14:paraId="0C6D6566">
      <w:pPr>
        <w:pStyle w:val="21"/>
        <w:tabs>
          <w:tab w:val="right" w:leader="dot" w:pos="9072"/>
        </w:tabs>
        <w:spacing w:line="360" w:lineRule="auto"/>
        <w:ind w:left="560"/>
        <w:rPr>
          <w:sz w:val="24"/>
          <w:szCs w:val="24"/>
        </w:rPr>
      </w:pPr>
      <w:r>
        <w:fldChar w:fldCharType="begin"/>
      </w:r>
      <w:r>
        <w:instrText xml:space="preserve"> HYPERLINK \l "_Toc13795" </w:instrText>
      </w:r>
      <w:r>
        <w:fldChar w:fldCharType="separate"/>
      </w:r>
      <w:r>
        <w:rPr>
          <w:rFonts w:hint="eastAsia" w:ascii="宋体" w:hAnsi="宋体" w:eastAsia="宋体" w:cs="宋体"/>
          <w:sz w:val="24"/>
          <w:szCs w:val="24"/>
        </w:rPr>
        <w:t>8.1 政策保障</w:t>
      </w:r>
      <w:r>
        <w:rPr>
          <w:sz w:val="24"/>
          <w:szCs w:val="24"/>
        </w:rPr>
        <w:tab/>
      </w:r>
      <w:r>
        <w:rPr>
          <w:sz w:val="24"/>
          <w:szCs w:val="24"/>
        </w:rPr>
        <w:fldChar w:fldCharType="begin"/>
      </w:r>
      <w:r>
        <w:rPr>
          <w:sz w:val="24"/>
          <w:szCs w:val="24"/>
        </w:rPr>
        <w:instrText xml:space="preserve"> PAGEREF _Toc13795 \h </w:instrText>
      </w:r>
      <w:r>
        <w:rPr>
          <w:sz w:val="24"/>
          <w:szCs w:val="24"/>
        </w:rPr>
        <w:fldChar w:fldCharType="separate"/>
      </w:r>
      <w:r>
        <w:rPr>
          <w:sz w:val="24"/>
          <w:szCs w:val="24"/>
        </w:rPr>
        <w:t>59</w:t>
      </w:r>
      <w:r>
        <w:rPr>
          <w:sz w:val="24"/>
          <w:szCs w:val="24"/>
        </w:rPr>
        <w:fldChar w:fldCharType="end"/>
      </w:r>
      <w:r>
        <w:rPr>
          <w:sz w:val="24"/>
          <w:szCs w:val="24"/>
        </w:rPr>
        <w:fldChar w:fldCharType="end"/>
      </w:r>
    </w:p>
    <w:p w14:paraId="5BD7BAF1">
      <w:pPr>
        <w:pStyle w:val="21"/>
        <w:tabs>
          <w:tab w:val="right" w:leader="dot" w:pos="9072"/>
        </w:tabs>
        <w:spacing w:line="360" w:lineRule="auto"/>
        <w:ind w:left="560"/>
        <w:rPr>
          <w:sz w:val="24"/>
          <w:szCs w:val="24"/>
        </w:rPr>
      </w:pPr>
      <w:r>
        <w:fldChar w:fldCharType="begin"/>
      </w:r>
      <w:r>
        <w:instrText xml:space="preserve"> HYPERLINK \l "_Toc17163" </w:instrText>
      </w:r>
      <w:r>
        <w:fldChar w:fldCharType="separate"/>
      </w:r>
      <w:r>
        <w:rPr>
          <w:rFonts w:hint="eastAsia" w:ascii="宋体" w:hAnsi="宋体" w:eastAsia="宋体" w:cs="宋体"/>
          <w:sz w:val="24"/>
          <w:szCs w:val="24"/>
        </w:rPr>
        <w:t>8.2制度保障</w:t>
      </w:r>
      <w:r>
        <w:rPr>
          <w:sz w:val="24"/>
          <w:szCs w:val="24"/>
        </w:rPr>
        <w:tab/>
      </w:r>
      <w:r>
        <w:rPr>
          <w:sz w:val="24"/>
          <w:szCs w:val="24"/>
        </w:rPr>
        <w:fldChar w:fldCharType="begin"/>
      </w:r>
      <w:r>
        <w:rPr>
          <w:sz w:val="24"/>
          <w:szCs w:val="24"/>
        </w:rPr>
        <w:instrText xml:space="preserve"> PAGEREF _Toc17163 \h </w:instrText>
      </w:r>
      <w:r>
        <w:rPr>
          <w:sz w:val="24"/>
          <w:szCs w:val="24"/>
        </w:rPr>
        <w:fldChar w:fldCharType="separate"/>
      </w:r>
      <w:r>
        <w:rPr>
          <w:sz w:val="24"/>
          <w:szCs w:val="24"/>
        </w:rPr>
        <w:t>60</w:t>
      </w:r>
      <w:r>
        <w:rPr>
          <w:sz w:val="24"/>
          <w:szCs w:val="24"/>
        </w:rPr>
        <w:fldChar w:fldCharType="end"/>
      </w:r>
      <w:r>
        <w:rPr>
          <w:sz w:val="24"/>
          <w:szCs w:val="24"/>
        </w:rPr>
        <w:fldChar w:fldCharType="end"/>
      </w:r>
    </w:p>
    <w:p w14:paraId="7E2B94ED">
      <w:pPr>
        <w:pStyle w:val="21"/>
        <w:tabs>
          <w:tab w:val="right" w:leader="dot" w:pos="9072"/>
        </w:tabs>
        <w:spacing w:line="360" w:lineRule="auto"/>
        <w:ind w:left="560"/>
        <w:rPr>
          <w:sz w:val="24"/>
          <w:szCs w:val="24"/>
        </w:rPr>
      </w:pPr>
      <w:r>
        <w:fldChar w:fldCharType="begin"/>
      </w:r>
      <w:r>
        <w:instrText xml:space="preserve"> HYPERLINK \l "_Toc29212" </w:instrText>
      </w:r>
      <w:r>
        <w:fldChar w:fldCharType="separate"/>
      </w:r>
      <w:r>
        <w:rPr>
          <w:rFonts w:hint="eastAsia" w:ascii="宋体" w:hAnsi="宋体" w:eastAsia="宋体" w:cs="宋体"/>
          <w:sz w:val="24"/>
          <w:szCs w:val="24"/>
        </w:rPr>
        <w:t>8.3资金保障</w:t>
      </w:r>
      <w:r>
        <w:rPr>
          <w:sz w:val="24"/>
          <w:szCs w:val="24"/>
        </w:rPr>
        <w:tab/>
      </w:r>
      <w:r>
        <w:rPr>
          <w:sz w:val="24"/>
          <w:szCs w:val="24"/>
        </w:rPr>
        <w:fldChar w:fldCharType="begin"/>
      </w:r>
      <w:r>
        <w:rPr>
          <w:sz w:val="24"/>
          <w:szCs w:val="24"/>
        </w:rPr>
        <w:instrText xml:space="preserve"> PAGEREF _Toc29212 \h </w:instrText>
      </w:r>
      <w:r>
        <w:rPr>
          <w:sz w:val="24"/>
          <w:szCs w:val="24"/>
        </w:rPr>
        <w:fldChar w:fldCharType="separate"/>
      </w:r>
      <w:r>
        <w:rPr>
          <w:sz w:val="24"/>
          <w:szCs w:val="24"/>
        </w:rPr>
        <w:t>61</w:t>
      </w:r>
      <w:r>
        <w:rPr>
          <w:sz w:val="24"/>
          <w:szCs w:val="24"/>
        </w:rPr>
        <w:fldChar w:fldCharType="end"/>
      </w:r>
      <w:r>
        <w:rPr>
          <w:sz w:val="24"/>
          <w:szCs w:val="24"/>
        </w:rPr>
        <w:fldChar w:fldCharType="end"/>
      </w:r>
    </w:p>
    <w:p w14:paraId="68FD3F15">
      <w:pPr>
        <w:pStyle w:val="21"/>
        <w:tabs>
          <w:tab w:val="right" w:leader="dot" w:pos="9072"/>
        </w:tabs>
        <w:spacing w:line="360" w:lineRule="auto"/>
        <w:ind w:left="560"/>
      </w:pPr>
      <w:r>
        <w:fldChar w:fldCharType="begin"/>
      </w:r>
      <w:r>
        <w:instrText xml:space="preserve"> HYPERLINK \l "_Toc25143" </w:instrText>
      </w:r>
      <w:r>
        <w:fldChar w:fldCharType="separate"/>
      </w:r>
      <w:r>
        <w:rPr>
          <w:rFonts w:hint="eastAsia" w:ascii="宋体" w:hAnsi="宋体" w:eastAsia="宋体" w:cs="宋体"/>
          <w:sz w:val="24"/>
          <w:szCs w:val="24"/>
        </w:rPr>
        <w:t>8.4能力保障</w:t>
      </w:r>
      <w:r>
        <w:rPr>
          <w:sz w:val="24"/>
          <w:szCs w:val="24"/>
        </w:rPr>
        <w:tab/>
      </w:r>
      <w:r>
        <w:rPr>
          <w:sz w:val="24"/>
          <w:szCs w:val="24"/>
        </w:rPr>
        <w:fldChar w:fldCharType="begin"/>
      </w:r>
      <w:r>
        <w:rPr>
          <w:sz w:val="24"/>
          <w:szCs w:val="24"/>
        </w:rPr>
        <w:instrText xml:space="preserve"> PAGEREF _Toc25143 \h </w:instrText>
      </w:r>
      <w:r>
        <w:rPr>
          <w:sz w:val="24"/>
          <w:szCs w:val="24"/>
        </w:rPr>
        <w:fldChar w:fldCharType="separate"/>
      </w:r>
      <w:r>
        <w:rPr>
          <w:sz w:val="24"/>
          <w:szCs w:val="24"/>
        </w:rPr>
        <w:t>61</w:t>
      </w:r>
      <w:r>
        <w:rPr>
          <w:sz w:val="24"/>
          <w:szCs w:val="24"/>
        </w:rPr>
        <w:fldChar w:fldCharType="end"/>
      </w:r>
      <w:r>
        <w:rPr>
          <w:sz w:val="24"/>
          <w:szCs w:val="24"/>
        </w:rPr>
        <w:fldChar w:fldCharType="end"/>
      </w:r>
    </w:p>
    <w:p w14:paraId="5669F38D">
      <w:pPr>
        <w:rPr>
          <w:b/>
          <w:sz w:val="36"/>
          <w:szCs w:val="28"/>
          <w:highlight w:val="yellow"/>
        </w:rPr>
      </w:pPr>
      <w:r>
        <w:rPr>
          <w:szCs w:val="28"/>
          <w:highlight w:val="yellow"/>
        </w:rPr>
        <w:fldChar w:fldCharType="end"/>
      </w:r>
    </w:p>
    <w:p w14:paraId="39B149C8">
      <w:pPr>
        <w:pStyle w:val="57"/>
        <w:tabs>
          <w:tab w:val="right" w:leader="dot" w:pos="9072"/>
        </w:tabs>
        <w:ind w:left="560"/>
        <w:rPr>
          <w:rFonts w:hint="eastAsia" w:ascii="黑体" w:hAnsi="黑体" w:eastAsia="黑体"/>
          <w:sz w:val="22"/>
          <w:szCs w:val="36"/>
        </w:rPr>
      </w:pPr>
    </w:p>
    <w:p w14:paraId="61684429">
      <w:pPr>
        <w:rPr>
          <w:rFonts w:hint="eastAsia" w:ascii="黑体" w:hAnsi="黑体" w:eastAsia="黑体"/>
          <w:b/>
          <w:sz w:val="22"/>
          <w:szCs w:val="40"/>
        </w:rPr>
      </w:pPr>
    </w:p>
    <w:p w14:paraId="780BD62C"/>
    <w:p w14:paraId="79244ACB">
      <w:pPr>
        <w:pStyle w:val="20"/>
        <w:tabs>
          <w:tab w:val="right" w:leader="dot" w:pos="9072"/>
        </w:tabs>
        <w:rPr>
          <w:rFonts w:hint="eastAsia" w:ascii="黑体" w:hAnsi="黑体" w:eastAsia="黑体"/>
          <w:b/>
          <w:sz w:val="20"/>
          <w:szCs w:val="32"/>
        </w:rPr>
      </w:pPr>
    </w:p>
    <w:p w14:paraId="005654D9">
      <w:pPr>
        <w:pStyle w:val="3"/>
        <w:spacing w:before="468" w:beforeLines="150" w:after="312" w:afterLines="100" w:line="360" w:lineRule="exact"/>
        <w:jc w:val="center"/>
        <w:rPr>
          <w:rFonts w:hint="eastAsia" w:ascii="黑体" w:hAnsi="黑体" w:eastAsia="黑体"/>
          <w:bCs w:val="0"/>
          <w:sz w:val="32"/>
          <w:szCs w:val="32"/>
        </w:rPr>
        <w:sectPr>
          <w:pgSz w:w="11906" w:h="16838"/>
          <w:pgMar w:top="1417" w:right="1417" w:bottom="1417" w:left="1417" w:header="851" w:footer="992" w:gutter="0"/>
          <w:pgNumType w:start="1"/>
          <w:cols w:space="720" w:num="1"/>
          <w:docGrid w:type="lines" w:linePitch="312" w:charSpace="0"/>
        </w:sectPr>
      </w:pPr>
      <w:bookmarkStart w:id="6" w:name="_Toc18852"/>
      <w:bookmarkStart w:id="7" w:name="_Toc59615202"/>
      <w:bookmarkStart w:id="8" w:name="_Toc54878841"/>
    </w:p>
    <w:p w14:paraId="0B01A921">
      <w:pPr>
        <w:pStyle w:val="3"/>
        <w:spacing w:before="468" w:beforeLines="150" w:after="312" w:afterLines="100" w:line="520" w:lineRule="exact"/>
        <w:jc w:val="center"/>
        <w:rPr>
          <w:rFonts w:hint="eastAsia" w:ascii="黑体" w:hAnsi="黑体" w:eastAsia="黑体" w:cs="黑体"/>
          <w:bCs w:val="0"/>
          <w:sz w:val="32"/>
          <w:szCs w:val="32"/>
        </w:rPr>
      </w:pPr>
      <w:bookmarkStart w:id="9" w:name="_Toc31289"/>
      <w:r>
        <w:rPr>
          <w:rFonts w:hint="eastAsia" w:ascii="黑体" w:hAnsi="黑体" w:eastAsia="黑体" w:cs="黑体"/>
          <w:bCs w:val="0"/>
          <w:sz w:val="32"/>
          <w:szCs w:val="32"/>
        </w:rPr>
        <w:t>第一章　上一轮规划实施情况评价</w:t>
      </w:r>
      <w:bookmarkEnd w:id="6"/>
      <w:bookmarkEnd w:id="9"/>
    </w:p>
    <w:p w14:paraId="59C2157B">
      <w:pPr>
        <w:pStyle w:val="4"/>
        <w:spacing w:line="520" w:lineRule="exact"/>
        <w:rPr>
          <w:rFonts w:hint="eastAsia" w:ascii="仿宋" w:hAnsi="仿宋" w:eastAsia="仿宋" w:cs="仿宋"/>
        </w:rPr>
      </w:pPr>
      <w:bookmarkStart w:id="10" w:name="_Toc9752"/>
      <w:bookmarkStart w:id="11" w:name="_Toc873"/>
      <w:r>
        <w:rPr>
          <w:rFonts w:hint="eastAsia" w:ascii="仿宋" w:hAnsi="仿宋" w:eastAsia="仿宋" w:cs="仿宋"/>
        </w:rPr>
        <w:t>1.1 主要指标完成情况</w:t>
      </w:r>
      <w:bookmarkEnd w:id="7"/>
      <w:bookmarkEnd w:id="8"/>
      <w:bookmarkEnd w:id="10"/>
      <w:bookmarkEnd w:id="11"/>
    </w:p>
    <w:p w14:paraId="05BEE446">
      <w:pPr>
        <w:spacing w:line="520" w:lineRule="exact"/>
        <w:ind w:firstLine="646" w:firstLineChars="202"/>
        <w:rPr>
          <w:rFonts w:hint="eastAsia" w:ascii="仿宋" w:hAnsi="仿宋" w:cs="仿宋"/>
          <w:sz w:val="32"/>
          <w:szCs w:val="32"/>
        </w:rPr>
      </w:pPr>
      <w:r>
        <w:rPr>
          <w:rFonts w:hint="eastAsia" w:ascii="仿宋" w:hAnsi="仿宋" w:cs="仿宋"/>
          <w:sz w:val="32"/>
          <w:szCs w:val="32"/>
        </w:rPr>
        <w:t>截至规划期末即2020年，上一轮林地保护利用规划——《海南省三亚市林地保护利用规划（2010-2020年）》各项指标完成情况如下：</w:t>
      </w:r>
    </w:p>
    <w:p w14:paraId="0747F865">
      <w:pPr>
        <w:spacing w:line="520" w:lineRule="exact"/>
        <w:ind w:firstLine="646" w:firstLineChars="202"/>
        <w:rPr>
          <w:rFonts w:hint="eastAsia" w:ascii="仿宋" w:hAnsi="仿宋" w:cs="仿宋"/>
          <w:sz w:val="32"/>
          <w:szCs w:val="32"/>
        </w:rPr>
      </w:pPr>
      <w:r>
        <w:rPr>
          <w:rFonts w:hint="eastAsia" w:ascii="仿宋" w:hAnsi="仿宋" w:cs="仿宋"/>
          <w:sz w:val="32"/>
          <w:szCs w:val="32"/>
        </w:rPr>
        <w:t>约束性指标方面：2020年，三亚市森林总面积132865.96公顷，分别超出上一轮林保规划国家级、省级目标21830.96公顷、6275.96公顷，森林保有量达到</w:t>
      </w:r>
      <w:bookmarkStart w:id="12" w:name="_Hlk77347636"/>
      <w:r>
        <w:rPr>
          <w:rFonts w:hint="eastAsia" w:ascii="仿宋" w:hAnsi="仿宋" w:cs="仿宋"/>
          <w:sz w:val="32"/>
          <w:szCs w:val="32"/>
        </w:rPr>
        <w:t>规划目标要求</w:t>
      </w:r>
      <w:bookmarkEnd w:id="12"/>
      <w:r>
        <w:rPr>
          <w:rFonts w:hint="eastAsia" w:ascii="仿宋" w:hAnsi="仿宋" w:cs="仿宋"/>
          <w:sz w:val="32"/>
          <w:szCs w:val="32"/>
        </w:rPr>
        <w:t>。</w:t>
      </w:r>
    </w:p>
    <w:p w14:paraId="6F10FF8C">
      <w:pPr>
        <w:spacing w:line="520" w:lineRule="exact"/>
        <w:ind w:firstLine="646" w:firstLineChars="202"/>
        <w:rPr>
          <w:rFonts w:hint="eastAsia" w:ascii="仿宋" w:hAnsi="仿宋" w:cs="仿宋"/>
          <w:sz w:val="32"/>
          <w:szCs w:val="32"/>
        </w:rPr>
      </w:pPr>
      <w:r>
        <w:rPr>
          <w:rFonts w:hint="eastAsia" w:ascii="仿宋" w:hAnsi="仿宋" w:cs="仿宋"/>
          <w:sz w:val="32"/>
          <w:szCs w:val="32"/>
        </w:rPr>
        <w:t>预期性指标方面：（1）林地保有量及林地生产力均达到规划目标要求。2020年，三亚市林地总面积140161.38公顷，超规划值10981.38公顷；林地生产力57.48立方米/公顷，超规划值24.78立方米/公顷。（2）重点公益林地比率和重点商品林地比率指标均未达到规划目标要求。2020年，三亚市重点公益林地比率53.22%，较规划值低6.45%；未落实重点商品林地。</w:t>
      </w:r>
    </w:p>
    <w:p w14:paraId="7A289B49">
      <w:pPr>
        <w:pStyle w:val="4"/>
        <w:spacing w:line="520" w:lineRule="exact"/>
        <w:rPr>
          <w:rFonts w:hint="eastAsia" w:ascii="仿宋" w:hAnsi="仿宋" w:eastAsia="仿宋" w:cs="仿宋"/>
        </w:rPr>
      </w:pPr>
      <w:bookmarkStart w:id="13" w:name="_Toc30382"/>
      <w:bookmarkStart w:id="14" w:name="_Toc22512"/>
      <w:r>
        <w:rPr>
          <w:rFonts w:hint="eastAsia" w:ascii="仿宋" w:hAnsi="仿宋" w:eastAsia="仿宋" w:cs="仿宋"/>
        </w:rPr>
        <w:t>1.2 主要成效</w:t>
      </w:r>
      <w:bookmarkEnd w:id="13"/>
      <w:bookmarkEnd w:id="14"/>
    </w:p>
    <w:p w14:paraId="02DA426C">
      <w:pPr>
        <w:pStyle w:val="13"/>
        <w:spacing w:line="520" w:lineRule="exact"/>
        <w:ind w:firstLine="640" w:firstLineChars="200"/>
        <w:rPr>
          <w:rFonts w:hint="eastAsia" w:ascii="仿宋" w:hAnsi="仿宋" w:eastAsia="仿宋" w:cs="仿宋"/>
          <w:sz w:val="32"/>
          <w:szCs w:val="32"/>
        </w:rPr>
        <w:sectPr>
          <w:footerReference r:id="rId7" w:type="default"/>
          <w:pgSz w:w="11906" w:h="16838"/>
          <w:pgMar w:top="1417" w:right="1417" w:bottom="1417" w:left="1417" w:header="851" w:footer="992" w:gutter="0"/>
          <w:pgNumType w:start="1"/>
          <w:cols w:space="720" w:num="1"/>
          <w:docGrid w:type="lines" w:linePitch="312" w:charSpace="0"/>
        </w:sectPr>
      </w:pPr>
      <w:r>
        <w:rPr>
          <w:rFonts w:hint="eastAsia" w:ascii="仿宋" w:hAnsi="仿宋" w:eastAsia="仿宋" w:cs="仿宋"/>
          <w:sz w:val="32"/>
          <w:szCs w:val="32"/>
        </w:rPr>
        <w:t>上一轮规划期间，三亚市认真贯彻落实习近平总书记关于海南工作的系列重要讲话和重要指示批示精神，牢固树立“绿水青山就是金山银山”理念，按照“三区一中心”战略定位，紧紧围绕“坚持绿色发展、打造全国生态文明建设示范市”的发展目标，加强生态保护修复与合理开发利用，积极打造生态旅游、生态循环林业等产业，各项工作取得一系列成果。</w:t>
      </w:r>
    </w:p>
    <w:p w14:paraId="0A32E94D">
      <w:pPr>
        <w:spacing w:line="520" w:lineRule="exact"/>
        <w:ind w:firstLine="646" w:firstLineChars="202"/>
        <w:rPr>
          <w:rFonts w:hint="eastAsia" w:ascii="仿宋" w:hAnsi="仿宋" w:cs="仿宋"/>
          <w:sz w:val="32"/>
          <w:szCs w:val="32"/>
        </w:rPr>
      </w:pPr>
      <w:r>
        <w:rPr>
          <w:rFonts w:hint="eastAsia" w:ascii="仿宋" w:hAnsi="仿宋" w:cs="仿宋"/>
          <w:sz w:val="32"/>
          <w:szCs w:val="32"/>
        </w:rPr>
        <w:t>2011-2020年期间，三亚市林地、森林保有量稳定且持续高于规划值。规划期末，三亚市森林覆盖率达69.1%，森林蓄积量762.27万立方米。林业产业总产值达481492万元，助力脱贫增收成效显著。10年间，全市共完成造林绿化4988.2公顷、退果还林966.0公顷，退塘还湿146.0公顷，森林、湿地生态系统得到有效维护。启动并稳步推进国家和省级森林城市创建（目前已高分通过海南省森林城市考核验收）。森林火灾受害率控制在0.3‰以下，林业有害生物成灾率控制在2.8‰以下。各项工作稳中向好，为海南自由贸易港建设和生态文明试验区建设提供了坚实生态支撑。</w:t>
      </w:r>
    </w:p>
    <w:p w14:paraId="5E2CEE10">
      <w:pPr>
        <w:pStyle w:val="5"/>
        <w:spacing w:before="200" w:after="200" w:line="520" w:lineRule="exact"/>
        <w:rPr>
          <w:rFonts w:hint="eastAsia" w:ascii="仿宋" w:hAnsi="仿宋" w:eastAsia="仿宋" w:cs="仿宋"/>
        </w:rPr>
      </w:pPr>
      <w:bookmarkStart w:id="15" w:name="_Toc28154"/>
      <w:bookmarkStart w:id="16" w:name="_Toc2949"/>
      <w:bookmarkStart w:id="17" w:name="_Toc7051"/>
      <w:bookmarkStart w:id="18" w:name="_Toc88494644"/>
      <w:bookmarkStart w:id="19" w:name="_Toc1531"/>
      <w:r>
        <w:rPr>
          <w:rFonts w:hint="eastAsia" w:ascii="仿宋" w:hAnsi="仿宋" w:eastAsia="仿宋" w:cs="仿宋"/>
        </w:rPr>
        <w:t>1.2.1 森林资源数量持续增长</w:t>
      </w:r>
      <w:bookmarkEnd w:id="15"/>
      <w:bookmarkEnd w:id="16"/>
      <w:bookmarkEnd w:id="17"/>
      <w:bookmarkEnd w:id="18"/>
      <w:bookmarkEnd w:id="19"/>
    </w:p>
    <w:p w14:paraId="7CB5CA65">
      <w:pPr>
        <w:spacing w:line="520" w:lineRule="exact"/>
        <w:ind w:firstLine="646" w:firstLineChars="202"/>
        <w:rPr>
          <w:rFonts w:hint="eastAsia" w:ascii="仿宋" w:hAnsi="仿宋" w:cs="仿宋"/>
          <w:sz w:val="32"/>
          <w:szCs w:val="32"/>
        </w:rPr>
      </w:pPr>
      <w:r>
        <w:rPr>
          <w:rFonts w:hint="eastAsia" w:ascii="仿宋" w:hAnsi="仿宋" w:cs="仿宋"/>
          <w:sz w:val="32"/>
          <w:szCs w:val="32"/>
        </w:rPr>
        <w:t>三亚市林地保护利用以规划为统领，根据市政府的工作布署和安排，结合实际情况开展林地保护利用，坚持把森林资源保护和培育放在首位，通过“十二五”、“十三五”期间造林绿化工程、山体修复工程、沿海防护林建设工程、美丽乡村建设工程、退果还林工程、退塘还湿工程等一系列林业重点生态建设工程，“造、补、改、退”等措施多管齐下，森林资源数量得到有效提升。据统计，2011-2020年，三亚市营造林面积共4988.2公顷。十三五期间，全民义务植树156.1万株，共完成全市33个废弃矿坑山体修复工作，修复面积44.5万平方米，累计投资约8206万元，山体修复效果和技术手段均居全国前列。</w:t>
      </w:r>
    </w:p>
    <w:p w14:paraId="65227981">
      <w:pPr>
        <w:spacing w:line="520" w:lineRule="exact"/>
        <w:ind w:firstLine="646" w:firstLineChars="202"/>
        <w:rPr>
          <w:rFonts w:hint="eastAsia" w:ascii="仿宋" w:hAnsi="仿宋" w:cs="仿宋"/>
          <w:sz w:val="32"/>
          <w:szCs w:val="32"/>
        </w:rPr>
      </w:pPr>
      <w:r>
        <w:rPr>
          <w:rFonts w:hint="eastAsia" w:ascii="仿宋" w:hAnsi="仿宋" w:cs="仿宋"/>
          <w:sz w:val="32"/>
          <w:szCs w:val="32"/>
        </w:rPr>
        <w:t>上一轮规划期间，森林面积、林地面积及森林覆盖率呈现持续稳定增长趋势。截至2020年，三亚市林地面积140161.38公顷，规划期间提升8.5%；森林面积132865.96公顷，规划期间提升12.25%；森林覆盖率69.1%，规划期间提升7.39%。</w:t>
      </w:r>
    </w:p>
    <w:p w14:paraId="769C2A98">
      <w:pPr>
        <w:pStyle w:val="5"/>
        <w:spacing w:before="200" w:after="200" w:line="520" w:lineRule="exact"/>
        <w:rPr>
          <w:rFonts w:hint="eastAsia" w:ascii="仿宋" w:hAnsi="仿宋" w:eastAsia="仿宋" w:cs="仿宋"/>
        </w:rPr>
      </w:pPr>
      <w:bookmarkStart w:id="20" w:name="_Toc9618"/>
      <w:r>
        <w:rPr>
          <w:rFonts w:hint="eastAsia" w:ascii="仿宋" w:hAnsi="仿宋" w:eastAsia="仿宋" w:cs="仿宋"/>
        </w:rPr>
        <w:t>1.2.2 森林资源质量不断提升</w:t>
      </w:r>
      <w:bookmarkEnd w:id="20"/>
    </w:p>
    <w:p w14:paraId="601AF62A">
      <w:pPr>
        <w:spacing w:line="520" w:lineRule="exact"/>
        <w:ind w:firstLine="646" w:firstLineChars="202"/>
        <w:rPr>
          <w:rFonts w:hint="eastAsia" w:ascii="仿宋" w:hAnsi="仿宋" w:cs="仿宋"/>
          <w:sz w:val="32"/>
          <w:szCs w:val="32"/>
        </w:rPr>
      </w:pPr>
      <w:r>
        <w:rPr>
          <w:rFonts w:hint="eastAsia" w:ascii="仿宋" w:hAnsi="仿宋" w:cs="仿宋"/>
          <w:sz w:val="32"/>
          <w:szCs w:val="32"/>
        </w:rPr>
        <w:t>通过禁止天然林采伐、集约经营、提升森林经营管理水平、优化树种结构，实施天然林保护工程、森林质量精准提升工程、生物多样性保护工程、湿地资源保护与修复工程、林政资源管理体系建设工程等林业重点工程，三亚市森林质量稳步上升。</w:t>
      </w:r>
    </w:p>
    <w:p w14:paraId="0562874C">
      <w:pPr>
        <w:spacing w:line="520" w:lineRule="exact"/>
        <w:ind w:firstLine="646" w:firstLineChars="202"/>
        <w:rPr>
          <w:rFonts w:hint="eastAsia" w:ascii="仿宋" w:hAnsi="仿宋" w:cs="仿宋"/>
          <w:sz w:val="32"/>
          <w:szCs w:val="32"/>
        </w:rPr>
      </w:pPr>
      <w:r>
        <w:rPr>
          <w:rFonts w:hint="eastAsia" w:ascii="仿宋" w:hAnsi="仿宋" w:cs="仿宋"/>
          <w:sz w:val="32"/>
          <w:szCs w:val="32"/>
        </w:rPr>
        <w:t>截至2020年，三亚市林地生产力为57.48立方米/公顷，超出规划期初的2倍。近熟林以上龄组面积占比十年间由21.1%提升至26.86%，林龄结构日趋合理，森林健康度稳步提升。截至2020年，全市共有天然林面积62570.78公顷；重点公益林面积74588.88公顷。十年来，全市天然林面积及公益林面积总量有所下降，但天然有林地单位面积蓄积量由52.65立方米/公顷提升至82立方米/公顷，充分说明了上一轮规划期间，特别是实施天然林保护工程以来所取得的显著成绩，通过保护和封育增加了天然林蓄积量。</w:t>
      </w:r>
    </w:p>
    <w:p w14:paraId="2FED2083">
      <w:pPr>
        <w:pStyle w:val="5"/>
        <w:spacing w:before="200" w:after="200" w:line="520" w:lineRule="exact"/>
        <w:rPr>
          <w:rFonts w:hint="eastAsia" w:ascii="仿宋" w:hAnsi="仿宋" w:eastAsia="仿宋" w:cs="仿宋"/>
        </w:rPr>
      </w:pPr>
      <w:bookmarkStart w:id="21" w:name="_Toc3805"/>
      <w:bookmarkStart w:id="22" w:name="_Toc4267"/>
      <w:bookmarkStart w:id="23" w:name="_Toc7175"/>
      <w:bookmarkStart w:id="24" w:name="_Toc88494645"/>
      <w:bookmarkStart w:id="25" w:name="_Toc11347"/>
      <w:r>
        <w:rPr>
          <w:rFonts w:hint="eastAsia" w:ascii="仿宋" w:hAnsi="仿宋" w:eastAsia="仿宋" w:cs="仿宋"/>
        </w:rPr>
        <w:t>1.2.3 森林资源监管</w:t>
      </w:r>
      <w:bookmarkEnd w:id="21"/>
      <w:bookmarkEnd w:id="22"/>
      <w:bookmarkEnd w:id="23"/>
      <w:bookmarkEnd w:id="24"/>
      <w:r>
        <w:rPr>
          <w:rFonts w:hint="eastAsia" w:ascii="仿宋" w:hAnsi="仿宋" w:eastAsia="仿宋" w:cs="仿宋"/>
        </w:rPr>
        <w:t>不断强化</w:t>
      </w:r>
      <w:bookmarkEnd w:id="25"/>
    </w:p>
    <w:p w14:paraId="37051A61">
      <w:pPr>
        <w:spacing w:line="520" w:lineRule="exact"/>
        <w:ind w:firstLine="646" w:firstLineChars="202"/>
        <w:rPr>
          <w:rFonts w:hint="eastAsia" w:ascii="仿宋" w:hAnsi="仿宋" w:cs="仿宋"/>
          <w:sz w:val="32"/>
          <w:szCs w:val="32"/>
        </w:rPr>
      </w:pPr>
      <w:r>
        <w:rPr>
          <w:rFonts w:hint="eastAsia" w:ascii="仿宋" w:hAnsi="仿宋" w:cs="仿宋"/>
          <w:sz w:val="32"/>
          <w:szCs w:val="32"/>
        </w:rPr>
        <w:t>2011-2020年，三亚市累计发放生态补偿款26807.52万元，累计补偿人口127275人次。森林生态效益补偿工作的实施成效显著，不仅激发村民保护森林资源的自觉性和主动性，更有效遏制了贫困山区村民毁林开垦、靠山吃山的势头，实实在在保护了三亚市森林资源。积极谋划推进林长制，切实加强森林督查整改工作和打击毁林专项行动的组织领导和统筹协调，成立以市长为组长的森林督查专项工作领导小组，坚决落实“中央环保督察”“省委巡视”“绿盾行动”“双十行动”“六大专项整治”等反馈问题，整改完成率100%。构建了完整的森林火灾防控体系，建有林内生物防火林带30公里、工程阻隔带生土带22公里、防火公路180公里。全市配置护林员270人对190万亩林地进行网格化管理，强化火灾防控力度。在海南省2020年度生态公益林管护检查量化考核中，三亚位居全省第一名，取得了连续3年无天然林被破坏的良好成绩。在全省开展的自然保护地整合优化工作中，三亚市自然保护地整合15处，其中国家级3处，省级12处，是实现自然保护地面积净增长的少数市县之一，做到了“保护优先、应保尽保”，为全省生态文明建设作出了表率与贡献。</w:t>
      </w:r>
    </w:p>
    <w:p w14:paraId="59D1DE71">
      <w:pPr>
        <w:pStyle w:val="5"/>
        <w:spacing w:before="200" w:after="200" w:line="520" w:lineRule="exact"/>
        <w:rPr>
          <w:rFonts w:hint="eastAsia" w:ascii="仿宋" w:hAnsi="仿宋" w:eastAsia="仿宋" w:cs="仿宋"/>
        </w:rPr>
      </w:pPr>
      <w:bookmarkStart w:id="26" w:name="_Toc32625"/>
      <w:bookmarkStart w:id="27" w:name="_Toc17128"/>
      <w:bookmarkStart w:id="28" w:name="_Toc88494646"/>
      <w:bookmarkStart w:id="29" w:name="_Toc10272"/>
      <w:bookmarkStart w:id="30" w:name="_Toc9581"/>
      <w:r>
        <w:rPr>
          <w:rFonts w:hint="eastAsia" w:ascii="仿宋" w:hAnsi="仿宋" w:eastAsia="仿宋" w:cs="仿宋"/>
        </w:rPr>
        <w:t>1.2.4 占用林地管理趋向规范化</w:t>
      </w:r>
      <w:bookmarkEnd w:id="26"/>
      <w:bookmarkEnd w:id="27"/>
      <w:bookmarkEnd w:id="28"/>
      <w:bookmarkEnd w:id="29"/>
      <w:bookmarkEnd w:id="30"/>
    </w:p>
    <w:p w14:paraId="634F81C5">
      <w:pPr>
        <w:spacing w:line="520" w:lineRule="exact"/>
        <w:ind w:firstLine="646" w:firstLineChars="202"/>
        <w:rPr>
          <w:rFonts w:hint="eastAsia" w:ascii="仿宋" w:hAnsi="仿宋" w:cs="仿宋"/>
          <w:sz w:val="32"/>
          <w:szCs w:val="32"/>
        </w:rPr>
      </w:pPr>
      <w:r>
        <w:rPr>
          <w:rFonts w:hint="eastAsia" w:ascii="仿宋" w:hAnsi="仿宋" w:cs="仿宋"/>
          <w:sz w:val="32"/>
          <w:szCs w:val="32"/>
        </w:rPr>
        <w:t>三亚市坚持严格执行《森林法》、林地定额管理制度等法律法规，认真贯彻执行国家林草局和海南省有关使用林地审核审批规定，统筹每年的林地定额使用。坚持节约集约用地原则，对使用林地的建设项目进行定量控制和管理，优先保障重点建设项目、基础设施项目、民生项目和扶贫项目占用林地需求，合理调控城镇建设项目，从严控制工矿开发和经营性项目对林地的占用。确保林地利用在有序开发、有偿开发的基础上，实现有限开发。</w:t>
      </w:r>
    </w:p>
    <w:p w14:paraId="7C3251E8">
      <w:pPr>
        <w:pStyle w:val="13"/>
        <w:spacing w:line="520" w:lineRule="exact"/>
        <w:rPr>
          <w:rFonts w:hint="eastAsia" w:ascii="仿宋" w:hAnsi="仿宋" w:eastAsia="仿宋" w:cs="仿宋"/>
          <w:sz w:val="32"/>
          <w:szCs w:val="32"/>
        </w:rPr>
      </w:pPr>
      <w:r>
        <w:rPr>
          <w:rFonts w:hint="eastAsia" w:ascii="仿宋" w:hAnsi="仿宋" w:eastAsia="仿宋" w:cs="仿宋"/>
          <w:sz w:val="32"/>
          <w:szCs w:val="32"/>
        </w:rPr>
        <w:t xml:space="preserve">    据统计，2010-2020年，建设项目占用（永久）林地总面积1152.02公顷；年均占用林地面积104.73公顷，低于规划年均占用面积（136.36公顷）。十三五期间（2015-2020年），40%占用林地项目为公共事业及民生工程，基础设施项目占比23%，经营性项目占比29%，其他项目占比8%。可见，非经营性项目占比超过2/3。以上数据进一步说明三亚市严格执行林地定额管理制度，既节约了林地资源，保证了森林资源的持续增长，又统筹兼顾了经济社会发展的客观需求，林地保护利用趋于规范化、科学化。</w:t>
      </w:r>
    </w:p>
    <w:p w14:paraId="317D2E56">
      <w:pPr>
        <w:pStyle w:val="5"/>
        <w:spacing w:before="200" w:after="200" w:line="520" w:lineRule="exact"/>
        <w:rPr>
          <w:rFonts w:hint="eastAsia" w:ascii="仿宋" w:hAnsi="仿宋" w:eastAsia="仿宋" w:cs="仿宋"/>
        </w:rPr>
      </w:pPr>
      <w:bookmarkStart w:id="31" w:name="_Toc63063115"/>
      <w:bookmarkStart w:id="32" w:name="_Toc30134"/>
      <w:bookmarkStart w:id="33" w:name="_Toc54856760"/>
      <w:bookmarkStart w:id="34" w:name="_Toc12123"/>
      <w:bookmarkStart w:id="35" w:name="_Toc21294"/>
      <w:bookmarkStart w:id="36" w:name="_Toc88494647"/>
      <w:bookmarkStart w:id="37" w:name="_Toc18471"/>
      <w:bookmarkStart w:id="38" w:name="_Toc4455"/>
      <w:bookmarkStart w:id="39" w:name="_Toc31260"/>
      <w:r>
        <w:rPr>
          <w:rFonts w:hint="eastAsia" w:ascii="仿宋" w:hAnsi="仿宋" w:eastAsia="仿宋" w:cs="仿宋"/>
        </w:rPr>
        <w:t>1.2.5 林业特色产业</w:t>
      </w:r>
      <w:bookmarkEnd w:id="31"/>
      <w:bookmarkEnd w:id="32"/>
      <w:bookmarkEnd w:id="33"/>
      <w:bookmarkEnd w:id="34"/>
      <w:r>
        <w:rPr>
          <w:rFonts w:hint="eastAsia" w:ascii="仿宋" w:hAnsi="仿宋" w:eastAsia="仿宋" w:cs="仿宋"/>
        </w:rPr>
        <w:t>蓬勃发展</w:t>
      </w:r>
      <w:bookmarkEnd w:id="35"/>
      <w:bookmarkEnd w:id="36"/>
      <w:bookmarkEnd w:id="37"/>
      <w:bookmarkEnd w:id="38"/>
      <w:bookmarkEnd w:id="39"/>
    </w:p>
    <w:p w14:paraId="2A67793A">
      <w:pPr>
        <w:spacing w:line="520" w:lineRule="exact"/>
        <w:ind w:firstLine="646" w:firstLineChars="202"/>
        <w:rPr>
          <w:rFonts w:hint="eastAsia" w:ascii="仿宋" w:hAnsi="仿宋" w:cs="仿宋"/>
          <w:sz w:val="32"/>
          <w:szCs w:val="32"/>
        </w:rPr>
      </w:pPr>
      <w:bookmarkStart w:id="40" w:name="_Toc54856761"/>
      <w:bookmarkStart w:id="41" w:name="_Toc63063116"/>
      <w:bookmarkStart w:id="42" w:name="_Toc1344"/>
      <w:bookmarkStart w:id="43" w:name="_Toc23884"/>
      <w:r>
        <w:rPr>
          <w:rFonts w:hint="eastAsia" w:ascii="仿宋" w:hAnsi="仿宋" w:cs="仿宋"/>
          <w:sz w:val="32"/>
          <w:szCs w:val="32"/>
        </w:rPr>
        <w:t>为科学利用林地资源，三亚市始终坚持将林业产业作为重要抓手，结合市场需求，依据自然格局，采取因地制宜、稳步推进的工作举措，拓展林农增加经济收入的渠道，带动广大林农增收致富。鼓励利用各类适宜林地发展森林旅游、森林康养、种苗花卉、林果产业及林下经济等产业。以历年三亚市国民经济统计公报数据为依据统计，2013年为转折点，林业产值呈整体稳步上升趋势。</w:t>
      </w:r>
    </w:p>
    <w:p w14:paraId="5EA273B2">
      <w:pPr>
        <w:spacing w:line="520" w:lineRule="exact"/>
        <w:ind w:firstLine="646" w:firstLineChars="202"/>
        <w:rPr>
          <w:rFonts w:hint="eastAsia" w:ascii="仿宋" w:hAnsi="仿宋" w:cs="仿宋"/>
          <w:sz w:val="32"/>
          <w:szCs w:val="32"/>
        </w:rPr>
      </w:pPr>
      <w:r>
        <w:rPr>
          <w:rFonts w:hint="eastAsia" w:ascii="仿宋" w:hAnsi="仿宋" w:cs="仿宋"/>
          <w:sz w:val="32"/>
          <w:szCs w:val="32"/>
        </w:rPr>
        <w:t>三亚市森林旅游资源包括热带雨林、低地雨林、城市公园、海洋湿地类等。2020年，全市以亚龙湾热带天堂森林公园为主体的6处森林公园共接待游客237.6万人，整体营收4.37亿元。截止2020年，三亚市已申报以南岛森林康养基地为代表的5个国家级森林康养基地试点单位，其中南岛森林康养基地已列入第一批正式国家级森林康养基地名单。截止2020年，三亚市林木种苗与花卉种植总面积1255.4公顷，年总产值4.73亿元。三亚市用材林总面积56255.13公顷，占森林总面积的42.34%，用材林树种主要有桉树、相思、降香黄檀、白木香等。三亚市从事木材加工厂（木业店）有56家，主要分布在吉阳区、天涯区和崖州区，年销售额达3920万元。三亚市经济林面积4762.36公顷，占森林总面积的3.58%。特色经济林作物有芒果、槟榔、椰子、橡胶等。2020年三亚市经济林总产值约37.29万元。</w:t>
      </w:r>
    </w:p>
    <w:bookmarkEnd w:id="40"/>
    <w:bookmarkEnd w:id="41"/>
    <w:bookmarkEnd w:id="42"/>
    <w:bookmarkEnd w:id="43"/>
    <w:p w14:paraId="193D5466">
      <w:pPr>
        <w:pStyle w:val="4"/>
        <w:spacing w:line="520" w:lineRule="exact"/>
        <w:rPr>
          <w:rFonts w:hint="eastAsia" w:ascii="仿宋" w:hAnsi="仿宋" w:eastAsia="仿宋" w:cs="仿宋"/>
        </w:rPr>
      </w:pPr>
      <w:bookmarkStart w:id="44" w:name="_Toc31243"/>
      <w:bookmarkStart w:id="45" w:name="_Toc32583"/>
      <w:r>
        <w:rPr>
          <w:rFonts w:hint="eastAsia" w:ascii="仿宋" w:hAnsi="仿宋" w:eastAsia="仿宋" w:cs="仿宋"/>
        </w:rPr>
        <w:t>1.3 主要问题</w:t>
      </w:r>
      <w:bookmarkEnd w:id="44"/>
      <w:bookmarkEnd w:id="45"/>
    </w:p>
    <w:p w14:paraId="60DB93A3">
      <w:pPr>
        <w:pStyle w:val="5"/>
        <w:spacing w:before="200" w:after="200" w:line="520" w:lineRule="exact"/>
        <w:rPr>
          <w:rFonts w:hint="eastAsia" w:ascii="仿宋" w:hAnsi="仿宋" w:eastAsia="仿宋" w:cs="仿宋"/>
        </w:rPr>
      </w:pPr>
      <w:bookmarkStart w:id="46" w:name="_Toc9238"/>
      <w:r>
        <w:rPr>
          <w:rFonts w:hint="eastAsia" w:ascii="仿宋" w:hAnsi="仿宋" w:eastAsia="仿宋" w:cs="仿宋"/>
        </w:rPr>
        <w:t>1.3.1 林种树种结构有待优化</w:t>
      </w:r>
      <w:bookmarkEnd w:id="46"/>
    </w:p>
    <w:p w14:paraId="62BBB219">
      <w:pPr>
        <w:pStyle w:val="13"/>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三亚市的人工用材主要树种桉树和相思均为外来树种，其中桉树2776.24公顷、相思1575.51公顷，二者占用材林总面积的42.94%；乡土珍贵树种主要是花梨木和白木香，其中花梨木221.74公顷、白木香66.36公顷。乡土珍贵树种总面积仅占用材林总面积的2.35%。</w:t>
      </w:r>
    </w:p>
    <w:p w14:paraId="55AC59C6">
      <w:pPr>
        <w:spacing w:line="520" w:lineRule="exact"/>
        <w:ind w:firstLine="646" w:firstLineChars="202"/>
        <w:rPr>
          <w:rFonts w:hint="eastAsia" w:ascii="仿宋" w:hAnsi="仿宋" w:cs="仿宋"/>
          <w:sz w:val="32"/>
          <w:szCs w:val="32"/>
        </w:rPr>
      </w:pPr>
      <w:r>
        <w:rPr>
          <w:rFonts w:hint="eastAsia" w:ascii="仿宋" w:hAnsi="仿宋" w:cs="仿宋"/>
          <w:sz w:val="32"/>
          <w:szCs w:val="32"/>
        </w:rPr>
        <w:t>另外，三亚市公益林中存在10920.17公顷（占公益林总面积的14.16%）的经济林树种，其中除了兼具经济和生态价值的橡胶5772.05公顷，还有槟榔2733.35公顷、芒果2044.99公顷、其它经济林树种369.78公顷，分别占比53%、25%、19%、3%。部分公益林范围内的纯经济林导致生态功能退化或丧失、景观破坏。主要原因有：一是长期施用化肥，缺乏有机肥，容易改变土壤的理化性质，影响土壤的自肥能力；二是缺乏防止地力衰退与提高土壤肥力措施。</w:t>
      </w:r>
    </w:p>
    <w:p w14:paraId="4FFCE1F6">
      <w:pPr>
        <w:pStyle w:val="5"/>
        <w:spacing w:before="200" w:after="200" w:line="520" w:lineRule="exact"/>
        <w:rPr>
          <w:rFonts w:hint="eastAsia" w:ascii="仿宋" w:hAnsi="仿宋" w:eastAsia="仿宋" w:cs="仿宋"/>
        </w:rPr>
      </w:pPr>
      <w:bookmarkStart w:id="47" w:name="_Toc5625"/>
      <w:r>
        <w:rPr>
          <w:rFonts w:hint="eastAsia" w:ascii="仿宋" w:hAnsi="仿宋" w:eastAsia="仿宋" w:cs="仿宋"/>
        </w:rPr>
        <w:t>1.3.2 邻县交界地带难治理</w:t>
      </w:r>
      <w:bookmarkEnd w:id="47"/>
    </w:p>
    <w:p w14:paraId="33757CD3">
      <w:pPr>
        <w:spacing w:line="520" w:lineRule="exact"/>
        <w:ind w:firstLine="646" w:firstLineChars="202"/>
        <w:rPr>
          <w:rFonts w:hint="eastAsia" w:ascii="仿宋" w:hAnsi="仿宋" w:cs="仿宋"/>
          <w:sz w:val="32"/>
          <w:szCs w:val="32"/>
        </w:rPr>
      </w:pPr>
      <w:r>
        <w:rPr>
          <w:rFonts w:hint="eastAsia" w:ascii="仿宋" w:hAnsi="仿宋" w:cs="仿宋"/>
          <w:sz w:val="32"/>
          <w:szCs w:val="32"/>
        </w:rPr>
        <w:t>三亚市行政辖区东接陵水县，南临南海，西北与乐东县接壤，东北与保亭县比邻，地势北高南低。与乐东县、保亭县交界范围大部分为山地，距三亚市区路程较远且交通不便，如育才生态区西北部山区须绕道且必经乐东县志仲镇多元村方可到达。交界范围存在大量毁林开垦、侵占国有林地现象，三亚市各级林业、执法及公安部门多次组织现场调查，但因难于取证导致无法彻底解决毁林问题，甚至出现当地村民围攻调查人员现象。</w:t>
      </w:r>
    </w:p>
    <w:p w14:paraId="3D42780E">
      <w:pPr>
        <w:pStyle w:val="5"/>
        <w:spacing w:before="200" w:after="200" w:line="520" w:lineRule="exact"/>
        <w:rPr>
          <w:rFonts w:hint="eastAsia" w:ascii="仿宋" w:hAnsi="仿宋" w:eastAsia="仿宋" w:cs="仿宋"/>
        </w:rPr>
      </w:pPr>
      <w:bookmarkStart w:id="48" w:name="_Toc88494652"/>
      <w:bookmarkStart w:id="49" w:name="_Toc30901"/>
      <w:bookmarkStart w:id="50" w:name="_Toc24583"/>
      <w:bookmarkStart w:id="51" w:name="_Toc3353"/>
      <w:bookmarkStart w:id="52" w:name="_Toc8569"/>
      <w:r>
        <w:rPr>
          <w:rFonts w:hint="eastAsia" w:ascii="仿宋" w:hAnsi="仿宋" w:eastAsia="仿宋" w:cs="仿宋"/>
        </w:rPr>
        <w:t xml:space="preserve">1.3.3 </w:t>
      </w:r>
      <w:bookmarkEnd w:id="48"/>
      <w:bookmarkEnd w:id="49"/>
      <w:bookmarkEnd w:id="50"/>
      <w:bookmarkEnd w:id="51"/>
      <w:r>
        <w:rPr>
          <w:rFonts w:hint="eastAsia" w:ascii="仿宋" w:hAnsi="仿宋" w:eastAsia="仿宋" w:cs="仿宋"/>
        </w:rPr>
        <w:t>精细化管理能力有待进一步提高</w:t>
      </w:r>
      <w:bookmarkEnd w:id="52"/>
    </w:p>
    <w:p w14:paraId="3A047CEA">
      <w:pPr>
        <w:spacing w:line="520" w:lineRule="exact"/>
        <w:ind w:firstLine="646" w:firstLineChars="202"/>
        <w:rPr>
          <w:rFonts w:hint="eastAsia" w:ascii="仿宋" w:hAnsi="仿宋" w:cs="仿宋"/>
          <w:sz w:val="32"/>
          <w:szCs w:val="32"/>
        </w:rPr>
      </w:pPr>
      <w:r>
        <w:rPr>
          <w:rFonts w:hint="eastAsia" w:ascii="仿宋" w:hAnsi="仿宋" w:cs="仿宋"/>
          <w:sz w:val="32"/>
          <w:szCs w:val="32"/>
        </w:rPr>
        <w:t>随着三亚市林地保护管理能力的不断提升，森林资源管护面临的形势正由大面积毁林开垦、无证采伐、违规用地等向超证采伐、超审批范围用地、未批先建等转变。这对森林资源管理由粗放化向精细化转变提出了更高的要求。目前三亚市各区均存在超范围采伐等问题，森林资源精细化管理水平有待进一步提高。其次，三亚市仅有一家林业相关司法鉴定资质的单位，技术力量相对薄弱，还难以有力支撑森林督察和打击毁林专项行动违法图斑整改工作。第三，三亚市尚未构建林业一体化的智慧林业系统，打造高效的现代化林业管理体系尚需时日。</w:t>
      </w:r>
    </w:p>
    <w:p w14:paraId="5938EFF4">
      <w:pPr>
        <w:pStyle w:val="13"/>
        <w:spacing w:line="520" w:lineRule="exact"/>
        <w:rPr>
          <w:rFonts w:hint="eastAsia" w:ascii="仿宋" w:hAnsi="仿宋" w:eastAsia="仿宋" w:cs="仿宋"/>
          <w:sz w:val="32"/>
          <w:szCs w:val="32"/>
        </w:rPr>
      </w:pPr>
    </w:p>
    <w:p w14:paraId="785A4066">
      <w:pPr>
        <w:pStyle w:val="3"/>
        <w:spacing w:before="312" w:beforeLines="100" w:after="312" w:afterLines="100" w:line="520" w:lineRule="exact"/>
        <w:jc w:val="center"/>
        <w:rPr>
          <w:rFonts w:hint="eastAsia" w:ascii="仿宋" w:hAnsi="仿宋" w:cs="仿宋"/>
          <w:bCs w:val="0"/>
          <w:sz w:val="32"/>
          <w:szCs w:val="32"/>
        </w:rPr>
        <w:sectPr>
          <w:pgSz w:w="11906" w:h="16838"/>
          <w:pgMar w:top="1417" w:right="1417" w:bottom="1417" w:left="1417" w:header="851" w:footer="992" w:gutter="0"/>
          <w:cols w:space="720" w:num="1"/>
          <w:docGrid w:type="lines" w:linePitch="312" w:charSpace="0"/>
        </w:sectPr>
      </w:pPr>
      <w:bookmarkStart w:id="53" w:name="_Toc22901"/>
    </w:p>
    <w:p w14:paraId="39658450">
      <w:pPr>
        <w:pStyle w:val="3"/>
        <w:spacing w:before="468" w:beforeLines="150" w:after="312" w:afterLines="100" w:line="520" w:lineRule="exact"/>
        <w:jc w:val="center"/>
        <w:rPr>
          <w:rFonts w:hint="eastAsia" w:ascii="黑体" w:hAnsi="黑体" w:eastAsia="黑体" w:cs="黑体"/>
          <w:bCs w:val="0"/>
          <w:sz w:val="32"/>
          <w:szCs w:val="32"/>
        </w:rPr>
      </w:pPr>
      <w:bookmarkStart w:id="54" w:name="_Toc31585"/>
      <w:r>
        <w:rPr>
          <w:rFonts w:hint="eastAsia" w:ascii="黑体" w:hAnsi="黑体" w:eastAsia="黑体" w:cs="黑体"/>
          <w:bCs w:val="0"/>
          <w:sz w:val="32"/>
          <w:szCs w:val="32"/>
        </w:rPr>
        <w:t>第二章　林地保护利用现状分析</w:t>
      </w:r>
      <w:bookmarkEnd w:id="53"/>
      <w:bookmarkEnd w:id="54"/>
    </w:p>
    <w:p w14:paraId="0691C343">
      <w:pPr>
        <w:pStyle w:val="4"/>
        <w:spacing w:line="520" w:lineRule="exact"/>
        <w:rPr>
          <w:rFonts w:hint="eastAsia" w:ascii="仿宋" w:hAnsi="仿宋" w:eastAsia="仿宋" w:cs="仿宋"/>
        </w:rPr>
      </w:pPr>
      <w:bookmarkStart w:id="55" w:name="_Toc26685"/>
      <w:bookmarkStart w:id="56" w:name="_Toc11341"/>
      <w:r>
        <w:rPr>
          <w:rFonts w:hint="eastAsia" w:ascii="仿宋" w:hAnsi="仿宋" w:eastAsia="仿宋" w:cs="仿宋"/>
        </w:rPr>
        <w:t xml:space="preserve">2.1 </w:t>
      </w:r>
      <w:bookmarkEnd w:id="55"/>
      <w:bookmarkStart w:id="57" w:name="_Toc1892"/>
      <w:bookmarkStart w:id="58" w:name="_Toc305061650"/>
      <w:bookmarkStart w:id="59" w:name="_Toc481661208"/>
      <w:r>
        <w:rPr>
          <w:rFonts w:hint="eastAsia" w:ascii="仿宋" w:hAnsi="仿宋" w:eastAsia="仿宋" w:cs="仿宋"/>
        </w:rPr>
        <w:t>林地资源现状</w:t>
      </w:r>
      <w:bookmarkEnd w:id="56"/>
      <w:bookmarkEnd w:id="57"/>
      <w:bookmarkEnd w:id="58"/>
      <w:bookmarkEnd w:id="59"/>
    </w:p>
    <w:p w14:paraId="20FC9EC9">
      <w:pPr>
        <w:pStyle w:val="4"/>
        <w:spacing w:line="520" w:lineRule="exact"/>
        <w:rPr>
          <w:rFonts w:hint="eastAsia" w:ascii="仿宋" w:hAnsi="仿宋" w:eastAsia="仿宋" w:cs="仿宋"/>
        </w:rPr>
      </w:pPr>
      <w:bookmarkStart w:id="60" w:name="_Toc88494661"/>
      <w:bookmarkStart w:id="61" w:name="_Toc5806"/>
      <w:bookmarkStart w:id="62" w:name="_Toc28654"/>
      <w:bookmarkStart w:id="63" w:name="_Toc7213"/>
      <w:bookmarkStart w:id="64" w:name="_Toc15927"/>
      <w:bookmarkStart w:id="65" w:name="_Toc17916"/>
      <w:bookmarkStart w:id="66" w:name="_Toc13620"/>
      <w:r>
        <w:rPr>
          <w:rFonts w:hint="eastAsia" w:ascii="仿宋" w:hAnsi="仿宋" w:eastAsia="仿宋" w:cs="仿宋"/>
        </w:rPr>
        <w:t>2.1.1 各类林地面积</w:t>
      </w:r>
      <w:bookmarkEnd w:id="60"/>
      <w:bookmarkEnd w:id="61"/>
      <w:bookmarkEnd w:id="62"/>
      <w:bookmarkEnd w:id="63"/>
      <w:bookmarkEnd w:id="64"/>
      <w:bookmarkEnd w:id="65"/>
      <w:bookmarkEnd w:id="66"/>
    </w:p>
    <w:p w14:paraId="16643666">
      <w:pPr>
        <w:spacing w:line="520" w:lineRule="exact"/>
        <w:ind w:firstLine="646" w:firstLineChars="202"/>
        <w:rPr>
          <w:rFonts w:hint="eastAsia" w:ascii="仿宋" w:hAnsi="仿宋" w:cs="仿宋"/>
          <w:sz w:val="32"/>
          <w:szCs w:val="32"/>
        </w:rPr>
      </w:pPr>
      <w:r>
        <w:rPr>
          <w:rFonts w:hint="eastAsia" w:ascii="仿宋" w:hAnsi="仿宋" w:cs="仿宋"/>
          <w:sz w:val="32"/>
          <w:szCs w:val="32"/>
        </w:rPr>
        <w:t>根据第三次森林资源二类调查数据，全市林地总面积积 143137.07公顷，占土地总面积的 74.50%；非林地面积 49002.55公顷，占 34.23%。其中：乔木林地134594.13公顷，灌木林地59.74公顷，苗圃地212.98公顷，无立木林地1212.81公顷，宜林地6929.22公顷。</w:t>
      </w:r>
    </w:p>
    <w:p w14:paraId="1D87B56F">
      <w:pPr>
        <w:pStyle w:val="5"/>
        <w:spacing w:before="200" w:after="200" w:line="520" w:lineRule="exact"/>
        <w:rPr>
          <w:rFonts w:hint="eastAsia" w:ascii="仿宋" w:hAnsi="仿宋" w:eastAsia="仿宋" w:cs="仿宋"/>
        </w:rPr>
      </w:pPr>
      <w:bookmarkStart w:id="67" w:name="_Toc13577"/>
      <w:bookmarkStart w:id="68" w:name="_Toc2796"/>
      <w:bookmarkStart w:id="69" w:name="_Toc88494662"/>
      <w:bookmarkStart w:id="70" w:name="_Toc15018"/>
      <w:bookmarkStart w:id="71" w:name="_Toc30929"/>
      <w:r>
        <w:rPr>
          <w:rFonts w:hint="eastAsia" w:ascii="仿宋" w:hAnsi="仿宋" w:eastAsia="仿宋" w:cs="仿宋"/>
        </w:rPr>
        <w:t>2.1.2 森林面积及森林覆盖率</w:t>
      </w:r>
      <w:bookmarkEnd w:id="67"/>
      <w:bookmarkEnd w:id="68"/>
      <w:bookmarkEnd w:id="69"/>
      <w:bookmarkEnd w:id="70"/>
      <w:bookmarkEnd w:id="71"/>
    </w:p>
    <w:p w14:paraId="7A4816A6">
      <w:pPr>
        <w:spacing w:line="520" w:lineRule="exact"/>
        <w:ind w:firstLine="646" w:firstLineChars="202"/>
        <w:rPr>
          <w:rFonts w:hint="eastAsia" w:ascii="仿宋" w:hAnsi="仿宋" w:cs="仿宋"/>
          <w:sz w:val="32"/>
          <w:szCs w:val="32"/>
        </w:rPr>
      </w:pPr>
      <w:r>
        <w:rPr>
          <w:rFonts w:hint="eastAsia" w:ascii="仿宋" w:hAnsi="仿宋" w:cs="仿宋"/>
          <w:sz w:val="32"/>
          <w:szCs w:val="32"/>
        </w:rPr>
        <w:t>根据第三次森林资源二类调查数据，全市森林面积 134653.87 公顷。其中，有林地面积 134594.13 公顷，国家特别规定灌木林地面积 59.74 公顷，森林覆盖率 70.08%。全市四旁树总株数 289.76 万株，折算面积 1756.15 公顷，四旁树绿化率为 0.91%；全市林木绿化率（森林覆盖率＋四旁树绿化率）为 70.99%。</w:t>
      </w:r>
    </w:p>
    <w:p w14:paraId="3A99C867">
      <w:pPr>
        <w:pStyle w:val="5"/>
        <w:spacing w:line="520" w:lineRule="exact"/>
        <w:rPr>
          <w:rFonts w:hint="eastAsia" w:ascii="仿宋" w:hAnsi="仿宋" w:eastAsia="仿宋" w:cs="仿宋"/>
        </w:rPr>
      </w:pPr>
      <w:bookmarkStart w:id="72" w:name="_Toc2238"/>
      <w:bookmarkStart w:id="73" w:name="_Toc19951"/>
      <w:bookmarkStart w:id="74" w:name="_Toc26399"/>
      <w:bookmarkStart w:id="75" w:name="_Toc88494663"/>
      <w:bookmarkStart w:id="76" w:name="_Toc11220"/>
      <w:r>
        <w:rPr>
          <w:rFonts w:hint="eastAsia" w:ascii="仿宋" w:hAnsi="仿宋" w:eastAsia="仿宋" w:cs="仿宋"/>
        </w:rPr>
        <w:t>2.1.3 起源</w:t>
      </w:r>
      <w:bookmarkEnd w:id="72"/>
      <w:bookmarkEnd w:id="73"/>
      <w:bookmarkEnd w:id="74"/>
      <w:bookmarkEnd w:id="75"/>
      <w:bookmarkEnd w:id="76"/>
    </w:p>
    <w:p w14:paraId="38A9F90D">
      <w:pPr>
        <w:spacing w:line="520" w:lineRule="exact"/>
        <w:ind w:firstLine="646" w:firstLineChars="202"/>
        <w:rPr>
          <w:rFonts w:hint="eastAsia" w:ascii="仿宋" w:hAnsi="仿宋" w:cs="仿宋"/>
          <w:sz w:val="32"/>
          <w:szCs w:val="32"/>
        </w:rPr>
      </w:pPr>
      <w:r>
        <w:rPr>
          <w:rFonts w:hint="eastAsia" w:ascii="仿宋" w:hAnsi="仿宋" w:cs="仿宋"/>
          <w:sz w:val="32"/>
          <w:szCs w:val="32"/>
        </w:rPr>
        <w:t>有林地林地面积按起源分，天然林面积67335.23公顷，占林地面积的47.04%；人工林面积67258.90公顷，占林地面积的46.98%。</w:t>
      </w:r>
    </w:p>
    <w:p w14:paraId="6BC43532">
      <w:pPr>
        <w:pStyle w:val="5"/>
        <w:spacing w:before="200" w:after="200" w:line="520" w:lineRule="exact"/>
        <w:rPr>
          <w:rFonts w:hint="eastAsia" w:ascii="仿宋" w:hAnsi="仿宋" w:eastAsia="仿宋" w:cs="仿宋"/>
        </w:rPr>
      </w:pPr>
      <w:bookmarkStart w:id="77" w:name="_Toc88494664"/>
      <w:bookmarkStart w:id="78" w:name="_Toc19049"/>
      <w:bookmarkStart w:id="79" w:name="_Toc14852"/>
      <w:bookmarkStart w:id="80" w:name="_Toc1785"/>
      <w:bookmarkStart w:id="81" w:name="_Toc29231"/>
      <w:r>
        <w:rPr>
          <w:rFonts w:hint="eastAsia" w:ascii="仿宋" w:hAnsi="仿宋" w:eastAsia="仿宋" w:cs="仿宋"/>
        </w:rPr>
        <w:t>2.1.4 林地权属</w:t>
      </w:r>
      <w:bookmarkEnd w:id="77"/>
      <w:bookmarkEnd w:id="78"/>
      <w:bookmarkEnd w:id="79"/>
      <w:bookmarkEnd w:id="80"/>
      <w:bookmarkEnd w:id="81"/>
    </w:p>
    <w:p w14:paraId="6139B852">
      <w:pPr>
        <w:spacing w:line="520" w:lineRule="exact"/>
        <w:ind w:firstLine="646" w:firstLineChars="202"/>
        <w:rPr>
          <w:rFonts w:hint="eastAsia" w:ascii="仿宋" w:hAnsi="仿宋" w:cs="仿宋"/>
          <w:sz w:val="32"/>
          <w:szCs w:val="32"/>
        </w:rPr>
      </w:pPr>
      <w:r>
        <w:rPr>
          <w:rFonts w:hint="eastAsia" w:ascii="仿宋" w:hAnsi="仿宋" w:cs="仿宋"/>
          <w:sz w:val="32"/>
          <w:szCs w:val="32"/>
        </w:rPr>
        <w:t>林地面积按权属分，国有林地面积127823.24公顷，占林地面积的89.3%；集体所有的林地面积15313.84公顷，占林地面积的10.7%。林地权属大部分为国家所有。</w:t>
      </w:r>
    </w:p>
    <w:p w14:paraId="7E61170C">
      <w:pPr>
        <w:pStyle w:val="5"/>
        <w:spacing w:before="200" w:after="200" w:line="520" w:lineRule="exact"/>
        <w:rPr>
          <w:rFonts w:hint="eastAsia" w:ascii="仿宋" w:hAnsi="仿宋" w:eastAsia="仿宋" w:cs="仿宋"/>
        </w:rPr>
      </w:pPr>
      <w:bookmarkStart w:id="82" w:name="_Toc88494665"/>
      <w:bookmarkStart w:id="83" w:name="_Toc17285"/>
      <w:bookmarkStart w:id="84" w:name="_Toc32222"/>
      <w:bookmarkStart w:id="85" w:name="_Toc25513"/>
      <w:bookmarkStart w:id="86" w:name="_Toc14687"/>
      <w:r>
        <w:rPr>
          <w:rFonts w:hint="eastAsia" w:ascii="仿宋" w:hAnsi="仿宋" w:eastAsia="仿宋" w:cs="仿宋"/>
        </w:rPr>
        <w:t>2.1.5 森林类别结构</w:t>
      </w:r>
      <w:bookmarkEnd w:id="82"/>
      <w:bookmarkEnd w:id="83"/>
      <w:bookmarkEnd w:id="84"/>
      <w:bookmarkEnd w:id="85"/>
      <w:bookmarkEnd w:id="86"/>
    </w:p>
    <w:p w14:paraId="6DBE31D3">
      <w:pPr>
        <w:spacing w:line="520" w:lineRule="exact"/>
        <w:ind w:firstLine="646" w:firstLineChars="202"/>
        <w:rPr>
          <w:rFonts w:hint="eastAsia" w:ascii="仿宋" w:hAnsi="仿宋" w:cs="仿宋"/>
          <w:sz w:val="32"/>
          <w:szCs w:val="32"/>
        </w:rPr>
      </w:pPr>
      <w:r>
        <w:rPr>
          <w:rFonts w:hint="eastAsia" w:ascii="仿宋" w:hAnsi="仿宋" w:cs="仿宋"/>
          <w:sz w:val="32"/>
          <w:szCs w:val="32"/>
        </w:rPr>
        <w:t>2020年，全市公益林地面积74588.88公顷，均为重点公益林地（国家级、省级公益林地），占林地面积的53.22%；商品林地面积61017.49公顷，均为一般商品林地，占林地面积的43.53%。</w:t>
      </w:r>
    </w:p>
    <w:p w14:paraId="348A5F45">
      <w:pPr>
        <w:pStyle w:val="6"/>
        <w:spacing w:before="0" w:after="0" w:line="520" w:lineRule="exact"/>
        <w:rPr>
          <w:rFonts w:hint="eastAsia" w:ascii="仿宋" w:hAnsi="仿宋" w:eastAsia="仿宋" w:cs="仿宋"/>
          <w:b w:val="0"/>
          <w:sz w:val="32"/>
          <w:szCs w:val="32"/>
        </w:rPr>
      </w:pPr>
      <w:r>
        <w:rPr>
          <w:rFonts w:hint="eastAsia" w:ascii="仿宋" w:hAnsi="仿宋" w:eastAsia="仿宋" w:cs="仿宋"/>
          <w:b w:val="0"/>
          <w:sz w:val="32"/>
          <w:szCs w:val="32"/>
        </w:rPr>
        <w:t>（1）公益林地结构</w:t>
      </w:r>
    </w:p>
    <w:p w14:paraId="3B759808">
      <w:pPr>
        <w:spacing w:line="520" w:lineRule="exact"/>
        <w:ind w:firstLine="646" w:firstLineChars="202"/>
        <w:rPr>
          <w:rFonts w:hint="eastAsia" w:ascii="仿宋" w:hAnsi="仿宋" w:cs="仿宋"/>
          <w:sz w:val="32"/>
          <w:szCs w:val="32"/>
        </w:rPr>
      </w:pPr>
      <w:r>
        <w:rPr>
          <w:rFonts w:hint="eastAsia" w:ascii="仿宋" w:hAnsi="仿宋" w:cs="仿宋"/>
          <w:sz w:val="32"/>
          <w:szCs w:val="32"/>
        </w:rPr>
        <w:t>全市公益林地面积74588.88公顷，其中：防护林面积61804.14公顷，占全市公益林地面积的82.86%；特用林面积12784.73公顷，占17.14%。</w:t>
      </w:r>
    </w:p>
    <w:p w14:paraId="29564D10">
      <w:pPr>
        <w:spacing w:line="520" w:lineRule="exact"/>
        <w:ind w:firstLine="646" w:firstLineChars="202"/>
        <w:rPr>
          <w:rFonts w:hint="eastAsia" w:ascii="仿宋" w:hAnsi="仿宋" w:cs="仿宋"/>
          <w:sz w:val="32"/>
          <w:szCs w:val="32"/>
        </w:rPr>
      </w:pPr>
      <w:r>
        <w:rPr>
          <w:rFonts w:hint="eastAsia" w:ascii="仿宋" w:hAnsi="仿宋" w:cs="仿宋"/>
          <w:sz w:val="32"/>
          <w:szCs w:val="32"/>
        </w:rPr>
        <w:t>根据生态保护重点布局需要，将公益林地全部划入重点公益林地，重点公益林地包括国家级公益林地和省级公益林地，其中：国家级公益林地58507.18公顷，占公益林地面积的78.44%；省级公益林地16081.69公顷，占公益林地面积的21.56%。</w:t>
      </w:r>
    </w:p>
    <w:p w14:paraId="6ED736B3">
      <w:pPr>
        <w:pStyle w:val="6"/>
        <w:spacing w:before="0" w:after="0" w:line="520" w:lineRule="exact"/>
        <w:rPr>
          <w:rFonts w:hint="eastAsia" w:ascii="仿宋" w:hAnsi="仿宋" w:eastAsia="仿宋" w:cs="仿宋"/>
          <w:b w:val="0"/>
          <w:sz w:val="32"/>
          <w:szCs w:val="32"/>
        </w:rPr>
      </w:pPr>
      <w:r>
        <w:rPr>
          <w:rFonts w:hint="eastAsia" w:ascii="仿宋" w:hAnsi="仿宋" w:eastAsia="仿宋" w:cs="仿宋"/>
          <w:b w:val="0"/>
          <w:sz w:val="32"/>
          <w:szCs w:val="32"/>
        </w:rPr>
        <w:t>（2）商品林地结构</w:t>
      </w:r>
    </w:p>
    <w:p w14:paraId="515A73B4">
      <w:pPr>
        <w:spacing w:line="520" w:lineRule="exact"/>
        <w:ind w:firstLine="646" w:firstLineChars="202"/>
        <w:rPr>
          <w:rFonts w:hint="eastAsia" w:ascii="仿宋" w:hAnsi="仿宋" w:cs="仿宋"/>
          <w:sz w:val="32"/>
          <w:szCs w:val="32"/>
        </w:rPr>
      </w:pPr>
      <w:r>
        <w:rPr>
          <w:rFonts w:hint="eastAsia" w:ascii="仿宋" w:hAnsi="仿宋" w:cs="仿宋"/>
          <w:sz w:val="32"/>
          <w:szCs w:val="32"/>
        </w:rPr>
        <w:t>全市商品林地面积61017.49公顷，其中：用材林56255.13公顷，占92.2%；经济林4762.36公顷，占7.8%。三亚市暂未划定重点商品林，全市商品林均为一般商品林。</w:t>
      </w:r>
    </w:p>
    <w:p w14:paraId="161591D7">
      <w:pPr>
        <w:pStyle w:val="4"/>
        <w:spacing w:line="520" w:lineRule="exact"/>
        <w:rPr>
          <w:rFonts w:hint="eastAsia" w:ascii="仿宋" w:hAnsi="仿宋" w:eastAsia="仿宋" w:cs="仿宋"/>
        </w:rPr>
      </w:pPr>
      <w:bookmarkStart w:id="87" w:name="_Toc22568"/>
      <w:bookmarkStart w:id="88" w:name="_Toc15652"/>
      <w:r>
        <w:rPr>
          <w:rFonts w:hint="eastAsia" w:ascii="仿宋" w:hAnsi="仿宋" w:eastAsia="仿宋" w:cs="仿宋"/>
        </w:rPr>
        <w:t>2.2 自然保护地情况</w:t>
      </w:r>
      <w:bookmarkEnd w:id="87"/>
      <w:bookmarkEnd w:id="88"/>
    </w:p>
    <w:p w14:paraId="5488A997">
      <w:pPr>
        <w:spacing w:line="520" w:lineRule="exact"/>
        <w:ind w:firstLine="646" w:firstLineChars="202"/>
        <w:rPr>
          <w:rFonts w:hint="eastAsia" w:ascii="仿宋" w:hAnsi="仿宋" w:cs="仿宋"/>
          <w:sz w:val="32"/>
          <w:szCs w:val="32"/>
        </w:rPr>
      </w:pPr>
      <w:r>
        <w:rPr>
          <w:rFonts w:hint="eastAsia" w:ascii="仿宋" w:hAnsi="仿宋" w:cs="仿宋"/>
          <w:sz w:val="32"/>
          <w:szCs w:val="32"/>
        </w:rPr>
        <w:t>三亚市辖区内有自然保护地共15处，其中：国家级自然保护地3处、省级自然保护地5处、市县级自然保护地7处，批复总面积43759.7公顷，落图总面积43645.1公顷。自然保护地按保护类型分：自然保护区共7处，包括三亚珊瑚礁自然保护区、三亚市甘什岭自然保护区、三亚市铁炉港红树林自然保护区、三亚河红树林保护区、亚龙湾青梅港红树林保护区、三亚六道市级自然保护区、三亚火岭市级自然保护区；森林公园6处，包括琼南岭省级森林公园、南山洞中山省级森林公园、抱龙省级森林公园、三亚市甘什岭省级森林公园、临春岭森林公园、亚龙湾热带森林公园；湿地公园1处：海南三亚河国家湿地公园；风景名胜区1处：三亚热带海滨风景名胜区。有9个自然保护地存在交叉重叠的情况，重叠面积1383.69公顷（重叠区域面积只算一次）。此外，全市自然保护地存在自然资源分属不同部门管理、行政区域分割、各自然保护地生态系统完整性和连通性不足等问题。</w:t>
      </w:r>
    </w:p>
    <w:p w14:paraId="19DEE072">
      <w:pPr>
        <w:pStyle w:val="4"/>
        <w:spacing w:line="520" w:lineRule="exact"/>
        <w:rPr>
          <w:rFonts w:hint="eastAsia" w:ascii="仿宋" w:hAnsi="仿宋" w:eastAsia="仿宋" w:cs="仿宋"/>
        </w:rPr>
      </w:pPr>
      <w:bookmarkStart w:id="89" w:name="_Toc17468"/>
      <w:bookmarkStart w:id="90" w:name="_Toc16642"/>
      <w:r>
        <w:rPr>
          <w:rFonts w:hint="eastAsia" w:ascii="仿宋" w:hAnsi="仿宋" w:eastAsia="仿宋" w:cs="仿宋"/>
        </w:rPr>
        <w:t>2.3 林地保护利用基本情况分析</w:t>
      </w:r>
      <w:bookmarkEnd w:id="89"/>
      <w:bookmarkEnd w:id="90"/>
    </w:p>
    <w:p w14:paraId="1655400C">
      <w:pPr>
        <w:spacing w:line="520" w:lineRule="exact"/>
        <w:ind w:firstLine="646" w:firstLineChars="202"/>
        <w:rPr>
          <w:rFonts w:hint="eastAsia" w:ascii="仿宋" w:hAnsi="仿宋" w:cs="仿宋"/>
          <w:sz w:val="32"/>
          <w:szCs w:val="32"/>
        </w:rPr>
      </w:pPr>
      <w:r>
        <w:rPr>
          <w:rFonts w:hint="eastAsia" w:ascii="仿宋" w:hAnsi="仿宋" w:cs="仿宋"/>
          <w:sz w:val="32"/>
          <w:szCs w:val="32"/>
        </w:rPr>
        <w:t>通过实施造林绿化和生态修复等一系列林业重点生态工程，三亚市林地面积、森林覆盖率均达到了由省林业局批复的原规划所确定目标。其中：规划目标到2020年林地保有量129180公顷，“国土三调对接融合数据”中林地面积为140161.38公顷，现有林地面积超过规划目标10981.37公顷。规划目标到2020年森林保有量达到126590公顷以上，森林覆盖率提高到66%以上，“国土三调对接融合数据”中森林面积为132865.96公顷，森林覆盖率为69.1%。现有森林面积和森林覆盖率均达到上一版林保规划目标。</w:t>
      </w:r>
    </w:p>
    <w:p w14:paraId="5F86BC89">
      <w:pPr>
        <w:pStyle w:val="4"/>
        <w:spacing w:line="520" w:lineRule="exact"/>
        <w:rPr>
          <w:rFonts w:hint="eastAsia" w:ascii="仿宋" w:hAnsi="仿宋" w:eastAsia="仿宋" w:cs="仿宋"/>
        </w:rPr>
      </w:pPr>
      <w:bookmarkStart w:id="91" w:name="_Toc88917878"/>
      <w:bookmarkStart w:id="92" w:name="_Toc5986"/>
      <w:bookmarkStart w:id="93" w:name="_Toc10153"/>
      <w:r>
        <w:rPr>
          <w:rFonts w:hint="eastAsia" w:ascii="仿宋" w:hAnsi="仿宋" w:eastAsia="仿宋" w:cs="仿宋"/>
        </w:rPr>
        <w:t>2.4 林地质量及变化分析</w:t>
      </w:r>
      <w:bookmarkEnd w:id="91"/>
      <w:bookmarkEnd w:id="92"/>
      <w:bookmarkEnd w:id="93"/>
    </w:p>
    <w:p w14:paraId="4EFBCC1B">
      <w:pPr>
        <w:pStyle w:val="5"/>
        <w:spacing w:before="200" w:after="200" w:line="520" w:lineRule="exact"/>
        <w:rPr>
          <w:rFonts w:hint="eastAsia" w:ascii="仿宋" w:hAnsi="仿宋" w:eastAsia="仿宋" w:cs="仿宋"/>
        </w:rPr>
      </w:pPr>
      <w:bookmarkStart w:id="94" w:name="_Toc2552"/>
      <w:bookmarkStart w:id="95" w:name="_Toc29532"/>
      <w:bookmarkStart w:id="96" w:name="_Toc16393"/>
      <w:bookmarkStart w:id="97" w:name="_Toc15855"/>
      <w:bookmarkStart w:id="98" w:name="_Toc88494671"/>
      <w:r>
        <w:rPr>
          <w:rFonts w:hint="eastAsia" w:ascii="仿宋" w:hAnsi="仿宋" w:eastAsia="仿宋" w:cs="仿宋"/>
        </w:rPr>
        <w:t>2.4.1建设项目使用林地规模对比</w:t>
      </w:r>
      <w:bookmarkEnd w:id="94"/>
      <w:bookmarkEnd w:id="95"/>
      <w:bookmarkEnd w:id="96"/>
      <w:bookmarkEnd w:id="97"/>
      <w:bookmarkEnd w:id="98"/>
    </w:p>
    <w:p w14:paraId="2CD1F6B6">
      <w:pPr>
        <w:spacing w:line="520" w:lineRule="exact"/>
        <w:ind w:firstLine="646" w:firstLineChars="202"/>
        <w:rPr>
          <w:rFonts w:hint="eastAsia" w:ascii="仿宋" w:hAnsi="仿宋" w:cs="仿宋"/>
          <w:sz w:val="32"/>
          <w:szCs w:val="32"/>
        </w:rPr>
      </w:pPr>
      <w:r>
        <w:rPr>
          <w:rFonts w:hint="eastAsia" w:ascii="仿宋" w:hAnsi="仿宋" w:cs="仿宋"/>
          <w:sz w:val="32"/>
          <w:szCs w:val="32"/>
        </w:rPr>
        <w:t>原规划目标2010-2020年建设项目使用林地面积严格控制在1500公顷以内，2010-2020年建设项目实际使用林地面积1152.02公顷，未超规划目标使用林地面积347.98公顷。</w:t>
      </w:r>
    </w:p>
    <w:p w14:paraId="0DF261DD">
      <w:pPr>
        <w:pStyle w:val="5"/>
        <w:spacing w:before="200" w:after="200" w:line="520" w:lineRule="exact"/>
        <w:rPr>
          <w:rFonts w:hint="eastAsia" w:ascii="仿宋" w:hAnsi="仿宋" w:eastAsia="仿宋" w:cs="仿宋"/>
        </w:rPr>
      </w:pPr>
      <w:bookmarkStart w:id="99" w:name="_Toc19966"/>
      <w:bookmarkStart w:id="100" w:name="_Toc26112"/>
      <w:bookmarkStart w:id="101" w:name="_Toc26987"/>
      <w:bookmarkStart w:id="102" w:name="_Toc88494672"/>
      <w:bookmarkStart w:id="103" w:name="_Toc12721"/>
      <w:r>
        <w:rPr>
          <w:rFonts w:hint="eastAsia" w:ascii="仿宋" w:hAnsi="仿宋" w:eastAsia="仿宋" w:cs="仿宋"/>
        </w:rPr>
        <w:t>2.4.2林地生产力目标对比</w:t>
      </w:r>
      <w:bookmarkEnd w:id="99"/>
      <w:bookmarkEnd w:id="100"/>
      <w:bookmarkEnd w:id="101"/>
      <w:bookmarkEnd w:id="102"/>
      <w:bookmarkEnd w:id="103"/>
    </w:p>
    <w:p w14:paraId="26A1022D">
      <w:pPr>
        <w:spacing w:line="520" w:lineRule="exact"/>
        <w:ind w:firstLine="646" w:firstLineChars="202"/>
        <w:rPr>
          <w:rFonts w:hint="eastAsia" w:ascii="仿宋" w:hAnsi="仿宋" w:cs="仿宋"/>
          <w:sz w:val="32"/>
          <w:szCs w:val="32"/>
        </w:rPr>
      </w:pPr>
      <w:r>
        <w:rPr>
          <w:rFonts w:hint="eastAsia" w:ascii="仿宋" w:hAnsi="仿宋" w:cs="仿宋"/>
          <w:sz w:val="32"/>
          <w:szCs w:val="32"/>
        </w:rPr>
        <w:t>上一版林保规划到2020年，全市林地生产力达到32.7立方米/公顷以上。“国土三调对接融合数据”中全市林地生产力为57.48立方米/公顷，超修编规划目标24.78立方米/公顷。</w:t>
      </w:r>
    </w:p>
    <w:p w14:paraId="09DD363E">
      <w:pPr>
        <w:pStyle w:val="5"/>
        <w:spacing w:before="200" w:after="200" w:line="520" w:lineRule="exact"/>
        <w:rPr>
          <w:rFonts w:hint="eastAsia" w:ascii="仿宋" w:hAnsi="仿宋" w:eastAsia="仿宋" w:cs="仿宋"/>
        </w:rPr>
      </w:pPr>
      <w:bookmarkStart w:id="104" w:name="_Toc18087"/>
      <w:bookmarkStart w:id="105" w:name="_Toc24060"/>
      <w:bookmarkStart w:id="106" w:name="_Toc3801"/>
      <w:bookmarkStart w:id="107" w:name="_Toc25205"/>
      <w:bookmarkStart w:id="108" w:name="_Toc88494673"/>
      <w:r>
        <w:rPr>
          <w:rFonts w:hint="eastAsia" w:ascii="仿宋" w:hAnsi="仿宋" w:eastAsia="仿宋" w:cs="仿宋"/>
        </w:rPr>
        <w:t>2.4.3重点公益林地目标对比</w:t>
      </w:r>
      <w:bookmarkEnd w:id="104"/>
      <w:bookmarkEnd w:id="105"/>
      <w:bookmarkEnd w:id="106"/>
      <w:bookmarkEnd w:id="107"/>
      <w:bookmarkEnd w:id="108"/>
    </w:p>
    <w:p w14:paraId="06769D5A">
      <w:pPr>
        <w:spacing w:line="520" w:lineRule="exact"/>
        <w:ind w:firstLine="646" w:firstLineChars="202"/>
        <w:rPr>
          <w:rFonts w:hint="eastAsia" w:ascii="仿宋" w:hAnsi="仿宋" w:cs="仿宋"/>
          <w:sz w:val="32"/>
          <w:szCs w:val="32"/>
        </w:rPr>
      </w:pPr>
      <w:r>
        <w:rPr>
          <w:rFonts w:hint="eastAsia" w:ascii="仿宋" w:hAnsi="仿宋" w:cs="仿宋"/>
          <w:sz w:val="32"/>
          <w:szCs w:val="32"/>
        </w:rPr>
        <w:t>规划原目标到2020年，重点公益林地达到77086.67公顷，占2020年规划林地总面积的59.67%。“国土三调对接融合数据”中重点公益林地达到74588.88公顷，占2020年规划林地总面积的53.22%。重点公益林地离规划目标仍有2497.79公顷的差距。</w:t>
      </w:r>
    </w:p>
    <w:p w14:paraId="0F7F3B59">
      <w:pPr>
        <w:pStyle w:val="5"/>
        <w:spacing w:before="200" w:after="200" w:line="520" w:lineRule="exact"/>
        <w:rPr>
          <w:rFonts w:hint="eastAsia" w:ascii="仿宋" w:hAnsi="仿宋" w:eastAsia="仿宋" w:cs="仿宋"/>
        </w:rPr>
      </w:pPr>
      <w:bookmarkStart w:id="109" w:name="_Toc88494674"/>
      <w:bookmarkStart w:id="110" w:name="_Toc31794"/>
      <w:bookmarkStart w:id="111" w:name="_Toc8081"/>
      <w:bookmarkStart w:id="112" w:name="_Toc7483"/>
      <w:bookmarkStart w:id="113" w:name="_Toc27964"/>
      <w:r>
        <w:rPr>
          <w:rFonts w:hint="eastAsia" w:ascii="仿宋" w:hAnsi="仿宋" w:eastAsia="仿宋" w:cs="仿宋"/>
        </w:rPr>
        <w:t>2.4.4重点商品林地目标对比</w:t>
      </w:r>
      <w:bookmarkEnd w:id="109"/>
      <w:bookmarkEnd w:id="110"/>
      <w:bookmarkEnd w:id="111"/>
      <w:bookmarkEnd w:id="112"/>
      <w:bookmarkEnd w:id="113"/>
    </w:p>
    <w:p w14:paraId="1F147AE8">
      <w:pPr>
        <w:spacing w:line="520" w:lineRule="exact"/>
        <w:ind w:firstLine="646" w:firstLineChars="202"/>
        <w:rPr>
          <w:rFonts w:hint="eastAsia" w:ascii="仿宋" w:hAnsi="仿宋" w:cs="仿宋"/>
          <w:sz w:val="32"/>
          <w:szCs w:val="32"/>
        </w:rPr>
      </w:pPr>
      <w:r>
        <w:rPr>
          <w:rFonts w:hint="eastAsia" w:ascii="仿宋" w:hAnsi="仿宋" w:cs="仿宋"/>
          <w:sz w:val="32"/>
          <w:szCs w:val="32"/>
        </w:rPr>
        <w:t>原规划目标到2020年，重点商品林地达到16210公顷，占2020年规划林地总面积的12.55%。“国土三调对接融合数据”中重点商品林地面积为0公顷，暂未划定重点商品林地。</w:t>
      </w:r>
    </w:p>
    <w:p w14:paraId="6FBBEB3F">
      <w:pPr>
        <w:pStyle w:val="4"/>
        <w:spacing w:line="520" w:lineRule="exact"/>
        <w:rPr>
          <w:rFonts w:hint="eastAsia" w:ascii="仿宋" w:hAnsi="仿宋" w:eastAsia="仿宋" w:cs="仿宋"/>
        </w:rPr>
      </w:pPr>
      <w:bookmarkStart w:id="114" w:name="_Toc21824"/>
      <w:bookmarkStart w:id="115" w:name="_Toc32224"/>
      <w:r>
        <w:rPr>
          <w:rFonts w:hint="eastAsia" w:ascii="仿宋" w:hAnsi="仿宋" w:eastAsia="仿宋" w:cs="仿宋"/>
        </w:rPr>
        <w:t>2.5 林地结构与布局分析</w:t>
      </w:r>
      <w:bookmarkEnd w:id="114"/>
      <w:bookmarkEnd w:id="115"/>
    </w:p>
    <w:p w14:paraId="173CCF58">
      <w:pPr>
        <w:spacing w:line="520" w:lineRule="exact"/>
        <w:ind w:firstLine="646" w:firstLineChars="202"/>
        <w:rPr>
          <w:rFonts w:hint="eastAsia" w:ascii="仿宋" w:hAnsi="仿宋" w:cs="仿宋"/>
          <w:sz w:val="32"/>
          <w:szCs w:val="32"/>
        </w:rPr>
      </w:pPr>
      <w:r>
        <w:rPr>
          <w:rFonts w:hint="eastAsia" w:ascii="仿宋" w:hAnsi="仿宋" w:cs="仿宋"/>
          <w:sz w:val="32"/>
          <w:szCs w:val="32"/>
        </w:rPr>
        <w:t>林地利用结构主要是从“地”的角度以现状结构出发，根据规划期社会经济发展需要和林地可供给能力，将林地规划为生态公益林地和商品林地。根据与国土三调对接融合数据，三亚市林业用地面积140161.38公顷，占全市国土三调控制面积192274.15公顷的72.9%。不含非林地森林资源在内，全市森林面积132865.96公顷，占林地面积的94.79%，森林覆盖率69.1%。其中生态公益林地面积74588.88公顷，占林地总面积的53.22%；商品林地面积61017.49公顷，占林地总面积的43.53%。</w:t>
      </w:r>
    </w:p>
    <w:p w14:paraId="12EB1566">
      <w:pPr>
        <w:pStyle w:val="4"/>
        <w:spacing w:line="520" w:lineRule="exact"/>
        <w:rPr>
          <w:rFonts w:hint="eastAsia" w:ascii="仿宋" w:hAnsi="仿宋" w:eastAsia="仿宋" w:cs="仿宋"/>
        </w:rPr>
      </w:pPr>
      <w:bookmarkStart w:id="116" w:name="_Toc15722"/>
      <w:bookmarkStart w:id="117" w:name="_Toc20313"/>
      <w:r>
        <w:rPr>
          <w:rFonts w:hint="eastAsia" w:ascii="仿宋" w:hAnsi="仿宋" w:eastAsia="仿宋" w:cs="仿宋"/>
        </w:rPr>
        <w:t>2.6 规划期内面临的机遇与挑战</w:t>
      </w:r>
      <w:bookmarkEnd w:id="116"/>
      <w:bookmarkEnd w:id="117"/>
    </w:p>
    <w:p w14:paraId="5FA0A6E5">
      <w:pPr>
        <w:pStyle w:val="5"/>
        <w:spacing w:before="200" w:after="200" w:line="520" w:lineRule="exact"/>
        <w:rPr>
          <w:rFonts w:hint="eastAsia" w:ascii="仿宋" w:hAnsi="仿宋" w:eastAsia="仿宋" w:cs="仿宋"/>
        </w:rPr>
      </w:pPr>
      <w:bookmarkStart w:id="118" w:name="_Toc27782"/>
      <w:bookmarkStart w:id="119" w:name="_Toc31825"/>
      <w:r>
        <w:rPr>
          <w:rFonts w:hint="eastAsia" w:ascii="仿宋" w:hAnsi="仿宋" w:eastAsia="仿宋" w:cs="仿宋"/>
        </w:rPr>
        <w:t>2.6.1面临的机遇</w:t>
      </w:r>
      <w:bookmarkEnd w:id="118"/>
      <w:bookmarkEnd w:id="119"/>
    </w:p>
    <w:p w14:paraId="312F8BEA">
      <w:pPr>
        <w:numPr>
          <w:ilvl w:val="0"/>
          <w:numId w:val="1"/>
        </w:numPr>
        <w:spacing w:line="520" w:lineRule="exact"/>
        <w:ind w:firstLine="646" w:firstLineChars="202"/>
        <w:rPr>
          <w:rFonts w:hint="eastAsia" w:ascii="仿宋" w:hAnsi="仿宋" w:cs="仿宋"/>
          <w:sz w:val="32"/>
          <w:szCs w:val="32"/>
        </w:rPr>
      </w:pPr>
      <w:r>
        <w:rPr>
          <w:rFonts w:hint="eastAsia" w:ascii="仿宋" w:hAnsi="仿宋" w:cs="仿宋"/>
          <w:sz w:val="32"/>
          <w:szCs w:val="32"/>
        </w:rPr>
        <w:t>生态文明建设地位日益凸显</w:t>
      </w:r>
    </w:p>
    <w:p w14:paraId="081758FE">
      <w:pPr>
        <w:spacing w:line="520" w:lineRule="exact"/>
        <w:ind w:firstLine="640" w:firstLineChars="200"/>
        <w:rPr>
          <w:rFonts w:hint="eastAsia" w:ascii="仿宋" w:hAnsi="仿宋" w:cs="仿宋"/>
          <w:sz w:val="32"/>
          <w:szCs w:val="32"/>
        </w:rPr>
      </w:pPr>
      <w:r>
        <w:rPr>
          <w:rFonts w:hint="eastAsia" w:ascii="仿宋" w:hAnsi="仿宋" w:cs="仿宋"/>
          <w:sz w:val="32"/>
          <w:szCs w:val="32"/>
        </w:rPr>
        <w:t>十八大以来，“五位一体”总体布局得到正式确立与统筹推进，生态文明建设上升为国家重要战略，党中央与各级政府对生态保护与修复重视与支持力度空前加大，绿水青山就是金山银山、山水林田湖草生命共同体、人与自然和谐共生等生态文明理念牢固树立，节约资源与保护环境意识持续增强，社会对优美生态环境及高质生态服务的渴望非常强烈，为包括林地、森林在内的所有自然资源保护利用奠定坚实基础。</w:t>
      </w:r>
    </w:p>
    <w:p w14:paraId="02BDB89B">
      <w:pPr>
        <w:spacing w:line="520" w:lineRule="exact"/>
        <w:ind w:firstLine="640" w:firstLineChars="200"/>
        <w:rPr>
          <w:rFonts w:hint="eastAsia" w:ascii="仿宋" w:hAnsi="仿宋" w:cs="仿宋"/>
          <w:sz w:val="32"/>
          <w:szCs w:val="32"/>
        </w:rPr>
      </w:pPr>
      <w:r>
        <w:rPr>
          <w:rFonts w:hint="eastAsia" w:ascii="仿宋" w:hAnsi="仿宋" w:cs="仿宋"/>
          <w:sz w:val="32"/>
          <w:szCs w:val="32"/>
        </w:rPr>
        <w:t>2022年4月，习近平总书记在海南考察时强调，海南要坚持生态立省不动摇，把生态文明建设作为重中之重。指示一脉相承，关怀一以贯之，深刻反映出生态文明建设在海南发展全局中的极端重要性。</w:t>
      </w:r>
    </w:p>
    <w:p w14:paraId="435FCBDB">
      <w:pPr>
        <w:numPr>
          <w:ilvl w:val="0"/>
          <w:numId w:val="1"/>
        </w:numPr>
        <w:spacing w:line="520" w:lineRule="exact"/>
        <w:ind w:firstLine="646" w:firstLineChars="202"/>
        <w:rPr>
          <w:rFonts w:hint="eastAsia" w:ascii="仿宋" w:hAnsi="仿宋" w:cs="仿宋"/>
          <w:sz w:val="32"/>
          <w:szCs w:val="32"/>
        </w:rPr>
      </w:pPr>
      <w:r>
        <w:rPr>
          <w:rFonts w:hint="eastAsia" w:ascii="仿宋" w:hAnsi="仿宋" w:cs="仿宋"/>
          <w:sz w:val="32"/>
          <w:szCs w:val="32"/>
        </w:rPr>
        <w:t>自然资源整合力度空前加强</w:t>
      </w:r>
    </w:p>
    <w:p w14:paraId="4D1C5738">
      <w:pPr>
        <w:spacing w:line="520" w:lineRule="exact"/>
        <w:ind w:firstLine="640" w:firstLineChars="200"/>
        <w:rPr>
          <w:rFonts w:hint="eastAsia" w:ascii="仿宋" w:hAnsi="仿宋" w:cs="仿宋"/>
          <w:sz w:val="32"/>
          <w:szCs w:val="32"/>
        </w:rPr>
      </w:pPr>
      <w:r>
        <w:rPr>
          <w:rFonts w:hint="eastAsia" w:ascii="仿宋" w:hAnsi="仿宋" w:cs="仿宋"/>
          <w:sz w:val="32"/>
          <w:szCs w:val="32"/>
        </w:rPr>
        <w:t>2018年，国家决定整合原国土、住建、水利、农业、林业、海洋等部门相关职能，组建自然资源部，统一行使所有国土空间用途管制和生态保护修复职责。林地、森林作为自然资源、生态空间的重要组成部分，被纳入自然资源统一调查，纳入国土空间统一规划及用途管制。为统筹山水林田湖草沙系统治理，森林生态系统完整性维护、林地边界及管理主体责任确定，实现林地空间逐步融入国土空间规划体系，真正实现森林资源管理“一张图”等提供了充分的机构保障与现实可能，为生态文明建设相关制度的建立与落实提供了便利。</w:t>
      </w:r>
    </w:p>
    <w:p w14:paraId="534AD4D6">
      <w:pPr>
        <w:numPr>
          <w:ilvl w:val="0"/>
          <w:numId w:val="1"/>
        </w:numPr>
        <w:spacing w:line="520" w:lineRule="exact"/>
        <w:ind w:firstLine="646" w:firstLineChars="202"/>
        <w:rPr>
          <w:rFonts w:hint="eastAsia" w:ascii="仿宋" w:hAnsi="仿宋" w:cs="仿宋"/>
          <w:sz w:val="32"/>
          <w:szCs w:val="32"/>
        </w:rPr>
      </w:pPr>
      <w:r>
        <w:rPr>
          <w:rFonts w:hint="eastAsia" w:ascii="仿宋" w:hAnsi="仿宋" w:cs="仿宋"/>
          <w:sz w:val="32"/>
          <w:szCs w:val="32"/>
        </w:rPr>
        <w:t>制度保障持续发力</w:t>
      </w:r>
    </w:p>
    <w:p w14:paraId="78D3F93E">
      <w:pPr>
        <w:spacing w:line="520" w:lineRule="exact"/>
        <w:ind w:firstLine="640" w:firstLineChars="200"/>
        <w:rPr>
          <w:rFonts w:hint="eastAsia" w:ascii="仿宋" w:hAnsi="仿宋" w:cs="仿宋"/>
          <w:sz w:val="32"/>
          <w:szCs w:val="32"/>
        </w:rPr>
      </w:pPr>
      <w:r>
        <w:rPr>
          <w:rFonts w:hint="eastAsia" w:ascii="仿宋" w:hAnsi="仿宋" w:cs="仿宋"/>
          <w:sz w:val="32"/>
          <w:szCs w:val="32"/>
        </w:rPr>
        <w:t>2020年，中共中央办公厅、国务院办公厅印发了《关于全面推行林长制的意见》，要求全面建立各级林长制，坚持森林草原资源生态优先、保护为主的制度原则，明确着力加强森林草原生态保护、生态修复、灾害防控、监测监管等主要任务。同年年底，根据中央和省市有关要求，三亚市制定了《关于全面推行林长制的实施方案》。全市建立市、区、村（社区）三级林长制体系，实行党政主要负责人双林长制，明确了“实施最严格的保护制度、提升森林质量效益、提高森林防灾减灾能力”等主要任务。按照属地管理原则，三亚市在海南省率先将商品林划分责任片区合理分配给就近公益林管护人员，进一步优化管护网格，明确全市279名管护人员的工作职责。林长制的实施，为加强全市林地保护提供了强有力的组织保障和体制保障。</w:t>
      </w:r>
    </w:p>
    <w:p w14:paraId="770DC81D">
      <w:pPr>
        <w:pStyle w:val="5"/>
        <w:spacing w:before="200" w:after="200" w:line="520" w:lineRule="exact"/>
        <w:rPr>
          <w:rFonts w:hint="eastAsia" w:ascii="仿宋" w:hAnsi="仿宋" w:eastAsia="仿宋" w:cs="仿宋"/>
        </w:rPr>
      </w:pPr>
      <w:bookmarkStart w:id="120" w:name="_Toc25202"/>
      <w:bookmarkStart w:id="121" w:name="_Toc15933"/>
      <w:r>
        <w:rPr>
          <w:rFonts w:hint="eastAsia" w:ascii="仿宋" w:hAnsi="仿宋" w:eastAsia="仿宋" w:cs="仿宋"/>
        </w:rPr>
        <w:t>2.6.2面临的挑战</w:t>
      </w:r>
      <w:bookmarkEnd w:id="120"/>
      <w:bookmarkEnd w:id="121"/>
    </w:p>
    <w:p w14:paraId="66C305D5">
      <w:pPr>
        <w:numPr>
          <w:ilvl w:val="0"/>
          <w:numId w:val="2"/>
        </w:numPr>
        <w:spacing w:line="520" w:lineRule="exact"/>
        <w:ind w:firstLine="646" w:firstLineChars="202"/>
        <w:rPr>
          <w:rFonts w:hint="eastAsia" w:ascii="仿宋" w:hAnsi="仿宋" w:cs="仿宋"/>
          <w:sz w:val="32"/>
          <w:szCs w:val="32"/>
        </w:rPr>
      </w:pPr>
      <w:r>
        <w:rPr>
          <w:rFonts w:hint="eastAsia" w:ascii="仿宋" w:hAnsi="仿宋" w:cs="仿宋"/>
          <w:sz w:val="32"/>
          <w:szCs w:val="32"/>
        </w:rPr>
        <w:t>保护与发展的矛盾突出</w:t>
      </w:r>
    </w:p>
    <w:p w14:paraId="62C39B9C">
      <w:pPr>
        <w:spacing w:line="520" w:lineRule="exact"/>
        <w:ind w:firstLine="640" w:firstLineChars="200"/>
        <w:rPr>
          <w:rFonts w:hint="eastAsia" w:ascii="仿宋" w:hAnsi="仿宋" w:cs="仿宋"/>
          <w:sz w:val="32"/>
          <w:szCs w:val="32"/>
        </w:rPr>
      </w:pPr>
      <w:r>
        <w:rPr>
          <w:rFonts w:hint="eastAsia" w:ascii="仿宋" w:hAnsi="仿宋" w:cs="仿宋"/>
          <w:sz w:val="32"/>
          <w:szCs w:val="32"/>
        </w:rPr>
        <w:t>三亚市地处海南岛的最南端，是具有热带海滨风景特色的国际旅游城市。三亚市林地面积比重较大，随着国家对耕地保护政策力度不断加强，自贸港建设及全面深化改革步伐加快推进，建设用地占用林地的比重和数量将会逐步增加，林地的保护面临着巨大挑战。全市国土空间规划将新增大量的基础设施建设项目：三亚站周边道路、荔仙园公墓二期、北部山区饮水工程、南山“四个一”交通配套工程项目、三亚绕城高速公路新联互通及服务站、省道S314天新线、三亚市西水中调工程、五指山至保亭至海棠湾高速公路项目等，未来5-10年林地使用需求增大。另外，由于大力实施乡村振兴战略，农村种植经济作物的需求增大，使用林地的需求增加；槟榔等经济作物及花卉苗木有大规模上山的趋势，毁林开垦和毁林造林隐患增大。整体上保护与发展的矛盾将更加突出，林地保护面临压力较大。</w:t>
      </w:r>
    </w:p>
    <w:p w14:paraId="0535AAB5">
      <w:pPr>
        <w:numPr>
          <w:ilvl w:val="0"/>
          <w:numId w:val="2"/>
        </w:numPr>
        <w:spacing w:line="520" w:lineRule="exact"/>
        <w:ind w:firstLine="646" w:firstLineChars="202"/>
        <w:rPr>
          <w:rFonts w:hint="eastAsia" w:ascii="仿宋" w:hAnsi="仿宋" w:cs="仿宋"/>
          <w:sz w:val="32"/>
          <w:szCs w:val="32"/>
        </w:rPr>
      </w:pPr>
      <w:r>
        <w:rPr>
          <w:rFonts w:hint="eastAsia" w:ascii="仿宋" w:hAnsi="仿宋" w:cs="仿宋"/>
          <w:sz w:val="32"/>
          <w:szCs w:val="32"/>
        </w:rPr>
        <w:t>林业生态建设质量一般</w:t>
      </w:r>
    </w:p>
    <w:p w14:paraId="76E29EF8">
      <w:pPr>
        <w:spacing w:line="520" w:lineRule="exact"/>
        <w:ind w:firstLine="640" w:firstLineChars="200"/>
        <w:rPr>
          <w:rFonts w:hint="eastAsia" w:ascii="仿宋" w:hAnsi="仿宋" w:cs="仿宋"/>
          <w:sz w:val="32"/>
          <w:szCs w:val="32"/>
        </w:rPr>
      </w:pPr>
      <w:r>
        <w:rPr>
          <w:rFonts w:hint="eastAsia" w:ascii="仿宋" w:hAnsi="仿宋" w:cs="仿宋"/>
          <w:sz w:val="32"/>
          <w:szCs w:val="32"/>
        </w:rPr>
        <w:t>林业生态建设质量不佳的问题主要表现为系统性不足、科学性欠缺两个方面。林业生态保护是一项系统工程，必须讲究全局性和科学性，全局性即要从林业生态全局的高度，遵守林业自然规律，推动林业可持续发展，确保林业生态环境保护和林业资源的良性发展，而科学性指要科学处理林业建设和生态保护中涉及的“生物—生物”、“生物—环境”、“人—环境”的各种关系，统筹推进林业生态工程的顺利实施。而在实践中，表现的却并不理想。一段时期以来，林业生态保护被曲解，片面化地理解成“增加林地面积”，导致面积虽然增加了，但是整体质量却较为堪忧。同时，林业生态保护中对于结构、效益的认识不到位，没有充分考虑到树种、林种的关系，导致树种单一、林种不合理的问题较为突出。“三亚市公益林中经济林树种占比达14.16%”、“重点商品林面积为零”等现状均反映了上述问题。</w:t>
      </w:r>
    </w:p>
    <w:p w14:paraId="6EF9794A">
      <w:pPr>
        <w:pStyle w:val="4"/>
        <w:spacing w:line="520" w:lineRule="exact"/>
        <w:rPr>
          <w:rFonts w:hint="eastAsia" w:ascii="仿宋" w:hAnsi="仿宋" w:eastAsia="仿宋" w:cs="仿宋"/>
        </w:rPr>
      </w:pPr>
      <w:bookmarkStart w:id="122" w:name="_Toc13668"/>
      <w:bookmarkStart w:id="123" w:name="_Toc2187"/>
      <w:r>
        <w:rPr>
          <w:rFonts w:hint="eastAsia" w:ascii="仿宋" w:hAnsi="仿宋" w:eastAsia="仿宋" w:cs="仿宋"/>
        </w:rPr>
        <w:t>2.7 与空间规划等相关规划的关系</w:t>
      </w:r>
      <w:bookmarkEnd w:id="122"/>
      <w:bookmarkEnd w:id="123"/>
    </w:p>
    <w:p w14:paraId="73AF0CFB">
      <w:pPr>
        <w:spacing w:line="520" w:lineRule="exact"/>
        <w:ind w:firstLine="646" w:firstLineChars="202"/>
        <w:rPr>
          <w:rFonts w:hint="eastAsia" w:ascii="仿宋" w:hAnsi="仿宋" w:cs="仿宋"/>
          <w:sz w:val="32"/>
          <w:szCs w:val="32"/>
        </w:rPr>
      </w:pPr>
      <w:r>
        <w:rPr>
          <w:rFonts w:hint="eastAsia" w:ascii="仿宋" w:hAnsi="仿宋" w:cs="仿宋"/>
          <w:sz w:val="32"/>
          <w:szCs w:val="32"/>
        </w:rPr>
        <w:t>三亚市国土空间规划落实国家战略要求，以保育三亚唯一性生态资源、引领高质量发展为目标，突出生态文明、战略引领、区域协同、陆海统筹、资源优配等理念，谋篇布局新时代三亚发展总蓝图，是市域国土空间保护、开发、利用、修复和指导各类建设的总体行动纲领。</w:t>
      </w:r>
    </w:p>
    <w:p w14:paraId="1D91F831">
      <w:pPr>
        <w:spacing w:line="520" w:lineRule="exact"/>
        <w:ind w:firstLine="646" w:firstLineChars="202"/>
        <w:rPr>
          <w:rFonts w:hint="eastAsia" w:ascii="仿宋" w:hAnsi="仿宋" w:cs="仿宋"/>
          <w:sz w:val="32"/>
          <w:szCs w:val="32"/>
        </w:rPr>
      </w:pPr>
      <w:r>
        <w:rPr>
          <w:rFonts w:hint="eastAsia" w:ascii="仿宋" w:hAnsi="仿宋" w:cs="仿宋"/>
          <w:sz w:val="32"/>
          <w:szCs w:val="32"/>
        </w:rPr>
        <w:t>新一轮林地保护利用规划属于国土空间规划中的专项规划，是林地保护利用的政策和总纲，是明确林地管理边界、落实林地用途管制、实现林地科学管理、提高林地保护利用效率的重要依据，具有战略性、协调性和约束性。林地范围由第三次全国国土调查与森林资源管理“一张图”对接融合后确定，并根据森林资源管理“一张图”、森林资源清查历史数据对相关数据进行对接。强化与其他专项规划、三条控制线、自然保护地优化整合等工作相互协同，并开展必要的补充调查，完善相关林分因子，确定森林及林地保有量等相关指标。</w:t>
      </w:r>
    </w:p>
    <w:p w14:paraId="03EB1EC9">
      <w:pPr>
        <w:spacing w:line="520" w:lineRule="exact"/>
        <w:rPr>
          <w:rFonts w:hint="eastAsia" w:ascii="仿宋" w:hAnsi="仿宋" w:cs="仿宋"/>
          <w:sz w:val="32"/>
          <w:szCs w:val="32"/>
        </w:rPr>
      </w:pPr>
    </w:p>
    <w:p w14:paraId="6E08B439">
      <w:pPr>
        <w:pStyle w:val="3"/>
        <w:spacing w:before="468" w:beforeLines="150" w:after="312" w:afterLines="100" w:line="520" w:lineRule="exact"/>
        <w:jc w:val="center"/>
        <w:rPr>
          <w:rFonts w:hint="eastAsia" w:ascii="仿宋" w:hAnsi="仿宋" w:cs="仿宋"/>
          <w:bCs w:val="0"/>
          <w:sz w:val="32"/>
          <w:szCs w:val="32"/>
        </w:rPr>
        <w:sectPr>
          <w:pgSz w:w="11906" w:h="16838"/>
          <w:pgMar w:top="1417" w:right="1417" w:bottom="1417" w:left="1417" w:header="851" w:footer="992" w:gutter="0"/>
          <w:cols w:space="720" w:num="1"/>
          <w:docGrid w:type="lines" w:linePitch="312" w:charSpace="0"/>
        </w:sectPr>
      </w:pPr>
      <w:bookmarkStart w:id="124" w:name="_Toc1850"/>
      <w:bookmarkStart w:id="125" w:name="_Toc78381401"/>
      <w:bookmarkStart w:id="126" w:name="_Toc78296732"/>
    </w:p>
    <w:p w14:paraId="5EF6D92E">
      <w:pPr>
        <w:pStyle w:val="3"/>
        <w:spacing w:before="468" w:beforeLines="150" w:after="312" w:afterLines="100" w:line="520" w:lineRule="exact"/>
        <w:jc w:val="center"/>
        <w:rPr>
          <w:rFonts w:hint="eastAsia" w:ascii="黑体" w:hAnsi="黑体" w:eastAsia="黑体" w:cs="黑体"/>
          <w:bCs w:val="0"/>
          <w:sz w:val="32"/>
          <w:szCs w:val="32"/>
        </w:rPr>
      </w:pPr>
      <w:bookmarkStart w:id="127" w:name="_Toc8571"/>
      <w:r>
        <w:rPr>
          <w:rFonts w:hint="eastAsia" w:ascii="黑体" w:hAnsi="黑体" w:eastAsia="黑体" w:cs="黑体"/>
          <w:bCs w:val="0"/>
          <w:sz w:val="32"/>
          <w:szCs w:val="32"/>
        </w:rPr>
        <w:t>第三章  指导思想与原则</w:t>
      </w:r>
      <w:bookmarkEnd w:id="124"/>
      <w:bookmarkEnd w:id="127"/>
    </w:p>
    <w:p w14:paraId="3EF697E5">
      <w:pPr>
        <w:pStyle w:val="4"/>
        <w:spacing w:line="520" w:lineRule="exact"/>
        <w:rPr>
          <w:rFonts w:hint="eastAsia" w:ascii="仿宋" w:hAnsi="仿宋" w:eastAsia="仿宋" w:cs="仿宋"/>
        </w:rPr>
      </w:pPr>
      <w:bookmarkStart w:id="128" w:name="_Toc24999"/>
      <w:bookmarkStart w:id="129" w:name="_Toc6182"/>
      <w:r>
        <w:rPr>
          <w:rFonts w:hint="eastAsia" w:ascii="仿宋" w:hAnsi="仿宋" w:eastAsia="仿宋" w:cs="仿宋"/>
        </w:rPr>
        <w:t>3.1 指导思想</w:t>
      </w:r>
      <w:bookmarkEnd w:id="125"/>
      <w:bookmarkEnd w:id="126"/>
      <w:bookmarkEnd w:id="128"/>
      <w:bookmarkEnd w:id="129"/>
    </w:p>
    <w:p w14:paraId="152E1266">
      <w:pPr>
        <w:spacing w:line="520" w:lineRule="exact"/>
        <w:ind w:firstLine="646" w:firstLineChars="202"/>
        <w:rPr>
          <w:rFonts w:hint="eastAsia" w:ascii="仿宋" w:hAnsi="仿宋" w:cs="仿宋"/>
          <w:sz w:val="32"/>
          <w:szCs w:val="32"/>
        </w:rPr>
      </w:pPr>
      <w:r>
        <w:rPr>
          <w:rFonts w:hint="eastAsia" w:ascii="仿宋" w:hAnsi="仿宋" w:cs="仿宋"/>
          <w:sz w:val="32"/>
          <w:szCs w:val="32"/>
        </w:rPr>
        <w:t>以习近平新时代中国特色社会主义思想为指导，全面贯彻习近平生态文明思想和习近平总书记考察海南重要讲话精神，牢牢把握海南建设中国特色自由贸易港、全面实现“三区一中心”发展战略，深入践行“绿水青山就是金山银山”和“山水林田湖海岛”系统治理理念，按照发展现代林业、建设生态文明总体要求，坚持节约资源和保护生态环境基本国策，坚持“严格保护、积极发展、科学经营、持续利用”的方针,在国土空间规划的统领下，紧扣林地保护利用的目标定位，明确林业发展空间，严守生态红线，以优化结构、强化调控、科学管理为手段，以创新林地管理体制机制和科技为动力，统筹协调林地保护与利用的关系，引导全市严格保护林地资源，节约集约利用林地，优化资源配置，提高保护利用效率，充分发挥森林的生态、经济和社会效益，为经济社会可持续发展奠定坚实基础。</w:t>
      </w:r>
    </w:p>
    <w:p w14:paraId="23847D3E">
      <w:pPr>
        <w:pStyle w:val="4"/>
        <w:spacing w:line="520" w:lineRule="exact"/>
        <w:rPr>
          <w:rFonts w:hint="eastAsia" w:ascii="仿宋" w:hAnsi="仿宋" w:eastAsia="仿宋" w:cs="仿宋"/>
        </w:rPr>
      </w:pPr>
      <w:bookmarkStart w:id="130" w:name="_Toc4804"/>
      <w:bookmarkStart w:id="131" w:name="_Toc7778"/>
      <w:r>
        <w:rPr>
          <w:rFonts w:hint="eastAsia" w:ascii="仿宋" w:hAnsi="仿宋" w:eastAsia="仿宋" w:cs="仿宋"/>
        </w:rPr>
        <w:t>3.2 基本原则</w:t>
      </w:r>
      <w:bookmarkEnd w:id="130"/>
      <w:bookmarkEnd w:id="131"/>
    </w:p>
    <w:p w14:paraId="2CC5711E">
      <w:pPr>
        <w:pStyle w:val="5"/>
        <w:spacing w:before="200" w:after="200" w:line="520" w:lineRule="exact"/>
        <w:rPr>
          <w:rFonts w:hint="eastAsia" w:ascii="仿宋" w:hAnsi="仿宋" w:eastAsia="仿宋" w:cs="仿宋"/>
        </w:rPr>
      </w:pPr>
      <w:bookmarkStart w:id="132" w:name="_Toc28077"/>
      <w:r>
        <w:rPr>
          <w:rFonts w:hint="eastAsia" w:ascii="仿宋" w:hAnsi="仿宋" w:eastAsia="仿宋" w:cs="仿宋"/>
        </w:rPr>
        <w:t>3.2.1依法依规，严格保护</w:t>
      </w:r>
      <w:bookmarkEnd w:id="132"/>
    </w:p>
    <w:p w14:paraId="2D914B37">
      <w:pPr>
        <w:spacing w:line="520" w:lineRule="exact"/>
        <w:ind w:firstLine="646" w:firstLineChars="202"/>
        <w:rPr>
          <w:rFonts w:hint="eastAsia" w:ascii="仿宋" w:hAnsi="仿宋" w:cs="仿宋"/>
          <w:sz w:val="32"/>
          <w:szCs w:val="32"/>
        </w:rPr>
      </w:pPr>
      <w:r>
        <w:rPr>
          <w:rFonts w:hint="eastAsia" w:ascii="仿宋" w:hAnsi="仿宋" w:cs="仿宋"/>
          <w:sz w:val="32"/>
          <w:szCs w:val="32"/>
        </w:rPr>
        <w:t>严格遵循《森林法》《森林法实施条例》《海南经济特区林地管理条例》《海南省森林保护管理条例》等法律法规，按照发展现代林业和生态文明建设的战略要求，严格保护现有林地资源和天然林与公益林，积极拓展绿色生态空间，对生态功能重要和生态脆弱区域林地进行重点保护和修复。</w:t>
      </w:r>
    </w:p>
    <w:p w14:paraId="39FF431D">
      <w:pPr>
        <w:pStyle w:val="5"/>
        <w:spacing w:before="200" w:after="200" w:line="520" w:lineRule="exact"/>
        <w:rPr>
          <w:rFonts w:hint="eastAsia" w:ascii="仿宋" w:hAnsi="仿宋" w:eastAsia="仿宋" w:cs="仿宋"/>
        </w:rPr>
      </w:pPr>
      <w:bookmarkStart w:id="133" w:name="_Toc17377"/>
      <w:r>
        <w:rPr>
          <w:rFonts w:hint="eastAsia" w:ascii="仿宋" w:hAnsi="仿宋" w:eastAsia="仿宋" w:cs="仿宋"/>
        </w:rPr>
        <w:t>3.2.2统筹协调，上下联动</w:t>
      </w:r>
      <w:bookmarkEnd w:id="133"/>
    </w:p>
    <w:p w14:paraId="10BE89FA">
      <w:pPr>
        <w:spacing w:line="520" w:lineRule="exact"/>
        <w:ind w:firstLine="646" w:firstLineChars="202"/>
        <w:rPr>
          <w:rFonts w:hint="eastAsia" w:ascii="仿宋" w:hAnsi="仿宋" w:cs="仿宋"/>
          <w:sz w:val="32"/>
          <w:szCs w:val="32"/>
        </w:rPr>
      </w:pPr>
      <w:r>
        <w:rPr>
          <w:rFonts w:hint="eastAsia" w:ascii="仿宋" w:hAnsi="仿宋" w:cs="仿宋"/>
          <w:sz w:val="32"/>
          <w:szCs w:val="32"/>
        </w:rPr>
        <w:t>林地保护利用规划属于国土空间规划中的专项规划，国土空间规划对其具有指导约束作用，林地保护利用规划不得违背国土空间规划强制性内容。规划编制中坚持上下联动，强化与其他专项规划、三条控制线划定、自然保护地优化整合等工作相互协同，统筹区域林地保护与利用，正确处理林地保护与经济社会发展的关系，促进林地科学合理利用，提高经济、社会和生态效益。</w:t>
      </w:r>
    </w:p>
    <w:p w14:paraId="78BFF882">
      <w:pPr>
        <w:pStyle w:val="5"/>
        <w:spacing w:before="200" w:after="200" w:line="520" w:lineRule="exact"/>
        <w:rPr>
          <w:rFonts w:hint="eastAsia" w:ascii="仿宋" w:hAnsi="仿宋" w:eastAsia="仿宋" w:cs="仿宋"/>
        </w:rPr>
      </w:pPr>
      <w:bookmarkStart w:id="134" w:name="_Toc14186"/>
      <w:r>
        <w:rPr>
          <w:rFonts w:hint="eastAsia" w:ascii="仿宋" w:hAnsi="仿宋" w:eastAsia="仿宋" w:cs="仿宋"/>
        </w:rPr>
        <w:t>3.2.3 因地制宜，注重实效</w:t>
      </w:r>
      <w:bookmarkEnd w:id="134"/>
    </w:p>
    <w:p w14:paraId="77AD985F">
      <w:pPr>
        <w:spacing w:line="520" w:lineRule="exact"/>
        <w:ind w:firstLine="646" w:firstLineChars="202"/>
        <w:rPr>
          <w:rFonts w:hint="eastAsia" w:ascii="仿宋" w:hAnsi="仿宋" w:cs="仿宋"/>
          <w:sz w:val="32"/>
          <w:szCs w:val="32"/>
        </w:rPr>
      </w:pPr>
      <w:r>
        <w:rPr>
          <w:rFonts w:hint="eastAsia" w:ascii="仿宋" w:hAnsi="仿宋" w:cs="仿宋"/>
          <w:sz w:val="32"/>
          <w:szCs w:val="32"/>
        </w:rPr>
        <w:t>立足于解决林地保护利用中存在的实际问题，遵循经济、社会和自然规律，以调整结构、优化布局等为手段，有针对性地提出切实可行的保护利用措施。注重规划的科学性和可操作性，把林地保护利用的相关指标和措施，落实到山头地块（小班）。</w:t>
      </w:r>
    </w:p>
    <w:p w14:paraId="59BB6C2C">
      <w:pPr>
        <w:pStyle w:val="5"/>
        <w:spacing w:before="200" w:after="200" w:line="520" w:lineRule="exact"/>
        <w:rPr>
          <w:rFonts w:hint="eastAsia" w:ascii="仿宋" w:hAnsi="仿宋" w:eastAsia="仿宋" w:cs="仿宋"/>
        </w:rPr>
      </w:pPr>
      <w:bookmarkStart w:id="135" w:name="_Toc14733"/>
      <w:r>
        <w:rPr>
          <w:rFonts w:hint="eastAsia" w:ascii="仿宋" w:hAnsi="仿宋" w:eastAsia="仿宋" w:cs="仿宋"/>
        </w:rPr>
        <w:t>3.2.4 广泛参与，科学编制</w:t>
      </w:r>
      <w:bookmarkEnd w:id="135"/>
    </w:p>
    <w:p w14:paraId="0631B0F9">
      <w:pPr>
        <w:spacing w:line="520" w:lineRule="exact"/>
        <w:ind w:firstLine="646" w:firstLineChars="202"/>
        <w:rPr>
          <w:rFonts w:hint="eastAsia" w:ascii="仿宋" w:hAnsi="仿宋" w:cs="仿宋"/>
          <w:sz w:val="32"/>
          <w:szCs w:val="32"/>
        </w:rPr>
      </w:pPr>
      <w:r>
        <w:rPr>
          <w:rFonts w:hint="eastAsia" w:ascii="仿宋" w:hAnsi="仿宋" w:cs="仿宋"/>
          <w:sz w:val="32"/>
          <w:szCs w:val="32"/>
        </w:rPr>
        <w:t>采取多种形式，广泛听取基层政府、部门、专家和社会公众对规划目标、任务、实施措施等的意见和建议，确保规划具有坚实的科学基础和广泛的社会认同。</w:t>
      </w:r>
    </w:p>
    <w:p w14:paraId="3B5F03E5">
      <w:pPr>
        <w:pStyle w:val="4"/>
        <w:spacing w:line="520" w:lineRule="exact"/>
        <w:rPr>
          <w:rFonts w:hint="eastAsia" w:ascii="仿宋" w:hAnsi="仿宋" w:eastAsia="仿宋" w:cs="仿宋"/>
        </w:rPr>
      </w:pPr>
      <w:bookmarkStart w:id="136" w:name="_Toc232"/>
      <w:bookmarkStart w:id="137" w:name="_Toc12398"/>
      <w:r>
        <w:rPr>
          <w:rFonts w:hint="eastAsia" w:ascii="仿宋" w:hAnsi="仿宋" w:eastAsia="仿宋" w:cs="仿宋"/>
        </w:rPr>
        <w:t>3.3 规划的主要目标及任务</w:t>
      </w:r>
      <w:bookmarkEnd w:id="136"/>
      <w:bookmarkEnd w:id="137"/>
    </w:p>
    <w:p w14:paraId="47252DF3">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本次林地保护利用规划的范围覆盖三亚市全部行政区域。规划基准年为2020年，规划目标年为2035年。其中；2021年至2025年为近期，2026年至2035年为中远期。</w:t>
      </w:r>
    </w:p>
    <w:p w14:paraId="7860A13C">
      <w:pPr>
        <w:pStyle w:val="5"/>
        <w:spacing w:before="200" w:after="200" w:line="520" w:lineRule="exact"/>
        <w:rPr>
          <w:rFonts w:hint="eastAsia" w:ascii="仿宋" w:hAnsi="仿宋" w:eastAsia="仿宋" w:cs="仿宋"/>
          <w:lang w:val="zh-CN"/>
        </w:rPr>
      </w:pPr>
      <w:bookmarkStart w:id="138" w:name="_Toc802"/>
      <w:r>
        <w:rPr>
          <w:rFonts w:hint="eastAsia" w:ascii="仿宋" w:hAnsi="仿宋" w:eastAsia="仿宋" w:cs="仿宋"/>
        </w:rPr>
        <w:t xml:space="preserve">3.3.1 </w:t>
      </w:r>
      <w:r>
        <w:rPr>
          <w:rFonts w:hint="eastAsia" w:ascii="仿宋" w:hAnsi="仿宋" w:eastAsia="仿宋" w:cs="仿宋"/>
          <w:lang w:val="zh-CN"/>
        </w:rPr>
        <w:t>主要目标</w:t>
      </w:r>
      <w:bookmarkEnd w:id="138"/>
    </w:p>
    <w:p w14:paraId="2E167275">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近期目标（至2025年）：全市林地面积</w:t>
      </w:r>
      <w:r>
        <w:rPr>
          <w:rFonts w:hint="eastAsia" w:ascii="仿宋" w:hAnsi="仿宋" w:cs="仿宋"/>
          <w:sz w:val="32"/>
          <w:szCs w:val="32"/>
        </w:rPr>
        <w:t>97400</w:t>
      </w:r>
      <w:r>
        <w:rPr>
          <w:rFonts w:hint="eastAsia" w:ascii="仿宋" w:hAnsi="仿宋" w:cs="仿宋"/>
          <w:sz w:val="32"/>
          <w:szCs w:val="32"/>
          <w:lang w:val="zh-CN"/>
        </w:rPr>
        <w:t>公顷，</w:t>
      </w:r>
      <w:r>
        <w:rPr>
          <w:rFonts w:hint="eastAsia" w:ascii="仿宋" w:hAnsi="仿宋" w:cs="仿宋"/>
          <w:sz w:val="32"/>
          <w:szCs w:val="32"/>
        </w:rPr>
        <w:t>森林面积95000公顷，</w:t>
      </w:r>
      <w:r>
        <w:rPr>
          <w:rFonts w:hint="eastAsia" w:ascii="仿宋" w:hAnsi="仿宋" w:cs="仿宋"/>
          <w:sz w:val="32"/>
          <w:szCs w:val="32"/>
          <w:lang w:val="zh-CN"/>
        </w:rPr>
        <w:t>森林覆盖率</w:t>
      </w:r>
      <w:r>
        <w:rPr>
          <w:rFonts w:hint="eastAsia" w:ascii="仿宋" w:hAnsi="仿宋" w:cs="仿宋"/>
          <w:sz w:val="32"/>
          <w:szCs w:val="32"/>
        </w:rPr>
        <w:t>不小于49.80</w:t>
      </w:r>
      <w:r>
        <w:rPr>
          <w:rFonts w:hint="eastAsia" w:ascii="仿宋" w:hAnsi="仿宋" w:cs="仿宋"/>
          <w:sz w:val="32"/>
          <w:szCs w:val="32"/>
          <w:lang w:val="zh-CN"/>
        </w:rPr>
        <w:t>%，森林蓄积量</w:t>
      </w:r>
      <w:r>
        <w:rPr>
          <w:rFonts w:hint="eastAsia" w:ascii="仿宋" w:hAnsi="仿宋" w:cs="仿宋"/>
          <w:sz w:val="32"/>
          <w:szCs w:val="32"/>
        </w:rPr>
        <w:t>大于680万</w:t>
      </w:r>
      <w:r>
        <w:rPr>
          <w:rFonts w:hint="eastAsia" w:ascii="仿宋" w:hAnsi="仿宋" w:cs="仿宋"/>
          <w:sz w:val="32"/>
          <w:szCs w:val="32"/>
          <w:lang w:val="zh-CN"/>
        </w:rPr>
        <w:t>立方米，</w:t>
      </w:r>
      <w:r>
        <w:rPr>
          <w:rFonts w:hint="eastAsia" w:ascii="仿宋" w:hAnsi="仿宋" w:cs="仿宋"/>
          <w:sz w:val="32"/>
          <w:szCs w:val="32"/>
        </w:rPr>
        <w:t>林地生产率达到72立方米/公顷</w:t>
      </w:r>
      <w:r>
        <w:rPr>
          <w:rFonts w:hint="eastAsia" w:ascii="仿宋" w:hAnsi="仿宋" w:cs="仿宋"/>
          <w:sz w:val="32"/>
          <w:szCs w:val="32"/>
          <w:lang w:val="zh-CN"/>
        </w:rPr>
        <w:t>。</w:t>
      </w:r>
    </w:p>
    <w:p w14:paraId="2E31CF7E">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中远期目标（至2035年）：全市林地面积</w:t>
      </w:r>
      <w:r>
        <w:rPr>
          <w:rFonts w:hint="eastAsia" w:ascii="仿宋" w:hAnsi="仿宋" w:cs="仿宋"/>
          <w:sz w:val="32"/>
          <w:szCs w:val="32"/>
        </w:rPr>
        <w:t>97400</w:t>
      </w:r>
      <w:r>
        <w:rPr>
          <w:rFonts w:hint="eastAsia" w:ascii="仿宋" w:hAnsi="仿宋" w:cs="仿宋"/>
          <w:sz w:val="32"/>
          <w:szCs w:val="32"/>
          <w:lang w:val="zh-CN"/>
        </w:rPr>
        <w:t>公顷，</w:t>
      </w:r>
      <w:r>
        <w:rPr>
          <w:rFonts w:hint="eastAsia" w:ascii="仿宋" w:hAnsi="仿宋" w:cs="仿宋"/>
          <w:sz w:val="32"/>
          <w:szCs w:val="32"/>
        </w:rPr>
        <w:t>森林面积95000公顷，</w:t>
      </w:r>
      <w:r>
        <w:rPr>
          <w:rFonts w:hint="eastAsia" w:ascii="仿宋" w:hAnsi="仿宋" w:cs="仿宋"/>
          <w:sz w:val="32"/>
          <w:szCs w:val="32"/>
          <w:lang w:val="zh-CN"/>
        </w:rPr>
        <w:t>森林覆盖率</w:t>
      </w:r>
      <w:r>
        <w:rPr>
          <w:rFonts w:hint="eastAsia" w:ascii="仿宋" w:hAnsi="仿宋" w:cs="仿宋"/>
          <w:sz w:val="32"/>
          <w:szCs w:val="32"/>
        </w:rPr>
        <w:t>不小于49.20</w:t>
      </w:r>
      <w:r>
        <w:rPr>
          <w:rFonts w:hint="eastAsia" w:ascii="仿宋" w:hAnsi="仿宋" w:cs="仿宋"/>
          <w:sz w:val="32"/>
          <w:szCs w:val="32"/>
          <w:lang w:val="zh-CN"/>
        </w:rPr>
        <w:t>%，森林蓄积量</w:t>
      </w:r>
      <w:r>
        <w:rPr>
          <w:rFonts w:hint="eastAsia" w:ascii="仿宋" w:hAnsi="仿宋" w:cs="仿宋"/>
          <w:sz w:val="32"/>
          <w:szCs w:val="32"/>
        </w:rPr>
        <w:t>大于780万</w:t>
      </w:r>
      <w:r>
        <w:rPr>
          <w:rFonts w:hint="eastAsia" w:ascii="仿宋" w:hAnsi="仿宋" w:cs="仿宋"/>
          <w:sz w:val="32"/>
          <w:szCs w:val="32"/>
          <w:lang w:val="zh-CN"/>
        </w:rPr>
        <w:t>立方米，</w:t>
      </w:r>
      <w:r>
        <w:rPr>
          <w:rFonts w:hint="eastAsia" w:ascii="仿宋" w:hAnsi="仿宋" w:cs="仿宋"/>
          <w:sz w:val="32"/>
          <w:szCs w:val="32"/>
        </w:rPr>
        <w:t>林地生产率达到83立方米/公顷</w:t>
      </w:r>
      <w:r>
        <w:rPr>
          <w:rFonts w:hint="eastAsia" w:ascii="仿宋" w:hAnsi="仿宋" w:cs="仿宋"/>
          <w:sz w:val="32"/>
          <w:szCs w:val="32"/>
          <w:lang w:val="zh-CN"/>
        </w:rPr>
        <w:t>，全面提升森林生态碳汇能力。</w:t>
      </w:r>
    </w:p>
    <w:p w14:paraId="47F1D835">
      <w:pPr>
        <w:pStyle w:val="5"/>
        <w:spacing w:before="200" w:after="200" w:line="520" w:lineRule="exact"/>
        <w:rPr>
          <w:rFonts w:hint="eastAsia" w:ascii="仿宋" w:hAnsi="仿宋" w:eastAsia="仿宋" w:cs="仿宋"/>
          <w:lang w:val="zh-CN"/>
        </w:rPr>
      </w:pPr>
      <w:bookmarkStart w:id="139" w:name="_Toc6047"/>
      <w:r>
        <w:rPr>
          <w:rFonts w:hint="eastAsia" w:ascii="仿宋" w:hAnsi="仿宋" w:eastAsia="仿宋" w:cs="仿宋"/>
        </w:rPr>
        <w:t xml:space="preserve">3.3.2 </w:t>
      </w:r>
      <w:r>
        <w:rPr>
          <w:rFonts w:hint="eastAsia" w:ascii="仿宋" w:hAnsi="仿宋" w:eastAsia="仿宋" w:cs="仿宋"/>
          <w:lang w:val="zh-CN"/>
        </w:rPr>
        <w:t>主要任务</w:t>
      </w:r>
      <w:bookmarkEnd w:id="139"/>
    </w:p>
    <w:p w14:paraId="24005561">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严格保护林地，确保林地面积长期</w:t>
      </w:r>
      <w:r>
        <w:rPr>
          <w:rFonts w:hint="eastAsia" w:ascii="仿宋" w:hAnsi="仿宋" w:cs="仿宋"/>
          <w:sz w:val="32"/>
          <w:szCs w:val="32"/>
        </w:rPr>
        <w:t>相对</w:t>
      </w:r>
      <w:r>
        <w:rPr>
          <w:rFonts w:hint="eastAsia" w:ascii="仿宋" w:hAnsi="仿宋" w:cs="仿宋"/>
          <w:sz w:val="32"/>
          <w:szCs w:val="32"/>
          <w:lang w:val="zh-CN"/>
        </w:rPr>
        <w:t>稳定。强化林地用途管制，实行林地分类、分级保护，加强对重点生态区域林地、自然保护地、公益林、天然林的保护管理，优先保障重大基础设施、民生工程项目使用林地，严格控制采石、采矿、房地产、禁止和限制类产业项目使用林地，严厉打击毁林开垦和违法占用林地，防止林地退化，减少林地逆转流失，通过生态修复和生态重要区域治理，有效补充林地，确保全市林地面积长期稳定。</w:t>
      </w:r>
    </w:p>
    <w:p w14:paraId="3BD821D6">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提高林地利用水平，确保森林覆盖率目标实现。采取重点生态工程带动、激励社会力量广泛参与等措施，加强生态脆弱区治理，有针对性地实施退化林地修复工程和森林质量精准提升工程，增加森林面积，提高林地利用率，确保森林覆盖率目标实现。</w:t>
      </w:r>
    </w:p>
    <w:p w14:paraId="6D96E009">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优化结构，系统治理，提高生态系统质量和稳定性。加大投入力度、政策扶持和科技支撑，分区、分类、分级确定林地保护利用方向，保障生态建设对林地的需求，开展山水林田湖草系统治理，增强生态系统功能，提高生态系统质量，确保生态系长期稳定性，为实现碳达峰碳中和目标作出积极贡献。</w:t>
      </w:r>
    </w:p>
    <w:p w14:paraId="501DBC8B">
      <w:pPr>
        <w:spacing w:line="520" w:lineRule="exact"/>
        <w:ind w:firstLine="646" w:firstLineChars="202"/>
        <w:rPr>
          <w:rFonts w:hint="eastAsia" w:ascii="仿宋" w:hAnsi="仿宋" w:cs="仿宋"/>
          <w:sz w:val="32"/>
          <w:szCs w:val="32"/>
          <w:lang w:val="zh-CN"/>
        </w:rPr>
        <w:sectPr>
          <w:pgSz w:w="11906" w:h="16838"/>
          <w:pgMar w:top="1417" w:right="1417" w:bottom="1417" w:left="1417" w:header="851" w:footer="992" w:gutter="0"/>
          <w:cols w:space="720" w:num="1"/>
          <w:docGrid w:type="lines" w:linePitch="312" w:charSpace="0"/>
        </w:sectPr>
      </w:pPr>
      <w:r>
        <w:rPr>
          <w:rFonts w:hint="eastAsia" w:ascii="仿宋" w:hAnsi="仿宋" w:cs="仿宋"/>
          <w:sz w:val="32"/>
          <w:szCs w:val="32"/>
          <w:lang w:val="zh-CN"/>
        </w:rPr>
        <w:t>加强能力建设，保障规划落实。以林长制为抓手，加强基础设施和监管平台建设，落实各级林长巡林、护林、治林职责，及时发现、制止和查处破坏森林资源的违法违规行为，持续开展“天空地”一体化森林督查，根据督查结果，严格目标责任考核，保障规划各项目标如期实现。</w:t>
      </w:r>
    </w:p>
    <w:p w14:paraId="1FD70354">
      <w:pPr>
        <w:pStyle w:val="3"/>
        <w:spacing w:before="468" w:beforeLines="150" w:after="312" w:afterLines="100" w:line="520" w:lineRule="exact"/>
        <w:jc w:val="center"/>
        <w:rPr>
          <w:rFonts w:hint="eastAsia" w:ascii="黑体" w:hAnsi="黑体" w:eastAsia="黑体" w:cs="黑体"/>
          <w:bCs w:val="0"/>
          <w:sz w:val="32"/>
          <w:szCs w:val="32"/>
        </w:rPr>
      </w:pPr>
      <w:bookmarkStart w:id="140" w:name="_Toc7637"/>
      <w:bookmarkStart w:id="141" w:name="_Toc8589"/>
      <w:r>
        <w:rPr>
          <w:rFonts w:hint="eastAsia" w:ascii="黑体" w:hAnsi="黑体" w:eastAsia="黑体" w:cs="黑体"/>
          <w:bCs w:val="0"/>
          <w:sz w:val="32"/>
          <w:szCs w:val="32"/>
        </w:rPr>
        <w:t>第四章 林地保护利用总体格局</w:t>
      </w:r>
      <w:bookmarkEnd w:id="140"/>
      <w:bookmarkEnd w:id="141"/>
    </w:p>
    <w:p w14:paraId="16A77766">
      <w:pPr>
        <w:pStyle w:val="4"/>
        <w:spacing w:line="520" w:lineRule="exact"/>
        <w:rPr>
          <w:rFonts w:hint="eastAsia" w:ascii="仿宋" w:hAnsi="仿宋" w:eastAsia="仿宋" w:cs="仿宋"/>
        </w:rPr>
      </w:pPr>
      <w:bookmarkStart w:id="142" w:name="_Toc9736"/>
      <w:bookmarkStart w:id="143" w:name="_Toc19714"/>
      <w:r>
        <w:rPr>
          <w:rFonts w:hint="eastAsia" w:ascii="仿宋" w:hAnsi="仿宋" w:eastAsia="仿宋" w:cs="仿宋"/>
        </w:rPr>
        <w:t>4.1</w:t>
      </w:r>
      <w:r>
        <w:rPr>
          <w:rFonts w:hint="eastAsia" w:ascii="仿宋" w:hAnsi="仿宋" w:eastAsia="仿宋" w:cs="仿宋"/>
          <w:lang w:val="zh-CN"/>
        </w:rPr>
        <w:t>国土空间规划</w:t>
      </w:r>
      <w:r>
        <w:rPr>
          <w:rFonts w:hint="eastAsia" w:ascii="仿宋" w:hAnsi="仿宋" w:eastAsia="仿宋" w:cs="仿宋"/>
        </w:rPr>
        <w:t>主体功能分区</w:t>
      </w:r>
      <w:bookmarkEnd w:id="142"/>
      <w:bookmarkEnd w:id="143"/>
    </w:p>
    <w:p w14:paraId="319C3B47">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根据《三亚市国土空间规划（20</w:t>
      </w:r>
      <w:r>
        <w:rPr>
          <w:rFonts w:hint="eastAsia" w:ascii="仿宋" w:hAnsi="仿宋" w:cs="仿宋"/>
          <w:sz w:val="32"/>
          <w:szCs w:val="32"/>
        </w:rPr>
        <w:t>20</w:t>
      </w:r>
      <w:r>
        <w:rPr>
          <w:rFonts w:hint="eastAsia" w:ascii="仿宋" w:hAnsi="仿宋" w:cs="仿宋"/>
          <w:sz w:val="32"/>
          <w:szCs w:val="32"/>
          <w:lang w:val="zh-CN"/>
        </w:rPr>
        <w:t>-2035年）》，</w:t>
      </w:r>
      <w:r>
        <w:rPr>
          <w:rFonts w:hint="eastAsia" w:ascii="仿宋" w:hAnsi="仿宋" w:cs="仿宋"/>
          <w:sz w:val="32"/>
          <w:szCs w:val="32"/>
        </w:rPr>
        <w:t>为</w:t>
      </w:r>
      <w:r>
        <w:rPr>
          <w:rFonts w:hint="eastAsia" w:ascii="仿宋" w:hAnsi="仿宋" w:cs="仿宋"/>
          <w:sz w:val="32"/>
          <w:szCs w:val="32"/>
          <w:lang w:val="zh-CN"/>
        </w:rPr>
        <w:t>体现三亚的国家价值与时代责任，落实全省“三区一中心”总体要求，丰富城市发展内涵，明确新时代三亚的城市定位与发展目标。</w:t>
      </w:r>
      <w:r>
        <w:rPr>
          <w:rFonts w:hint="eastAsia" w:ascii="仿宋" w:hAnsi="仿宋" w:cs="仿宋"/>
          <w:sz w:val="32"/>
          <w:szCs w:val="32"/>
        </w:rPr>
        <w:t>要求</w:t>
      </w:r>
      <w:r>
        <w:rPr>
          <w:rFonts w:hint="eastAsia" w:ascii="仿宋" w:hAnsi="仿宋" w:cs="仿宋"/>
          <w:sz w:val="32"/>
          <w:szCs w:val="32"/>
          <w:lang w:val="zh-CN"/>
        </w:rPr>
        <w:t>延续三亚城市发展脉络，积极响应自贸港建设，围绕全省“三区一中心”的总体定位，突出自由贸易、生态文明、旅游消费、战略创新等新内涵，将三亚建设成为世界级的热带海滨风景旅游城市、开放创新的海南自贸港标杆城市、生态文明与宜居宜业的幸福城市、经略南海与科技创新的支点城市。</w:t>
      </w:r>
      <w:r>
        <w:rPr>
          <w:rFonts w:hint="eastAsia" w:ascii="仿宋" w:hAnsi="仿宋" w:cs="仿宋"/>
          <w:sz w:val="32"/>
          <w:szCs w:val="32"/>
        </w:rPr>
        <w:t>其中三亚的生态文明</w:t>
      </w:r>
      <w:r>
        <w:rPr>
          <w:rFonts w:hint="eastAsia" w:ascii="仿宋" w:hAnsi="仿宋" w:cs="仿宋"/>
          <w:sz w:val="32"/>
          <w:szCs w:val="32"/>
          <w:lang w:val="zh-CN"/>
        </w:rPr>
        <w:t>发展内涵：坚持生态优先、坚持以人民为中心，落实“碳达峰、碳中和”目标，将三亚建设成为生态优美、充满活力、宜居宜业的花园城市。</w:t>
      </w:r>
    </w:p>
    <w:p w14:paraId="519AE79C">
      <w:pPr>
        <w:pStyle w:val="5"/>
        <w:spacing w:before="200" w:after="200" w:line="520" w:lineRule="exact"/>
        <w:rPr>
          <w:rFonts w:hint="eastAsia" w:ascii="仿宋" w:hAnsi="仿宋" w:eastAsia="仿宋" w:cs="仿宋"/>
        </w:rPr>
      </w:pPr>
      <w:bookmarkStart w:id="144" w:name="_Toc2164"/>
      <w:r>
        <w:rPr>
          <w:rFonts w:hint="eastAsia" w:ascii="仿宋" w:hAnsi="仿宋" w:eastAsia="仿宋" w:cs="仿宋"/>
        </w:rPr>
        <w:t>4.1.1规划目标</w:t>
      </w:r>
      <w:bookmarkEnd w:id="144"/>
    </w:p>
    <w:p w14:paraId="3EB43D30">
      <w:pPr>
        <w:spacing w:line="520" w:lineRule="exact"/>
        <w:ind w:firstLine="646" w:firstLineChars="202"/>
        <w:rPr>
          <w:rFonts w:hint="eastAsia" w:ascii="仿宋" w:hAnsi="仿宋" w:cs="仿宋"/>
          <w:sz w:val="32"/>
          <w:szCs w:val="32"/>
        </w:rPr>
      </w:pPr>
      <w:r>
        <w:rPr>
          <w:rFonts w:hint="eastAsia" w:ascii="仿宋" w:hAnsi="仿宋" w:cs="仿宋"/>
          <w:sz w:val="32"/>
          <w:szCs w:val="32"/>
        </w:rPr>
        <w:t>规划明确提出，到2025年，要实现自贸开放发展格局基本确立，生态环境质量保持全国领先；城市建设管理水平和经济发展质量效益显著提高，人民幸福感获得感持续增强；到2035年，自贸港制度体系和运作模式更加成熟，生态环境质量持续保持世界领先水平；建设成为国际旅游胜地、现代服务业发展高地、高新技术产业集聚地。</w:t>
      </w:r>
    </w:p>
    <w:p w14:paraId="239C3B66">
      <w:pPr>
        <w:pStyle w:val="5"/>
        <w:spacing w:before="200" w:after="200" w:line="520" w:lineRule="exact"/>
        <w:rPr>
          <w:rFonts w:hint="eastAsia" w:ascii="仿宋" w:hAnsi="仿宋" w:eastAsia="仿宋" w:cs="仿宋"/>
        </w:rPr>
      </w:pPr>
      <w:bookmarkStart w:id="145" w:name="_Toc19846"/>
      <w:r>
        <w:rPr>
          <w:rFonts w:hint="eastAsia" w:ascii="仿宋" w:hAnsi="仿宋" w:eastAsia="仿宋" w:cs="仿宋"/>
        </w:rPr>
        <w:t>4.1.2国空规划总体布局</w:t>
      </w:r>
      <w:bookmarkEnd w:id="145"/>
    </w:p>
    <w:p w14:paraId="3B9F6D2E">
      <w:pPr>
        <w:spacing w:line="520" w:lineRule="exact"/>
        <w:ind w:firstLine="646" w:firstLineChars="202"/>
        <w:rPr>
          <w:rFonts w:hint="eastAsia" w:ascii="仿宋" w:hAnsi="仿宋" w:cs="仿宋"/>
          <w:sz w:val="32"/>
          <w:szCs w:val="32"/>
        </w:rPr>
      </w:pPr>
      <w:r>
        <w:rPr>
          <w:rFonts w:hint="eastAsia" w:ascii="仿宋" w:hAnsi="仿宋" w:cs="仿宋"/>
          <w:sz w:val="32"/>
          <w:szCs w:val="32"/>
        </w:rPr>
        <w:t>规划以“山海相连” 筑牢生态保育格局：遵循“山、水、林、田、湖、海”生命共同体理念，保育我国唯一性价值的热带陆海生境。结合三亚的地形地貌特征，保护山海相连的自然地理格局和重要的生境廊道，保护生物多样性。</w:t>
      </w:r>
    </w:p>
    <w:p w14:paraId="6E2C4F3B">
      <w:pPr>
        <w:spacing w:line="520" w:lineRule="exact"/>
        <w:ind w:firstLine="646" w:firstLineChars="202"/>
        <w:rPr>
          <w:rFonts w:hint="eastAsia" w:ascii="仿宋" w:hAnsi="仿宋" w:cs="仿宋"/>
          <w:sz w:val="32"/>
          <w:szCs w:val="32"/>
        </w:rPr>
      </w:pPr>
      <w:r>
        <w:rPr>
          <w:rFonts w:hint="eastAsia" w:ascii="仿宋" w:hAnsi="仿宋" w:cs="仿宋"/>
          <w:sz w:val="32"/>
          <w:szCs w:val="32"/>
        </w:rPr>
        <w:t>一心：热带生态公园。包括抱龙省级森林自然公园、大田国家级自然保护区（三亚片区）等。</w:t>
      </w:r>
    </w:p>
    <w:p w14:paraId="34E87C40">
      <w:pPr>
        <w:spacing w:line="520" w:lineRule="exact"/>
        <w:ind w:firstLine="646" w:firstLineChars="202"/>
        <w:rPr>
          <w:rFonts w:hint="eastAsia" w:ascii="仿宋" w:hAnsi="仿宋" w:cs="仿宋"/>
          <w:sz w:val="32"/>
          <w:szCs w:val="32"/>
        </w:rPr>
      </w:pPr>
      <w:r>
        <w:rPr>
          <w:rFonts w:hint="eastAsia" w:ascii="仿宋" w:hAnsi="仿宋" w:cs="仿宋"/>
          <w:sz w:val="32"/>
          <w:szCs w:val="32"/>
        </w:rPr>
        <w:t>一带：海岸带和生态海域。海岸线、海滨生态保育带和生态保护与生态控制类海域功能分区。</w:t>
      </w:r>
    </w:p>
    <w:p w14:paraId="55F379CB">
      <w:pPr>
        <w:spacing w:line="520" w:lineRule="exact"/>
        <w:ind w:firstLine="646" w:firstLineChars="202"/>
        <w:rPr>
          <w:rFonts w:hint="eastAsia" w:ascii="仿宋" w:hAnsi="仿宋" w:cs="仿宋"/>
          <w:sz w:val="32"/>
          <w:szCs w:val="32"/>
        </w:rPr>
      </w:pPr>
      <w:r>
        <w:rPr>
          <w:rFonts w:hint="eastAsia" w:ascii="仿宋" w:hAnsi="仿宋" w:cs="仿宋"/>
          <w:sz w:val="32"/>
          <w:szCs w:val="32"/>
        </w:rPr>
        <w:t>三河：主要河流水系。宁远河、三亚河、藤桥河及其支流。</w:t>
      </w:r>
    </w:p>
    <w:p w14:paraId="789432B7">
      <w:pPr>
        <w:spacing w:line="520" w:lineRule="exact"/>
        <w:ind w:firstLine="646" w:firstLineChars="202"/>
        <w:rPr>
          <w:rFonts w:hint="eastAsia" w:ascii="仿宋" w:hAnsi="仿宋" w:cs="仿宋"/>
          <w:sz w:val="32"/>
          <w:szCs w:val="32"/>
        </w:rPr>
      </w:pPr>
      <w:r>
        <w:rPr>
          <w:rFonts w:hint="eastAsia" w:ascii="仿宋" w:hAnsi="仿宋" w:cs="仿宋"/>
          <w:sz w:val="32"/>
          <w:szCs w:val="32"/>
        </w:rPr>
        <w:t>五廊：山海生态绿廊。凤凰岭-南边岭-鹿回头岭、林鼻岭-高岭-马岭、阜尖岭-黑岭-南山岭、白石岭-大安岭-六盘岭和田岸后大岭-湾艾岭-牙龙岭。</w:t>
      </w:r>
    </w:p>
    <w:p w14:paraId="686A8BBE">
      <w:pPr>
        <w:pStyle w:val="5"/>
        <w:spacing w:before="200" w:after="200" w:line="520" w:lineRule="exact"/>
        <w:rPr>
          <w:rFonts w:hint="eastAsia" w:ascii="仿宋" w:hAnsi="仿宋" w:eastAsia="仿宋" w:cs="仿宋"/>
          <w:lang w:val="zh-CN"/>
        </w:rPr>
      </w:pPr>
      <w:bookmarkStart w:id="146" w:name="_Toc17791"/>
      <w:bookmarkStart w:id="147" w:name="_Toc9730"/>
      <w:r>
        <w:rPr>
          <w:rFonts w:hint="eastAsia" w:ascii="仿宋" w:hAnsi="仿宋" w:eastAsia="仿宋" w:cs="仿宋"/>
        </w:rPr>
        <w:t>4.1.3</w:t>
      </w:r>
      <w:r>
        <w:rPr>
          <w:rFonts w:hint="eastAsia" w:ascii="仿宋" w:hAnsi="仿宋" w:eastAsia="仿宋" w:cs="仿宋"/>
          <w:lang w:val="zh-CN"/>
        </w:rPr>
        <w:t>三条控制线</w:t>
      </w:r>
      <w:bookmarkEnd w:id="146"/>
    </w:p>
    <w:p w14:paraId="5A7FDC34">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尊重自然资源本底条件、尊重城市发展客观规律，以“三调”为基础，科学划定永久基本农田保护红线、生态保护红线和城镇开发边界，优化城乡空间布局和资源配置，促进全面协调可持续发展，促进国土空间集约高效开发。</w:t>
      </w:r>
    </w:p>
    <w:p w14:paraId="762F8B1B">
      <w:pPr>
        <w:spacing w:line="520" w:lineRule="exact"/>
        <w:ind w:firstLine="640" w:firstLineChars="200"/>
        <w:rPr>
          <w:rFonts w:hint="eastAsia" w:ascii="仿宋" w:hAnsi="仿宋" w:cs="仿宋"/>
          <w:sz w:val="32"/>
          <w:szCs w:val="32"/>
          <w:lang w:val="zh-CN"/>
        </w:rPr>
      </w:pPr>
      <w:r>
        <w:rPr>
          <w:rFonts w:hint="eastAsia" w:ascii="仿宋" w:hAnsi="仿宋" w:cs="仿宋"/>
          <w:sz w:val="32"/>
          <w:szCs w:val="32"/>
          <w:lang w:val="zh-CN"/>
        </w:rPr>
        <w:t xml:space="preserve">永久基本农田：落实严格的耕地保护制度，对永久基本农田实行特殊保护，落实上级永久基本农田划定要求和省下达保护指标，划定全市永久基本农田。 </w:t>
      </w:r>
    </w:p>
    <w:p w14:paraId="18F8914F">
      <w:pPr>
        <w:spacing w:line="520" w:lineRule="exact"/>
        <w:ind w:firstLine="640" w:firstLineChars="200"/>
        <w:rPr>
          <w:rFonts w:hint="eastAsia" w:ascii="仿宋" w:hAnsi="仿宋" w:cs="仿宋"/>
          <w:sz w:val="32"/>
          <w:szCs w:val="32"/>
          <w:lang w:val="zh-CN"/>
        </w:rPr>
      </w:pPr>
      <w:r>
        <w:rPr>
          <w:rFonts w:hint="eastAsia" w:ascii="仿宋" w:hAnsi="仿宋" w:cs="仿宋"/>
          <w:sz w:val="32"/>
          <w:szCs w:val="32"/>
          <w:lang w:val="zh-CN"/>
        </w:rPr>
        <w:t>生态保护红线：上下衔接划定生态保护红线。按照生态功能类型，包括生物多样性维护、水源涵养、海岸防护、红树林、珊瑚礁、重要渔业资源产卵场等功能类型。</w:t>
      </w:r>
    </w:p>
    <w:p w14:paraId="12EB38FA">
      <w:pPr>
        <w:spacing w:line="520" w:lineRule="exact"/>
        <w:ind w:firstLine="640" w:firstLineChars="200"/>
        <w:rPr>
          <w:rFonts w:hint="eastAsia" w:ascii="仿宋" w:hAnsi="仿宋" w:cs="仿宋"/>
          <w:sz w:val="32"/>
          <w:szCs w:val="32"/>
          <w:lang w:val="zh-CN"/>
        </w:rPr>
      </w:pPr>
      <w:r>
        <w:rPr>
          <w:rFonts w:hint="eastAsia" w:ascii="仿宋" w:hAnsi="仿宋" w:cs="仿宋"/>
          <w:sz w:val="32"/>
          <w:szCs w:val="32"/>
          <w:lang w:val="zh-CN"/>
        </w:rPr>
        <w:t>城镇开发边界：科学合理划定城镇开发边界，以“三调”为基础，基于“多规合一”开发边界，优化调整划定，通过城镇开发边界引导城市集中集约发展。</w:t>
      </w:r>
    </w:p>
    <w:p w14:paraId="64F587EA">
      <w:pPr>
        <w:spacing w:line="520" w:lineRule="exact"/>
        <w:ind w:firstLine="640" w:firstLineChars="200"/>
        <w:rPr>
          <w:rFonts w:hint="eastAsia" w:ascii="仿宋" w:hAnsi="仿宋" w:cs="仿宋"/>
          <w:sz w:val="32"/>
          <w:szCs w:val="32"/>
          <w:lang w:val="zh-CN"/>
        </w:rPr>
      </w:pPr>
      <w:r>
        <w:rPr>
          <w:rFonts w:hint="eastAsia" w:ascii="仿宋" w:hAnsi="仿宋" w:cs="仿宋"/>
          <w:sz w:val="32"/>
          <w:szCs w:val="32"/>
        </w:rPr>
        <w:t>规划要求，</w:t>
      </w:r>
      <w:r>
        <w:rPr>
          <w:rFonts w:hint="eastAsia" w:ascii="仿宋" w:hAnsi="仿宋" w:cs="仿宋"/>
          <w:sz w:val="32"/>
          <w:szCs w:val="32"/>
          <w:lang w:val="zh-CN"/>
        </w:rPr>
        <w:t>强化自然资源的保护和利用，统筹协调林地保护与利用，优化林地利用结构和布局，促进林地合理利用，提高林地利用效率，加强生态系统保护和修复，建设完善全市自然保护地体系，充分发挥现代林业在三亚山水林田湖草系统治理和生态文明建设中的重要作用。</w:t>
      </w:r>
    </w:p>
    <w:p w14:paraId="3A6C0595">
      <w:pPr>
        <w:pStyle w:val="5"/>
        <w:spacing w:line="520" w:lineRule="exact"/>
        <w:rPr>
          <w:rFonts w:hint="eastAsia" w:ascii="仿宋" w:hAnsi="仿宋" w:eastAsia="仿宋" w:cs="仿宋"/>
          <w:lang w:val="zh-CN"/>
        </w:rPr>
      </w:pPr>
      <w:bookmarkStart w:id="148" w:name="_Toc9076"/>
      <w:r>
        <w:rPr>
          <w:rFonts w:hint="eastAsia" w:ascii="仿宋" w:hAnsi="仿宋" w:eastAsia="仿宋" w:cs="仿宋"/>
        </w:rPr>
        <w:t>4.1.4</w:t>
      </w:r>
      <w:r>
        <w:rPr>
          <w:rFonts w:hint="eastAsia" w:ascii="仿宋" w:hAnsi="仿宋" w:eastAsia="仿宋" w:cs="仿宋"/>
          <w:lang w:val="zh-CN"/>
        </w:rPr>
        <w:t>以陆海统筹为原则实施生态修复</w:t>
      </w:r>
      <w:bookmarkEnd w:id="148"/>
    </w:p>
    <w:p w14:paraId="5D1EFC58">
      <w:pPr>
        <w:pStyle w:val="13"/>
        <w:spacing w:line="52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落实全市“一心、一带、三河、五廊”的生态保育结构，科学识别生态系统受损、退化和破坏区域，在全市划定北部山区丘陵生态功能提升区、生态农业修复发展区、城区生态修复与品质提升区、海岸带及海洋生态系统修复区、河流廊道生态治理区五大生态修复分区，构建“大三亚-市域-山海通廊-海岸带”多尺度镶嵌融合的生态网络体系，实现点、线、面、网生态修复的叠加效益。</w:t>
      </w:r>
    </w:p>
    <w:bookmarkEnd w:id="147"/>
    <w:p w14:paraId="08C3A64C">
      <w:pPr>
        <w:pStyle w:val="4"/>
        <w:spacing w:line="520" w:lineRule="exact"/>
        <w:rPr>
          <w:rFonts w:hint="eastAsia" w:ascii="仿宋" w:hAnsi="仿宋" w:eastAsia="仿宋" w:cs="仿宋"/>
        </w:rPr>
      </w:pPr>
      <w:bookmarkStart w:id="149" w:name="_Toc29516"/>
      <w:bookmarkStart w:id="150" w:name="_Toc9637"/>
      <w:r>
        <w:rPr>
          <w:rFonts w:hint="eastAsia" w:ascii="仿宋" w:hAnsi="仿宋" w:eastAsia="仿宋" w:cs="仿宋"/>
        </w:rPr>
        <w:t>4.2林地功能分区</w:t>
      </w:r>
      <w:bookmarkEnd w:id="149"/>
      <w:bookmarkEnd w:id="150"/>
    </w:p>
    <w:p w14:paraId="54CF5B6B">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为优化资源配置，科学合理开发、利用和保护林地资源，协调区域与局部之间的用地矛盾，突出重点，体现特色，发挥优势，提高林地利用效益，实现全市林地资源的动态平衡，根据本市的自然条件、社会经济状况、生态环境状况以及社会经济发展对林业生态建设的需求，</w:t>
      </w:r>
      <w:r>
        <w:rPr>
          <w:rFonts w:hint="eastAsia" w:ascii="仿宋" w:hAnsi="仿宋" w:cs="仿宋"/>
          <w:sz w:val="32"/>
          <w:szCs w:val="32"/>
        </w:rPr>
        <w:t>结合</w:t>
      </w:r>
      <w:r>
        <w:rPr>
          <w:rFonts w:hint="eastAsia" w:ascii="仿宋" w:hAnsi="仿宋" w:cs="仿宋"/>
          <w:sz w:val="32"/>
          <w:szCs w:val="32"/>
          <w:lang w:val="zh-CN"/>
        </w:rPr>
        <w:t>《三亚市</w:t>
      </w:r>
      <w:r>
        <w:rPr>
          <w:rFonts w:hint="eastAsia" w:ascii="仿宋" w:hAnsi="仿宋" w:cs="仿宋"/>
          <w:sz w:val="32"/>
          <w:szCs w:val="32"/>
        </w:rPr>
        <w:t>林地保护利用规划（2010-2020年）</w:t>
      </w:r>
      <w:r>
        <w:rPr>
          <w:rFonts w:hint="eastAsia" w:ascii="仿宋" w:hAnsi="仿宋" w:cs="仿宋"/>
          <w:sz w:val="32"/>
          <w:szCs w:val="32"/>
          <w:lang w:val="zh-CN"/>
        </w:rPr>
        <w:t>》</w:t>
      </w:r>
      <w:r>
        <w:rPr>
          <w:rFonts w:hint="eastAsia" w:ascii="仿宋" w:hAnsi="仿宋" w:cs="仿宋"/>
          <w:sz w:val="32"/>
          <w:szCs w:val="32"/>
        </w:rPr>
        <w:t>规划分区</w:t>
      </w:r>
      <w:r>
        <w:rPr>
          <w:rFonts w:hint="eastAsia" w:ascii="仿宋" w:hAnsi="仿宋" w:cs="仿宋"/>
          <w:sz w:val="32"/>
          <w:szCs w:val="32"/>
          <w:lang w:val="zh-CN"/>
        </w:rPr>
        <w:t>，将全市划分为北部山地、丘陵天然林资源保育区，中部台地、平原热带特色林业经营区，南部沿海</w:t>
      </w:r>
      <w:r>
        <w:rPr>
          <w:rFonts w:hint="eastAsia" w:ascii="仿宋" w:hAnsi="仿宋" w:cs="仿宋"/>
          <w:sz w:val="32"/>
          <w:szCs w:val="32"/>
        </w:rPr>
        <w:t>景观</w:t>
      </w:r>
      <w:r>
        <w:rPr>
          <w:rFonts w:hint="eastAsia" w:ascii="仿宋" w:hAnsi="仿宋" w:cs="仿宋"/>
          <w:sz w:val="32"/>
          <w:szCs w:val="32"/>
          <w:lang w:val="zh-CN"/>
        </w:rPr>
        <w:t>防护林区三个区域。</w:t>
      </w:r>
    </w:p>
    <w:p w14:paraId="31F2FF59">
      <w:pPr>
        <w:pStyle w:val="5"/>
        <w:spacing w:before="200" w:after="200" w:line="520" w:lineRule="exact"/>
        <w:rPr>
          <w:rFonts w:hint="eastAsia" w:ascii="仿宋" w:hAnsi="仿宋" w:eastAsia="仿宋" w:cs="仿宋"/>
          <w:lang w:val="zh-CN"/>
        </w:rPr>
      </w:pPr>
      <w:r>
        <w:rPr>
          <w:rFonts w:hint="eastAsia" w:ascii="仿宋" w:hAnsi="仿宋" w:eastAsia="仿宋" w:cs="仿宋"/>
          <w:lang w:val="zh-CN"/>
        </w:rPr>
        <w:t>4.2.1 北部山地、丘陵天然林资源保育区</w:t>
      </w:r>
    </w:p>
    <w:p w14:paraId="523ACD40">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（1）区域概况</w:t>
      </w:r>
    </w:p>
    <w:p w14:paraId="34E0FAE0">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该区地处三亚市北部的部分区域，以低山、丘陵地貌为主，地形相对较复杂。是全市天然林资源集中分布的区域，主要植被类型有热带季雨林、热带雨林和山地雨林等。境内生物多样性丰富，是三亚市主要珍稀动植物资源的集中栖息地和全市主要水源</w:t>
      </w:r>
      <w:r>
        <w:rPr>
          <w:rFonts w:hint="eastAsia" w:ascii="仿宋" w:hAnsi="仿宋" w:cs="仿宋"/>
          <w:sz w:val="32"/>
          <w:szCs w:val="32"/>
        </w:rPr>
        <w:t>涵养</w:t>
      </w:r>
      <w:r>
        <w:rPr>
          <w:rFonts w:hint="eastAsia" w:ascii="仿宋" w:hAnsi="仿宋" w:cs="仿宋"/>
          <w:sz w:val="32"/>
          <w:szCs w:val="32"/>
          <w:lang w:val="zh-CN"/>
        </w:rPr>
        <w:t>林区。人口密度相对较小，但农村人口比例较大，农村经济发展对林地资源的依赖程度相对较高。</w:t>
      </w:r>
    </w:p>
    <w:p w14:paraId="3605290F">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该区现有林地面积</w:t>
      </w:r>
      <w:r>
        <w:rPr>
          <w:rFonts w:hint="eastAsia" w:ascii="仿宋" w:hAnsi="仿宋" w:cs="仿宋"/>
          <w:sz w:val="32"/>
          <w:szCs w:val="32"/>
        </w:rPr>
        <w:t>39650.7760</w:t>
      </w:r>
      <w:r>
        <w:rPr>
          <w:rFonts w:hint="eastAsia" w:ascii="仿宋" w:hAnsi="仿宋" w:cs="仿宋"/>
          <w:sz w:val="32"/>
          <w:szCs w:val="32"/>
          <w:lang w:val="zh-CN"/>
        </w:rPr>
        <w:t>hm</w:t>
      </w:r>
      <w:r>
        <w:rPr>
          <w:rFonts w:hint="eastAsia" w:ascii="仿宋" w:hAnsi="仿宋" w:cs="仿宋"/>
          <w:sz w:val="32"/>
          <w:szCs w:val="32"/>
          <w:vertAlign w:val="superscript"/>
          <w:lang w:val="zh-CN"/>
        </w:rPr>
        <w:t>2</w:t>
      </w:r>
      <w:r>
        <w:rPr>
          <w:rFonts w:hint="eastAsia" w:ascii="仿宋" w:hAnsi="仿宋" w:cs="仿宋"/>
          <w:sz w:val="32"/>
          <w:szCs w:val="32"/>
          <w:lang w:val="zh-CN"/>
        </w:rPr>
        <w:t>，其中生态公益林地面积</w:t>
      </w:r>
      <w:r>
        <w:rPr>
          <w:rFonts w:hint="eastAsia" w:ascii="仿宋" w:hAnsi="仿宋" w:cs="仿宋"/>
          <w:sz w:val="32"/>
          <w:szCs w:val="32"/>
        </w:rPr>
        <w:t>34545.5835</w:t>
      </w:r>
      <w:r>
        <w:rPr>
          <w:rFonts w:hint="eastAsia" w:ascii="仿宋" w:hAnsi="仿宋" w:cs="仿宋"/>
          <w:sz w:val="32"/>
          <w:szCs w:val="32"/>
          <w:lang w:val="zh-CN"/>
        </w:rPr>
        <w:t>hm</w:t>
      </w:r>
      <w:r>
        <w:rPr>
          <w:rFonts w:hint="eastAsia" w:ascii="仿宋" w:hAnsi="仿宋" w:cs="仿宋"/>
          <w:sz w:val="32"/>
          <w:szCs w:val="32"/>
          <w:vertAlign w:val="superscript"/>
          <w:lang w:val="zh-CN"/>
        </w:rPr>
        <w:t>2</w:t>
      </w:r>
      <w:r>
        <w:rPr>
          <w:rFonts w:hint="eastAsia" w:ascii="仿宋" w:hAnsi="仿宋" w:cs="仿宋"/>
          <w:sz w:val="32"/>
          <w:szCs w:val="32"/>
          <w:lang w:val="zh-CN"/>
        </w:rPr>
        <w:t>，占林地面积的</w:t>
      </w:r>
      <w:r>
        <w:rPr>
          <w:rFonts w:hint="eastAsia" w:ascii="仿宋" w:hAnsi="仿宋" w:cs="仿宋"/>
          <w:sz w:val="32"/>
          <w:szCs w:val="32"/>
        </w:rPr>
        <w:t>87.1</w:t>
      </w:r>
      <w:r>
        <w:rPr>
          <w:rFonts w:hint="eastAsia" w:ascii="仿宋" w:hAnsi="仿宋" w:cs="仿宋"/>
          <w:sz w:val="32"/>
          <w:szCs w:val="32"/>
          <w:lang w:val="zh-CN"/>
        </w:rPr>
        <w:t>%；商品林地面积</w:t>
      </w:r>
      <w:r>
        <w:rPr>
          <w:rFonts w:hint="eastAsia" w:ascii="仿宋" w:hAnsi="仿宋" w:cs="仿宋"/>
          <w:sz w:val="32"/>
          <w:szCs w:val="32"/>
        </w:rPr>
        <w:t>5105.1925</w:t>
      </w:r>
      <w:r>
        <w:rPr>
          <w:rFonts w:hint="eastAsia" w:ascii="仿宋" w:hAnsi="仿宋" w:cs="仿宋"/>
          <w:sz w:val="32"/>
          <w:szCs w:val="32"/>
          <w:lang w:val="zh-CN"/>
        </w:rPr>
        <w:t>hm</w:t>
      </w:r>
      <w:r>
        <w:rPr>
          <w:rFonts w:hint="eastAsia" w:ascii="仿宋" w:hAnsi="仿宋" w:cs="仿宋"/>
          <w:sz w:val="32"/>
          <w:szCs w:val="32"/>
          <w:vertAlign w:val="superscript"/>
          <w:lang w:val="zh-CN"/>
        </w:rPr>
        <w:t>2</w:t>
      </w:r>
      <w:r>
        <w:rPr>
          <w:rFonts w:hint="eastAsia" w:ascii="仿宋" w:hAnsi="仿宋" w:cs="仿宋"/>
          <w:sz w:val="32"/>
          <w:szCs w:val="32"/>
          <w:lang w:val="zh-CN"/>
        </w:rPr>
        <w:t>，占</w:t>
      </w:r>
      <w:r>
        <w:rPr>
          <w:rFonts w:hint="eastAsia" w:ascii="仿宋" w:hAnsi="仿宋" w:cs="仿宋"/>
          <w:sz w:val="32"/>
          <w:szCs w:val="32"/>
        </w:rPr>
        <w:t>12</w:t>
      </w:r>
      <w:r>
        <w:rPr>
          <w:rFonts w:hint="eastAsia" w:ascii="仿宋" w:hAnsi="仿宋" w:cs="仿宋"/>
          <w:sz w:val="32"/>
          <w:szCs w:val="32"/>
          <w:lang w:val="zh-CN"/>
        </w:rPr>
        <w:t>.9%。</w:t>
      </w:r>
    </w:p>
    <w:p w14:paraId="7F04FB70">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（2） 林地保护利用方向</w:t>
      </w:r>
    </w:p>
    <w:p w14:paraId="7D2EF377">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强化天然林资源保护，加强自然保护区和森林公园建设，构建起维护三亚生态安全的绿色生态屏障；</w:t>
      </w:r>
      <w:r>
        <w:rPr>
          <w:rFonts w:hint="eastAsia" w:ascii="仿宋" w:hAnsi="仿宋" w:cs="仿宋"/>
          <w:sz w:val="32"/>
          <w:szCs w:val="32"/>
        </w:rPr>
        <w:t>依托优良的天然林资源，积极开展森林康养、生态旅游、自然教育等生态产业，促进生态价值实现，</w:t>
      </w:r>
      <w:r>
        <w:rPr>
          <w:rFonts w:hint="eastAsia" w:ascii="仿宋" w:hAnsi="仿宋" w:cs="仿宋"/>
          <w:sz w:val="32"/>
          <w:szCs w:val="32"/>
          <w:lang w:val="zh-CN"/>
        </w:rPr>
        <w:t>依托区内的商品林地资源，建立以海南热带珍贵乡土用材树种为主的大径级用材林基地；严格控制林地转非林地规模，除经国家和省林业主管部门审核同意，确需占用征用部分天然林地的国家和省重点建设项目外，其它项目建设不得占用征用天然林地；对已建或规划建设自然保护区的林地实施严格保护；积极培育森林资源，提高林地利用率。</w:t>
      </w:r>
    </w:p>
    <w:p w14:paraId="0D3F1F22">
      <w:pPr>
        <w:pStyle w:val="5"/>
        <w:spacing w:before="200" w:after="200" w:line="520" w:lineRule="exact"/>
        <w:rPr>
          <w:rFonts w:hint="eastAsia" w:ascii="仿宋" w:hAnsi="仿宋" w:eastAsia="仿宋" w:cs="仿宋"/>
          <w:lang w:val="zh-CN"/>
        </w:rPr>
      </w:pPr>
      <w:r>
        <w:rPr>
          <w:rFonts w:hint="eastAsia" w:ascii="仿宋" w:hAnsi="仿宋" w:eastAsia="仿宋" w:cs="仿宋"/>
          <w:lang w:val="zh-CN"/>
        </w:rPr>
        <w:t>4.2.2 中部台地、平原热带特色林业经营区</w:t>
      </w:r>
      <w:r>
        <w:rPr>
          <w:rFonts w:hint="eastAsia" w:ascii="仿宋" w:hAnsi="仿宋" w:eastAsia="仿宋" w:cs="仿宋"/>
          <w:lang w:val="zh-CN"/>
        </w:rPr>
        <w:tab/>
      </w:r>
    </w:p>
    <w:p w14:paraId="499A1B6A">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（1）区域概况</w:t>
      </w:r>
    </w:p>
    <w:p w14:paraId="381A96F6">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该区地处三亚市中部，以台地、平原地貌为主。是全市城镇和农场的主要分布区，建筑密集，人口密度较大。境内人工林面积大，</w:t>
      </w:r>
      <w:r>
        <w:rPr>
          <w:rFonts w:hint="eastAsia" w:ascii="仿宋" w:hAnsi="仿宋" w:cs="仿宋"/>
          <w:sz w:val="32"/>
          <w:szCs w:val="32"/>
        </w:rPr>
        <w:t>现状</w:t>
      </w:r>
      <w:r>
        <w:rPr>
          <w:rFonts w:hint="eastAsia" w:ascii="仿宋" w:hAnsi="仿宋" w:cs="仿宋"/>
          <w:sz w:val="32"/>
          <w:szCs w:val="32"/>
          <w:lang w:val="zh-CN"/>
        </w:rPr>
        <w:t>主要林种有以橡胶为主的林化工业原料林、以槟榔为主的果树林和以桉树、相思为主的短轮伐期工业原料林，“林——地”矛盾较突出，保护与城市建设用地协调难度较大。</w:t>
      </w:r>
    </w:p>
    <w:p w14:paraId="6F1E32F5">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该区域现有林地面积</w:t>
      </w:r>
      <w:r>
        <w:rPr>
          <w:rFonts w:hint="eastAsia" w:ascii="仿宋" w:hAnsi="仿宋" w:cs="仿宋"/>
          <w:sz w:val="32"/>
          <w:szCs w:val="32"/>
        </w:rPr>
        <w:t>38663.7395</w:t>
      </w:r>
      <w:r>
        <w:rPr>
          <w:rFonts w:hint="eastAsia" w:ascii="仿宋" w:hAnsi="仿宋" w:cs="仿宋"/>
          <w:sz w:val="32"/>
          <w:szCs w:val="32"/>
          <w:lang w:val="zh-CN"/>
        </w:rPr>
        <w:t>hm</w:t>
      </w:r>
      <w:r>
        <w:rPr>
          <w:rFonts w:hint="eastAsia" w:ascii="仿宋" w:hAnsi="仿宋" w:cs="仿宋"/>
          <w:sz w:val="32"/>
          <w:szCs w:val="32"/>
          <w:vertAlign w:val="superscript"/>
          <w:lang w:val="zh-CN"/>
        </w:rPr>
        <w:t>2</w:t>
      </w:r>
      <w:r>
        <w:rPr>
          <w:rFonts w:hint="eastAsia" w:ascii="仿宋" w:hAnsi="仿宋" w:cs="仿宋"/>
          <w:sz w:val="32"/>
          <w:szCs w:val="32"/>
          <w:lang w:val="zh-CN"/>
        </w:rPr>
        <w:t>，其中生态公益林地面积</w:t>
      </w:r>
      <w:r>
        <w:rPr>
          <w:rFonts w:hint="eastAsia" w:ascii="仿宋" w:hAnsi="仿宋" w:cs="仿宋"/>
          <w:sz w:val="32"/>
          <w:szCs w:val="32"/>
        </w:rPr>
        <w:t>24840.2488</w:t>
      </w:r>
      <w:r>
        <w:rPr>
          <w:rFonts w:hint="eastAsia" w:ascii="仿宋" w:hAnsi="仿宋" w:cs="仿宋"/>
          <w:sz w:val="32"/>
          <w:szCs w:val="32"/>
          <w:lang w:val="zh-CN"/>
        </w:rPr>
        <w:t>hm</w:t>
      </w:r>
      <w:r>
        <w:rPr>
          <w:rFonts w:hint="eastAsia" w:ascii="仿宋" w:hAnsi="仿宋" w:cs="仿宋"/>
          <w:sz w:val="32"/>
          <w:szCs w:val="32"/>
          <w:vertAlign w:val="superscript"/>
          <w:lang w:val="zh-CN"/>
        </w:rPr>
        <w:t>2</w:t>
      </w:r>
      <w:r>
        <w:rPr>
          <w:rFonts w:hint="eastAsia" w:ascii="仿宋" w:hAnsi="仿宋" w:cs="仿宋"/>
          <w:sz w:val="32"/>
          <w:szCs w:val="32"/>
          <w:lang w:val="zh-CN"/>
        </w:rPr>
        <w:t>，占林地面积的</w:t>
      </w:r>
      <w:r>
        <w:rPr>
          <w:rFonts w:hint="eastAsia" w:ascii="仿宋" w:hAnsi="仿宋" w:cs="仿宋"/>
          <w:sz w:val="32"/>
          <w:szCs w:val="32"/>
        </w:rPr>
        <w:t>64.3</w:t>
      </w:r>
      <w:r>
        <w:rPr>
          <w:rFonts w:hint="eastAsia" w:ascii="仿宋" w:hAnsi="仿宋" w:cs="仿宋"/>
          <w:sz w:val="32"/>
          <w:szCs w:val="32"/>
          <w:lang w:val="zh-CN"/>
        </w:rPr>
        <w:t>%；商品林地面积</w:t>
      </w:r>
      <w:r>
        <w:rPr>
          <w:rFonts w:hint="eastAsia" w:ascii="仿宋" w:hAnsi="仿宋" w:cs="仿宋"/>
          <w:sz w:val="32"/>
          <w:szCs w:val="32"/>
        </w:rPr>
        <w:t>13823.4907</w:t>
      </w:r>
      <w:r>
        <w:rPr>
          <w:rFonts w:hint="eastAsia" w:ascii="仿宋" w:hAnsi="仿宋" w:cs="仿宋"/>
          <w:sz w:val="32"/>
          <w:szCs w:val="32"/>
          <w:lang w:val="zh-CN"/>
        </w:rPr>
        <w:t>hm</w:t>
      </w:r>
      <w:r>
        <w:rPr>
          <w:rFonts w:hint="eastAsia" w:ascii="仿宋" w:hAnsi="仿宋" w:cs="仿宋"/>
          <w:sz w:val="32"/>
          <w:szCs w:val="32"/>
          <w:vertAlign w:val="superscript"/>
          <w:lang w:val="zh-CN"/>
        </w:rPr>
        <w:t>2</w:t>
      </w:r>
      <w:r>
        <w:rPr>
          <w:rFonts w:hint="eastAsia" w:ascii="仿宋" w:hAnsi="仿宋" w:cs="仿宋"/>
          <w:sz w:val="32"/>
          <w:szCs w:val="32"/>
          <w:lang w:val="zh-CN"/>
        </w:rPr>
        <w:t>，占</w:t>
      </w:r>
      <w:r>
        <w:rPr>
          <w:rFonts w:hint="eastAsia" w:ascii="仿宋" w:hAnsi="仿宋" w:cs="仿宋"/>
          <w:sz w:val="32"/>
          <w:szCs w:val="32"/>
        </w:rPr>
        <w:t>36</w:t>
      </w:r>
      <w:r>
        <w:rPr>
          <w:rFonts w:hint="eastAsia" w:ascii="仿宋" w:hAnsi="仿宋" w:cs="仿宋"/>
          <w:sz w:val="32"/>
          <w:szCs w:val="32"/>
          <w:lang w:val="zh-CN"/>
        </w:rPr>
        <w:t>.</w:t>
      </w:r>
      <w:r>
        <w:rPr>
          <w:rFonts w:hint="eastAsia" w:ascii="仿宋" w:hAnsi="仿宋" w:cs="仿宋"/>
          <w:sz w:val="32"/>
          <w:szCs w:val="32"/>
        </w:rPr>
        <w:t>7</w:t>
      </w:r>
      <w:r>
        <w:rPr>
          <w:rFonts w:hint="eastAsia" w:ascii="仿宋" w:hAnsi="仿宋" w:cs="仿宋"/>
          <w:sz w:val="32"/>
          <w:szCs w:val="32"/>
          <w:lang w:val="zh-CN"/>
        </w:rPr>
        <w:t>%。</w:t>
      </w:r>
    </w:p>
    <w:p w14:paraId="7495C7CD">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（2）林地保护利用方向</w:t>
      </w:r>
    </w:p>
    <w:p w14:paraId="311F0BC5">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通过发展</w:t>
      </w:r>
      <w:r>
        <w:rPr>
          <w:rFonts w:hint="eastAsia" w:ascii="仿宋" w:hAnsi="仿宋" w:cs="仿宋"/>
          <w:sz w:val="32"/>
          <w:szCs w:val="32"/>
        </w:rPr>
        <w:t>以橡胶、油茶为主的林化工业原料林基地，</w:t>
      </w:r>
      <w:r>
        <w:rPr>
          <w:rFonts w:hint="eastAsia" w:ascii="仿宋" w:hAnsi="仿宋" w:cs="仿宋"/>
          <w:sz w:val="32"/>
          <w:szCs w:val="32"/>
          <w:lang w:val="zh-CN"/>
        </w:rPr>
        <w:t>以桉树、相思为主的短轮伐期工业原料林基地，以花梨、格木等树种为主的热带珍贵用材林基地，以槟榔、</w:t>
      </w:r>
      <w:r>
        <w:rPr>
          <w:rFonts w:hint="eastAsia" w:ascii="仿宋" w:hAnsi="仿宋" w:cs="仿宋"/>
          <w:sz w:val="32"/>
          <w:szCs w:val="32"/>
        </w:rPr>
        <w:t>椰子、榴莲</w:t>
      </w:r>
      <w:r>
        <w:rPr>
          <w:rFonts w:hint="eastAsia" w:ascii="仿宋" w:hAnsi="仿宋" w:cs="仿宋"/>
          <w:sz w:val="32"/>
          <w:szCs w:val="32"/>
          <w:lang w:val="zh-CN"/>
        </w:rPr>
        <w:t>为主的热带</w:t>
      </w:r>
      <w:r>
        <w:rPr>
          <w:rFonts w:hint="eastAsia" w:ascii="仿宋" w:hAnsi="仿宋" w:cs="仿宋"/>
          <w:sz w:val="32"/>
          <w:szCs w:val="32"/>
        </w:rPr>
        <w:t>特色</w:t>
      </w:r>
      <w:r>
        <w:rPr>
          <w:rFonts w:hint="eastAsia" w:ascii="仿宋" w:hAnsi="仿宋" w:cs="仿宋"/>
          <w:sz w:val="32"/>
          <w:szCs w:val="32"/>
          <w:lang w:val="zh-CN"/>
        </w:rPr>
        <w:t>果木林基地和以兰花、</w:t>
      </w:r>
      <w:r>
        <w:rPr>
          <w:rFonts w:hint="eastAsia" w:ascii="仿宋" w:hAnsi="仿宋" w:cs="仿宋"/>
          <w:sz w:val="32"/>
          <w:szCs w:val="32"/>
        </w:rPr>
        <w:t>三角梅</w:t>
      </w:r>
      <w:r>
        <w:rPr>
          <w:rFonts w:hint="eastAsia" w:ascii="仿宋" w:hAnsi="仿宋" w:cs="仿宋"/>
          <w:sz w:val="32"/>
          <w:szCs w:val="32"/>
          <w:lang w:val="zh-CN"/>
        </w:rPr>
        <w:t>等为主的热带花卉、苗木基地，建成具有热带滨海特色的商品林体系；合理控制林地转非林地规模，遵循节约、集约利用林地资源的原则，审核、审批征占用林地项目，严格控制年度定额指标，杜绝违法占地、乱征滥占林地的现象；搞好商品林基地建设规划，积极引导投资者科学合理的开发利用林地资源，杜绝一切掠夺式开发利用林地的行为，确保林地资源的可持续经营。</w:t>
      </w:r>
    </w:p>
    <w:p w14:paraId="0F1347A1">
      <w:pPr>
        <w:pStyle w:val="5"/>
        <w:spacing w:before="200" w:after="200" w:line="520" w:lineRule="exact"/>
        <w:rPr>
          <w:rFonts w:hint="eastAsia" w:ascii="仿宋" w:hAnsi="仿宋" w:eastAsia="仿宋" w:cs="仿宋"/>
          <w:lang w:val="zh-CN"/>
        </w:rPr>
      </w:pPr>
      <w:r>
        <w:rPr>
          <w:rFonts w:hint="eastAsia" w:ascii="仿宋" w:hAnsi="仿宋" w:eastAsia="仿宋" w:cs="仿宋"/>
          <w:lang w:val="zh-CN"/>
        </w:rPr>
        <w:t>4.2.3 南部沿海</w:t>
      </w:r>
      <w:r>
        <w:rPr>
          <w:rFonts w:hint="eastAsia" w:ascii="仿宋" w:hAnsi="仿宋" w:eastAsia="仿宋" w:cs="仿宋"/>
        </w:rPr>
        <w:t>景观</w:t>
      </w:r>
      <w:r>
        <w:rPr>
          <w:rFonts w:hint="eastAsia" w:ascii="仿宋" w:hAnsi="仿宋" w:eastAsia="仿宋" w:cs="仿宋"/>
          <w:lang w:val="zh-CN"/>
        </w:rPr>
        <w:t>防护林区</w:t>
      </w:r>
    </w:p>
    <w:p w14:paraId="71AFB4C4">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（1）区域概况</w:t>
      </w:r>
    </w:p>
    <w:p w14:paraId="7CB6B5C4">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该区地处三亚市南部</w:t>
      </w:r>
      <w:r>
        <w:rPr>
          <w:rFonts w:hint="eastAsia" w:ascii="仿宋" w:hAnsi="仿宋" w:cs="仿宋"/>
          <w:sz w:val="32"/>
          <w:szCs w:val="32"/>
        </w:rPr>
        <w:t>及东北部</w:t>
      </w:r>
      <w:r>
        <w:rPr>
          <w:rFonts w:hint="eastAsia" w:ascii="仿宋" w:hAnsi="仿宋" w:cs="仿宋"/>
          <w:sz w:val="32"/>
          <w:szCs w:val="32"/>
          <w:lang w:val="zh-CN"/>
        </w:rPr>
        <w:t>沿海区域，主要地貌为沿海台地、平原，地势平坦，</w:t>
      </w:r>
      <w:r>
        <w:rPr>
          <w:rFonts w:hint="eastAsia" w:ascii="仿宋" w:hAnsi="仿宋" w:cs="仿宋"/>
          <w:sz w:val="32"/>
          <w:szCs w:val="32"/>
        </w:rPr>
        <w:t>岛屿数量较多，旅游</w:t>
      </w:r>
      <w:r>
        <w:rPr>
          <w:rFonts w:hint="eastAsia" w:ascii="仿宋" w:hAnsi="仿宋" w:cs="仿宋"/>
          <w:sz w:val="32"/>
          <w:szCs w:val="32"/>
          <w:lang w:val="zh-CN"/>
        </w:rPr>
        <w:t>资源丰富。本区属三亚城市扩张以及旅游开发的重点区域，随着城市化进程的加快，城市人口逐步聚集，城市建设用地也将大幅度增加，因此，必须切实保护和利用好本区的林地资源，以保障沿海防护林持续高效的发挥</w:t>
      </w:r>
      <w:r>
        <w:rPr>
          <w:rFonts w:hint="eastAsia" w:ascii="仿宋" w:hAnsi="仿宋" w:cs="仿宋"/>
          <w:sz w:val="32"/>
          <w:szCs w:val="32"/>
        </w:rPr>
        <w:t>景观、</w:t>
      </w:r>
      <w:r>
        <w:rPr>
          <w:rFonts w:hint="eastAsia" w:ascii="仿宋" w:hAnsi="仿宋" w:cs="仿宋"/>
          <w:sz w:val="32"/>
          <w:szCs w:val="32"/>
          <w:lang w:val="zh-CN"/>
        </w:rPr>
        <w:t>生态防护</w:t>
      </w:r>
      <w:r>
        <w:rPr>
          <w:rFonts w:hint="eastAsia" w:ascii="仿宋" w:hAnsi="仿宋" w:cs="仿宋"/>
          <w:sz w:val="32"/>
          <w:szCs w:val="32"/>
        </w:rPr>
        <w:t>等综合</w:t>
      </w:r>
      <w:r>
        <w:rPr>
          <w:rFonts w:hint="eastAsia" w:ascii="仿宋" w:hAnsi="仿宋" w:cs="仿宋"/>
          <w:sz w:val="32"/>
          <w:szCs w:val="32"/>
          <w:lang w:val="zh-CN"/>
        </w:rPr>
        <w:t>效益。</w:t>
      </w:r>
    </w:p>
    <w:p w14:paraId="08681612">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该区现有林地面积</w:t>
      </w:r>
      <w:r>
        <w:rPr>
          <w:rFonts w:hint="eastAsia" w:ascii="仿宋" w:hAnsi="仿宋" w:cs="仿宋"/>
          <w:sz w:val="32"/>
          <w:szCs w:val="32"/>
        </w:rPr>
        <w:t>19086.7344</w:t>
      </w:r>
      <w:r>
        <w:rPr>
          <w:rFonts w:hint="eastAsia" w:ascii="仿宋" w:hAnsi="仿宋" w:cs="仿宋"/>
          <w:sz w:val="32"/>
          <w:szCs w:val="32"/>
          <w:lang w:val="zh-CN"/>
        </w:rPr>
        <w:t>hm</w:t>
      </w:r>
      <w:r>
        <w:rPr>
          <w:rFonts w:hint="eastAsia" w:ascii="仿宋" w:hAnsi="仿宋" w:cs="仿宋"/>
          <w:sz w:val="32"/>
          <w:szCs w:val="32"/>
          <w:vertAlign w:val="superscript"/>
          <w:lang w:val="zh-CN"/>
        </w:rPr>
        <w:t>2</w:t>
      </w:r>
      <w:r>
        <w:rPr>
          <w:rFonts w:hint="eastAsia" w:ascii="仿宋" w:hAnsi="仿宋" w:cs="仿宋"/>
          <w:sz w:val="32"/>
          <w:szCs w:val="32"/>
          <w:lang w:val="zh-CN"/>
        </w:rPr>
        <w:t>，其中生态公益林地面积16011</w:t>
      </w:r>
      <w:r>
        <w:rPr>
          <w:rFonts w:hint="eastAsia" w:ascii="仿宋" w:hAnsi="仿宋" w:cs="仿宋"/>
          <w:sz w:val="32"/>
          <w:szCs w:val="32"/>
        </w:rPr>
        <w:t>.</w:t>
      </w:r>
      <w:r>
        <w:rPr>
          <w:rFonts w:hint="eastAsia" w:ascii="仿宋" w:hAnsi="仿宋" w:cs="仿宋"/>
          <w:sz w:val="32"/>
          <w:szCs w:val="32"/>
          <w:lang w:val="zh-CN"/>
        </w:rPr>
        <w:t>1018hm</w:t>
      </w:r>
      <w:r>
        <w:rPr>
          <w:rFonts w:hint="eastAsia" w:ascii="仿宋" w:hAnsi="仿宋" w:cs="仿宋"/>
          <w:sz w:val="32"/>
          <w:szCs w:val="32"/>
          <w:vertAlign w:val="superscript"/>
          <w:lang w:val="zh-CN"/>
        </w:rPr>
        <w:t>2</w:t>
      </w:r>
      <w:r>
        <w:rPr>
          <w:rFonts w:hint="eastAsia" w:ascii="仿宋" w:hAnsi="仿宋" w:cs="仿宋"/>
          <w:sz w:val="32"/>
          <w:szCs w:val="32"/>
          <w:lang w:val="zh-CN"/>
        </w:rPr>
        <w:t>，占林地面积的</w:t>
      </w:r>
      <w:r>
        <w:rPr>
          <w:rFonts w:hint="eastAsia" w:ascii="仿宋" w:hAnsi="仿宋" w:cs="仿宋"/>
          <w:sz w:val="32"/>
          <w:szCs w:val="32"/>
        </w:rPr>
        <w:t>83.9</w:t>
      </w:r>
      <w:r>
        <w:rPr>
          <w:rFonts w:hint="eastAsia" w:ascii="仿宋" w:hAnsi="仿宋" w:cs="仿宋"/>
          <w:sz w:val="32"/>
          <w:szCs w:val="32"/>
          <w:lang w:val="zh-CN"/>
        </w:rPr>
        <w:t>%；商品林地面积</w:t>
      </w:r>
      <w:r>
        <w:rPr>
          <w:rFonts w:hint="eastAsia" w:ascii="仿宋" w:hAnsi="仿宋" w:cs="仿宋"/>
          <w:sz w:val="32"/>
          <w:szCs w:val="32"/>
        </w:rPr>
        <w:t>3075.6326</w:t>
      </w:r>
      <w:r>
        <w:rPr>
          <w:rFonts w:hint="eastAsia" w:ascii="仿宋" w:hAnsi="仿宋" w:cs="仿宋"/>
          <w:sz w:val="32"/>
          <w:szCs w:val="32"/>
          <w:lang w:val="zh-CN"/>
        </w:rPr>
        <w:t>hm</w:t>
      </w:r>
      <w:r>
        <w:rPr>
          <w:rFonts w:hint="eastAsia" w:ascii="仿宋" w:hAnsi="仿宋" w:cs="仿宋"/>
          <w:sz w:val="32"/>
          <w:szCs w:val="32"/>
          <w:vertAlign w:val="superscript"/>
          <w:lang w:val="zh-CN"/>
        </w:rPr>
        <w:t>2</w:t>
      </w:r>
      <w:r>
        <w:rPr>
          <w:rFonts w:hint="eastAsia" w:ascii="仿宋" w:hAnsi="仿宋" w:cs="仿宋"/>
          <w:sz w:val="32"/>
          <w:szCs w:val="32"/>
          <w:lang w:val="zh-CN"/>
        </w:rPr>
        <w:t>，占</w:t>
      </w:r>
      <w:r>
        <w:rPr>
          <w:rFonts w:hint="eastAsia" w:ascii="仿宋" w:hAnsi="仿宋" w:cs="仿宋"/>
          <w:sz w:val="32"/>
          <w:szCs w:val="32"/>
        </w:rPr>
        <w:t>16.1</w:t>
      </w:r>
      <w:r>
        <w:rPr>
          <w:rFonts w:hint="eastAsia" w:ascii="仿宋" w:hAnsi="仿宋" w:cs="仿宋"/>
          <w:sz w:val="32"/>
          <w:szCs w:val="32"/>
          <w:lang w:val="zh-CN"/>
        </w:rPr>
        <w:t>%。</w:t>
      </w:r>
    </w:p>
    <w:p w14:paraId="1C235961">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（2）林地保护利用方向</w:t>
      </w:r>
    </w:p>
    <w:p w14:paraId="1328917E">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以基干防护林带建设为主体、</w:t>
      </w:r>
      <w:r>
        <w:rPr>
          <w:rFonts w:hint="eastAsia" w:ascii="仿宋" w:hAnsi="仿宋" w:cs="仿宋"/>
          <w:sz w:val="32"/>
          <w:szCs w:val="32"/>
        </w:rPr>
        <w:t>实施海防林景观改造</w:t>
      </w:r>
      <w:r>
        <w:rPr>
          <w:rFonts w:hint="eastAsia" w:ascii="仿宋" w:hAnsi="仿宋" w:cs="仿宋"/>
          <w:sz w:val="32"/>
          <w:szCs w:val="32"/>
          <w:lang w:val="zh-CN"/>
        </w:rPr>
        <w:t>为重点，结合城镇、村庄生态环境建设、绿色通道建设，</w:t>
      </w:r>
      <w:r>
        <w:rPr>
          <w:rFonts w:hint="eastAsia" w:ascii="仿宋" w:hAnsi="仿宋" w:cs="仿宋"/>
          <w:sz w:val="32"/>
          <w:szCs w:val="32"/>
        </w:rPr>
        <w:t>提升海防林景观效果，</w:t>
      </w:r>
      <w:r>
        <w:rPr>
          <w:rFonts w:hint="eastAsia" w:ascii="仿宋" w:hAnsi="仿宋" w:cs="仿宋"/>
          <w:sz w:val="32"/>
          <w:szCs w:val="32"/>
          <w:lang w:val="zh-CN"/>
        </w:rPr>
        <w:t>构建沿海</w:t>
      </w:r>
      <w:r>
        <w:rPr>
          <w:rFonts w:hint="eastAsia" w:ascii="仿宋" w:hAnsi="仿宋" w:cs="仿宋"/>
          <w:sz w:val="32"/>
          <w:szCs w:val="32"/>
        </w:rPr>
        <w:t>景观</w:t>
      </w:r>
      <w:r>
        <w:rPr>
          <w:rFonts w:hint="eastAsia" w:ascii="仿宋" w:hAnsi="仿宋" w:cs="仿宋"/>
          <w:sz w:val="32"/>
          <w:szCs w:val="32"/>
          <w:lang w:val="zh-CN"/>
        </w:rPr>
        <w:t>防护林体系。在注重生态</w:t>
      </w:r>
      <w:r>
        <w:rPr>
          <w:rFonts w:hint="eastAsia" w:ascii="仿宋" w:hAnsi="仿宋" w:cs="仿宋"/>
          <w:sz w:val="32"/>
          <w:szCs w:val="32"/>
        </w:rPr>
        <w:t>保护</w:t>
      </w:r>
      <w:r>
        <w:rPr>
          <w:rFonts w:hint="eastAsia" w:ascii="仿宋" w:hAnsi="仿宋" w:cs="仿宋"/>
          <w:sz w:val="32"/>
          <w:szCs w:val="32"/>
          <w:lang w:val="zh-CN"/>
        </w:rPr>
        <w:t>建设的基础上，充分利用沿海森林景观资源，</w:t>
      </w:r>
      <w:r>
        <w:rPr>
          <w:rFonts w:hint="eastAsia" w:ascii="仿宋" w:hAnsi="仿宋" w:cs="仿宋"/>
          <w:sz w:val="32"/>
          <w:szCs w:val="32"/>
        </w:rPr>
        <w:t>合理布设游憩设施，科学</w:t>
      </w:r>
      <w:r>
        <w:rPr>
          <w:rFonts w:hint="eastAsia" w:ascii="仿宋" w:hAnsi="仿宋" w:cs="仿宋"/>
          <w:sz w:val="32"/>
          <w:szCs w:val="32"/>
          <w:lang w:val="zh-CN"/>
        </w:rPr>
        <w:t>开展生态旅游。严格控制林地转非林地规模，</w:t>
      </w:r>
      <w:r>
        <w:rPr>
          <w:rFonts w:hint="eastAsia" w:ascii="仿宋" w:hAnsi="仿宋" w:cs="仿宋"/>
          <w:sz w:val="32"/>
          <w:szCs w:val="32"/>
        </w:rPr>
        <w:t>严格限制</w:t>
      </w:r>
      <w:r>
        <w:rPr>
          <w:rFonts w:hint="eastAsia" w:ascii="仿宋" w:hAnsi="仿宋" w:cs="仿宋"/>
          <w:sz w:val="32"/>
          <w:szCs w:val="32"/>
          <w:lang w:val="zh-CN"/>
        </w:rPr>
        <w:t>占用征用基干防护林带规划范围内的林地，确保基干防护林带不断带、无缺口，构筑起沿海生态防护的第一道屏障。</w:t>
      </w:r>
    </w:p>
    <w:p w14:paraId="16624B8B">
      <w:pPr>
        <w:pStyle w:val="13"/>
        <w:spacing w:line="520" w:lineRule="exact"/>
        <w:rPr>
          <w:rFonts w:hint="eastAsia" w:ascii="仿宋" w:hAnsi="仿宋" w:eastAsia="仿宋" w:cs="仿宋"/>
          <w:sz w:val="32"/>
          <w:szCs w:val="32"/>
        </w:rPr>
        <w:sectPr>
          <w:pgSz w:w="11906" w:h="16838"/>
          <w:pgMar w:top="1417" w:right="1417" w:bottom="1417" w:left="1417" w:header="851" w:footer="992" w:gutter="0"/>
          <w:cols w:space="720" w:num="1"/>
          <w:docGrid w:type="lines" w:linePitch="312" w:charSpace="0"/>
        </w:sectPr>
      </w:pPr>
    </w:p>
    <w:p w14:paraId="53F8D2E2">
      <w:pPr>
        <w:pStyle w:val="3"/>
        <w:spacing w:before="468" w:beforeLines="150" w:after="312" w:afterLines="100" w:line="520" w:lineRule="exact"/>
        <w:jc w:val="center"/>
        <w:rPr>
          <w:rFonts w:hint="eastAsia" w:ascii="黑体" w:hAnsi="黑体" w:eastAsia="黑体" w:cs="黑体"/>
          <w:bCs w:val="0"/>
          <w:sz w:val="32"/>
          <w:szCs w:val="32"/>
        </w:rPr>
      </w:pPr>
      <w:bookmarkStart w:id="151" w:name="_Toc21489"/>
      <w:bookmarkStart w:id="152" w:name="_Toc16848"/>
      <w:r>
        <w:rPr>
          <w:rFonts w:hint="eastAsia" w:ascii="黑体" w:hAnsi="黑体" w:eastAsia="黑体" w:cs="黑体"/>
          <w:bCs w:val="0"/>
          <w:sz w:val="32"/>
          <w:szCs w:val="32"/>
        </w:rPr>
        <w:t>第五章 全面保护林地</w:t>
      </w:r>
      <w:bookmarkEnd w:id="151"/>
      <w:bookmarkEnd w:id="152"/>
    </w:p>
    <w:p w14:paraId="0BBF1B92">
      <w:pPr>
        <w:pStyle w:val="4"/>
        <w:spacing w:line="520" w:lineRule="exact"/>
        <w:rPr>
          <w:rFonts w:hint="eastAsia" w:ascii="仿宋" w:hAnsi="仿宋" w:eastAsia="仿宋" w:cs="仿宋"/>
        </w:rPr>
      </w:pPr>
      <w:bookmarkStart w:id="153" w:name="_Toc10921"/>
      <w:bookmarkStart w:id="154" w:name="_Toc24647"/>
      <w:r>
        <w:rPr>
          <w:rFonts w:hint="eastAsia" w:ascii="仿宋" w:hAnsi="仿宋" w:eastAsia="仿宋" w:cs="仿宋"/>
        </w:rPr>
        <w:t>5.1 严格林地用途管制</w:t>
      </w:r>
      <w:bookmarkEnd w:id="153"/>
      <w:bookmarkEnd w:id="154"/>
    </w:p>
    <w:p w14:paraId="3D915FFE">
      <w:pPr>
        <w:pStyle w:val="5"/>
        <w:spacing w:line="520" w:lineRule="exact"/>
        <w:rPr>
          <w:rFonts w:hint="eastAsia" w:ascii="仿宋" w:hAnsi="仿宋" w:eastAsia="仿宋" w:cs="仿宋"/>
        </w:rPr>
      </w:pPr>
      <w:bookmarkStart w:id="155" w:name="_Toc13233"/>
      <w:bookmarkStart w:id="156" w:name="_Toc23284"/>
      <w:bookmarkStart w:id="157" w:name="_Toc27307"/>
      <w:bookmarkStart w:id="158" w:name="_Toc23144"/>
      <w:bookmarkStart w:id="159" w:name="_Toc88494686"/>
      <w:r>
        <w:rPr>
          <w:rFonts w:hint="eastAsia" w:ascii="仿宋" w:hAnsi="仿宋" w:eastAsia="仿宋" w:cs="仿宋"/>
        </w:rPr>
        <w:t>5.1.1 严格控制林地转为建设用地</w:t>
      </w:r>
      <w:bookmarkEnd w:id="155"/>
      <w:bookmarkEnd w:id="156"/>
      <w:bookmarkEnd w:id="157"/>
      <w:bookmarkEnd w:id="158"/>
      <w:bookmarkEnd w:id="159"/>
    </w:p>
    <w:p w14:paraId="0D1C76B5">
      <w:pPr>
        <w:spacing w:line="520" w:lineRule="exact"/>
        <w:ind w:firstLine="646" w:firstLineChars="202"/>
        <w:rPr>
          <w:rFonts w:hint="eastAsia" w:ascii="仿宋" w:hAnsi="仿宋" w:cs="仿宋"/>
          <w:sz w:val="32"/>
          <w:szCs w:val="32"/>
        </w:rPr>
      </w:pPr>
      <w:r>
        <w:rPr>
          <w:rFonts w:hint="eastAsia" w:ascii="仿宋" w:hAnsi="仿宋" w:cs="仿宋"/>
          <w:sz w:val="32"/>
          <w:szCs w:val="32"/>
          <w:lang w:val="zh-CN"/>
        </w:rPr>
        <w:t>《森林法》第三十七条明确规定，矿藏勘查、开采以及其他各类工程建设，应当不占或者少占林地；确需使用林地的，应当经县级以上人民政府林业主管部门审核同意，依法办理建设用地审批手续。根据《海南省森林保护管理条例》，使用林地定额实行总量控制管理，各地不得超定额审批建设项目，按照严格保护、节约集约、保障重点、用途管制原则，优先保障国家级、省级重点项目和抢险救灾、民生、军事等方面的项目，适度控制用于城镇扩展边界、工矿开发等建设项目，从严控制用于房地产、采石采矿等商业性开发项目以及风电、光伏，禁止用于国家法律法规明令禁止供地的建设项目。严格控制国有林地转为非林地。规划期</w:t>
      </w:r>
      <w:r>
        <w:rPr>
          <w:rFonts w:hint="eastAsia" w:ascii="仿宋" w:hAnsi="仿宋" w:cs="仿宋"/>
          <w:sz w:val="32"/>
          <w:szCs w:val="32"/>
        </w:rPr>
        <w:t>内</w:t>
      </w:r>
      <w:r>
        <w:rPr>
          <w:rFonts w:hint="eastAsia" w:ascii="仿宋" w:hAnsi="仿宋" w:cs="仿宋"/>
          <w:sz w:val="32"/>
          <w:szCs w:val="32"/>
          <w:lang w:val="zh-CN"/>
        </w:rPr>
        <w:t>，全市使用林地定额严格控制在</w:t>
      </w:r>
      <w:r>
        <w:rPr>
          <w:rFonts w:hint="eastAsia" w:ascii="仿宋" w:hAnsi="仿宋" w:cs="仿宋"/>
          <w:sz w:val="32"/>
          <w:szCs w:val="32"/>
        </w:rPr>
        <w:t>280</w:t>
      </w:r>
      <w:r>
        <w:rPr>
          <w:rFonts w:hint="eastAsia" w:ascii="仿宋" w:hAnsi="仿宋" w:cs="仿宋"/>
          <w:sz w:val="32"/>
          <w:szCs w:val="32"/>
          <w:lang w:val="zh-CN"/>
        </w:rPr>
        <w:t>0公顷以内。</w:t>
      </w:r>
    </w:p>
    <w:p w14:paraId="1802B2A8">
      <w:pPr>
        <w:pStyle w:val="5"/>
        <w:spacing w:before="200" w:after="200" w:line="520" w:lineRule="exact"/>
        <w:rPr>
          <w:rFonts w:hint="eastAsia" w:ascii="仿宋" w:hAnsi="仿宋" w:eastAsia="仿宋" w:cs="仿宋"/>
        </w:rPr>
      </w:pPr>
      <w:bookmarkStart w:id="160" w:name="_Toc8230"/>
      <w:bookmarkStart w:id="161" w:name="_Toc14745"/>
      <w:r>
        <w:rPr>
          <w:rFonts w:hint="eastAsia" w:ascii="仿宋" w:hAnsi="仿宋" w:eastAsia="仿宋" w:cs="仿宋"/>
        </w:rPr>
        <w:t>5.1.2 严格控制林地转为其他农用地</w:t>
      </w:r>
      <w:bookmarkEnd w:id="160"/>
      <w:bookmarkEnd w:id="161"/>
    </w:p>
    <w:p w14:paraId="3A8C93A6">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禁止毁林开垦、毁林挖塘和利用林地营造经济林转为园地等将林地转化为其他农用土地。在</w:t>
      </w:r>
      <w:r>
        <w:fldChar w:fldCharType="begin"/>
      </w:r>
      <w:r>
        <w:instrText xml:space="preserve"> HYPERLINK "https://baike.so.com/doc/6726079-6940320.html" \t "_blank" </w:instrText>
      </w:r>
      <w:r>
        <w:fldChar w:fldCharType="separate"/>
      </w:r>
      <w:r>
        <w:rPr>
          <w:rFonts w:hint="eastAsia" w:ascii="仿宋" w:hAnsi="仿宋" w:cs="仿宋"/>
          <w:sz w:val="32"/>
          <w:szCs w:val="32"/>
          <w:lang w:val="zh-CN"/>
        </w:rPr>
        <w:t>农业综合开发</w:t>
      </w:r>
      <w:r>
        <w:rPr>
          <w:rFonts w:hint="eastAsia" w:ascii="仿宋" w:hAnsi="仿宋" w:cs="仿宋"/>
          <w:sz w:val="32"/>
          <w:szCs w:val="32"/>
          <w:lang w:val="zh-CN"/>
        </w:rPr>
        <w:fldChar w:fldCharType="end"/>
      </w:r>
      <w:r>
        <w:rPr>
          <w:rFonts w:hint="eastAsia" w:ascii="仿宋" w:hAnsi="仿宋" w:cs="仿宋"/>
          <w:sz w:val="32"/>
          <w:szCs w:val="32"/>
          <w:lang w:val="zh-CN"/>
        </w:rPr>
        <w:t>、</w:t>
      </w:r>
      <w:r>
        <w:fldChar w:fldCharType="begin"/>
      </w:r>
      <w:r>
        <w:instrText xml:space="preserve"> HYPERLINK "https://baike.so.com/doc/3499170-3681107.html" \t "_blank" </w:instrText>
      </w:r>
      <w:r>
        <w:fldChar w:fldCharType="separate"/>
      </w:r>
      <w:r>
        <w:rPr>
          <w:rFonts w:hint="eastAsia" w:ascii="仿宋" w:hAnsi="仿宋" w:cs="仿宋"/>
          <w:sz w:val="32"/>
          <w:szCs w:val="32"/>
          <w:lang w:val="zh-CN"/>
        </w:rPr>
        <w:t>耕地占补平衡</w:t>
      </w:r>
      <w:r>
        <w:rPr>
          <w:rFonts w:hint="eastAsia" w:ascii="仿宋" w:hAnsi="仿宋" w:cs="仿宋"/>
          <w:sz w:val="32"/>
          <w:szCs w:val="32"/>
          <w:lang w:val="zh-CN"/>
        </w:rPr>
        <w:fldChar w:fldCharType="end"/>
      </w:r>
      <w:r>
        <w:rPr>
          <w:rFonts w:hint="eastAsia" w:ascii="仿宋" w:hAnsi="仿宋" w:cs="仿宋"/>
          <w:sz w:val="32"/>
          <w:szCs w:val="32"/>
          <w:lang w:val="zh-CN"/>
        </w:rPr>
        <w:t>、土地整理过程中，不得</w:t>
      </w:r>
      <w:r>
        <w:rPr>
          <w:rFonts w:hint="eastAsia" w:ascii="仿宋" w:hAnsi="仿宋" w:cs="仿宋"/>
          <w:sz w:val="32"/>
          <w:szCs w:val="32"/>
        </w:rPr>
        <w:t>随意</w:t>
      </w:r>
      <w:r>
        <w:rPr>
          <w:rFonts w:hint="eastAsia" w:ascii="仿宋" w:hAnsi="仿宋" w:cs="仿宋"/>
          <w:sz w:val="32"/>
          <w:szCs w:val="32"/>
          <w:lang w:val="zh-CN"/>
        </w:rPr>
        <w:t>占</w:t>
      </w:r>
      <w:r>
        <w:rPr>
          <w:rFonts w:hint="eastAsia" w:ascii="仿宋" w:hAnsi="仿宋" w:cs="仿宋"/>
          <w:sz w:val="32"/>
          <w:szCs w:val="32"/>
        </w:rPr>
        <w:t>用</w:t>
      </w:r>
      <w:r>
        <w:rPr>
          <w:rFonts w:hint="eastAsia" w:ascii="仿宋" w:hAnsi="仿宋" w:cs="仿宋"/>
          <w:sz w:val="32"/>
          <w:szCs w:val="32"/>
          <w:lang w:val="zh-CN"/>
        </w:rPr>
        <w:t>林地。</w:t>
      </w:r>
    </w:p>
    <w:p w14:paraId="3E091F1F">
      <w:pPr>
        <w:pStyle w:val="5"/>
        <w:spacing w:before="200" w:after="200" w:line="520" w:lineRule="exact"/>
        <w:rPr>
          <w:rFonts w:hint="eastAsia" w:ascii="仿宋" w:hAnsi="仿宋" w:eastAsia="仿宋" w:cs="仿宋"/>
        </w:rPr>
      </w:pPr>
      <w:bookmarkStart w:id="162" w:name="_Toc88494687"/>
      <w:bookmarkStart w:id="163" w:name="_Toc21629"/>
      <w:bookmarkStart w:id="164" w:name="_Toc28088"/>
      <w:bookmarkStart w:id="165" w:name="_Toc1152"/>
      <w:bookmarkStart w:id="166" w:name="_Toc16982"/>
      <w:r>
        <w:rPr>
          <w:rFonts w:hint="eastAsia" w:ascii="仿宋" w:hAnsi="仿宋" w:eastAsia="仿宋" w:cs="仿宋"/>
        </w:rPr>
        <w:t>5.1.3 加强临时使用林地监督管理</w:t>
      </w:r>
      <w:bookmarkEnd w:id="162"/>
      <w:bookmarkEnd w:id="163"/>
      <w:bookmarkEnd w:id="164"/>
      <w:bookmarkEnd w:id="165"/>
      <w:bookmarkEnd w:id="166"/>
    </w:p>
    <w:p w14:paraId="7EFBBD9A">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临时使用林地不得修建永久性建筑物、构筑物和其他设施。不得以临时占地为名批准永久性使用林地，不得批准对林地表土层造成永久性破环的建设项目附属工程临时使用林地，不可恢复林业生产条件的采石（沙）场、取土场等应当办理永久性使用林地手续。临时使用林地的期限为二年，期满后还需要继续使用林地的，必须办理延续手续。临时使用林地期满后一年内，用地单位或者个人应当恢复植被和林业生产条件，并经有关主管部门组织验收后，交还给原土地所有权人或使用权人，保持林地用途不变，恢复森林植被。</w:t>
      </w:r>
      <w:r>
        <w:rPr>
          <w:rFonts w:hint="eastAsia" w:ascii="仿宋" w:hAnsi="仿宋" w:cs="仿宋"/>
          <w:sz w:val="32"/>
          <w:szCs w:val="32"/>
        </w:rPr>
        <w:t>各区</w:t>
      </w:r>
      <w:r>
        <w:rPr>
          <w:rFonts w:hint="eastAsia" w:ascii="仿宋" w:hAnsi="仿宋" w:cs="仿宋"/>
          <w:sz w:val="32"/>
          <w:szCs w:val="32"/>
          <w:lang w:val="zh-CN"/>
        </w:rPr>
        <w:t xml:space="preserve">林业主管部门要依法加强对辖区范围内临时使用林地的日常检查，督促建设单位按照批准的建设内容使用林地；建立临时使用林地恢复林业生产条件验收制度，临时使用林地的单位完成恢复林业生产条件后组织验收。 </w:t>
      </w:r>
    </w:p>
    <w:p w14:paraId="1AA5B8E1">
      <w:pPr>
        <w:pStyle w:val="5"/>
        <w:spacing w:before="200" w:after="200" w:line="520" w:lineRule="exact"/>
        <w:rPr>
          <w:rFonts w:hint="eastAsia" w:ascii="仿宋" w:hAnsi="仿宋" w:eastAsia="仿宋" w:cs="仿宋"/>
        </w:rPr>
      </w:pPr>
      <w:bookmarkStart w:id="167" w:name="_Toc22455"/>
      <w:bookmarkStart w:id="168" w:name="_Toc11389"/>
      <w:bookmarkStart w:id="169" w:name="_Toc10914"/>
      <w:bookmarkStart w:id="170" w:name="_Toc88494688"/>
      <w:bookmarkStart w:id="171" w:name="_Toc244"/>
      <w:r>
        <w:rPr>
          <w:rFonts w:hint="eastAsia" w:ascii="仿宋" w:hAnsi="仿宋" w:eastAsia="仿宋" w:cs="仿宋"/>
        </w:rPr>
        <w:t>5.1.4 开展森林督查规范林地监管</w:t>
      </w:r>
      <w:bookmarkEnd w:id="167"/>
      <w:bookmarkEnd w:id="168"/>
      <w:bookmarkEnd w:id="169"/>
      <w:bookmarkEnd w:id="170"/>
      <w:bookmarkEnd w:id="171"/>
    </w:p>
    <w:p w14:paraId="62B253FF">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牢固树立守土有责、守土负责、守土尽责意识，按照“国家组织、省负总责、分级负责、上下联动、齐抓共管”的工作体系，组织开展森林督查工作。采用天上看、地上巡的方式，充分利用遥感影像判读林地变化图斑，形成森林资源遥感判读数据库，通过查阅档案资料、实地验证等方法，核实林地资源变化情况，发现违法破坏森林资源行为，逐一查处，综合运用通报、约谈、曝光等手段推动发现问题全面整改。构建违法破坏森林资源案件数据库，建立案件台账管理和查处销号制度，实行案件查处情况动态管理，防止林地资源不正当流失，切实加强林地保护管理。</w:t>
      </w:r>
    </w:p>
    <w:p w14:paraId="6E4D49AE">
      <w:pPr>
        <w:pStyle w:val="5"/>
        <w:spacing w:before="200" w:after="200" w:line="520" w:lineRule="exact"/>
        <w:rPr>
          <w:rFonts w:hint="eastAsia" w:ascii="仿宋" w:hAnsi="仿宋" w:eastAsia="仿宋" w:cs="仿宋"/>
        </w:rPr>
      </w:pPr>
      <w:bookmarkStart w:id="172" w:name="_Toc11181"/>
      <w:bookmarkStart w:id="173" w:name="_Toc88494689"/>
      <w:bookmarkStart w:id="174" w:name="_Toc7701"/>
      <w:bookmarkStart w:id="175" w:name="_Toc23014"/>
      <w:bookmarkStart w:id="176" w:name="_Toc20615"/>
      <w:r>
        <w:rPr>
          <w:rFonts w:hint="eastAsia" w:ascii="仿宋" w:hAnsi="仿宋" w:eastAsia="仿宋" w:cs="仿宋"/>
        </w:rPr>
        <w:t>5.1.5推行林长制落实林地保护职责</w:t>
      </w:r>
      <w:bookmarkEnd w:id="172"/>
      <w:bookmarkEnd w:id="173"/>
      <w:bookmarkEnd w:id="174"/>
      <w:bookmarkEnd w:id="175"/>
      <w:bookmarkEnd w:id="176"/>
    </w:p>
    <w:p w14:paraId="26109591">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根据三亚市区域、资源特点和自然生态系统完整性，科学确定林长责任区域。各级林长组织领导责任区域内林地资源保护发展工作，落实保护发展目标责任制，将森林覆盖率、森林蓄积量等作为重要指标，并因地制宜确定目标任务。各级林长组织加强责任区域内重点生态功能区和生态环境敏感脆弱区域的森林资源保护，禁止毁林开垦。加强公益林管护，统筹推进天然林保护，全面停止天然林商业性采伐，完善</w:t>
      </w:r>
      <w:r>
        <w:rPr>
          <w:rFonts w:hint="eastAsia" w:ascii="仿宋" w:hAnsi="仿宋" w:cs="仿宋"/>
          <w:sz w:val="32"/>
          <w:szCs w:val="32"/>
        </w:rPr>
        <w:t>三亚市</w:t>
      </w:r>
      <w:r>
        <w:rPr>
          <w:rFonts w:hint="eastAsia" w:ascii="仿宋" w:hAnsi="仿宋" w:cs="仿宋"/>
          <w:sz w:val="32"/>
          <w:szCs w:val="32"/>
          <w:lang w:val="zh-CN"/>
        </w:rPr>
        <w:t xml:space="preserve">公益林效益补偿制度。依据国土空间规划，科学划定生态用地范围，严格实行生态保护红线、自然保护地监管制度，落实生态空间管控边界，构建国土空间开发保护新格局，筑牢自然生态安全根基。 </w:t>
      </w:r>
    </w:p>
    <w:p w14:paraId="6546B12B">
      <w:pPr>
        <w:pStyle w:val="4"/>
        <w:spacing w:line="520" w:lineRule="exact"/>
        <w:rPr>
          <w:rFonts w:hint="eastAsia" w:ascii="仿宋" w:hAnsi="仿宋" w:eastAsia="仿宋" w:cs="仿宋"/>
        </w:rPr>
      </w:pPr>
      <w:bookmarkStart w:id="177" w:name="_Toc8956"/>
      <w:bookmarkStart w:id="178" w:name="_Toc3736"/>
      <w:r>
        <w:rPr>
          <w:rFonts w:hint="eastAsia" w:ascii="仿宋" w:hAnsi="仿宋" w:eastAsia="仿宋" w:cs="仿宋"/>
        </w:rPr>
        <w:t>5.2 实行分级管理</w:t>
      </w:r>
      <w:bookmarkEnd w:id="177"/>
      <w:bookmarkEnd w:id="178"/>
    </w:p>
    <w:p w14:paraId="6407A220">
      <w:pPr>
        <w:pStyle w:val="5"/>
        <w:spacing w:line="520" w:lineRule="exact"/>
        <w:rPr>
          <w:rFonts w:hint="eastAsia" w:ascii="仿宋" w:hAnsi="仿宋" w:eastAsia="仿宋" w:cs="仿宋"/>
        </w:rPr>
      </w:pPr>
      <w:bookmarkStart w:id="179" w:name="_Toc2807"/>
      <w:bookmarkStart w:id="180" w:name="_Toc17115"/>
      <w:bookmarkStart w:id="181" w:name="_Toc88494691"/>
      <w:bookmarkStart w:id="182" w:name="_Toc29625"/>
      <w:bookmarkStart w:id="183" w:name="_Toc24653"/>
      <w:r>
        <w:rPr>
          <w:rFonts w:hint="eastAsia" w:ascii="仿宋" w:hAnsi="仿宋" w:eastAsia="仿宋" w:cs="仿宋"/>
        </w:rPr>
        <w:t>5.2.1 分级标准</w:t>
      </w:r>
      <w:bookmarkEnd w:id="179"/>
      <w:bookmarkEnd w:id="180"/>
      <w:bookmarkEnd w:id="181"/>
      <w:bookmarkEnd w:id="182"/>
      <w:bookmarkEnd w:id="183"/>
    </w:p>
    <w:p w14:paraId="13E387DC">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按照全面保护与突出重点相结合的原则，在符合生态保护红线、自然保护地管理要求的前提下，对林地进行系统评价，确定保护等级，根据林地保护等级，制定相应的保护措施，对全市所有林地实施分级管理。我市林地保护等级共划分为I、Ⅱ、Ⅲ、Ⅳ级 4 个等级。</w:t>
      </w:r>
    </w:p>
    <w:p w14:paraId="1ADFBB6C">
      <w:pPr>
        <w:pStyle w:val="5"/>
        <w:spacing w:line="520" w:lineRule="exact"/>
        <w:rPr>
          <w:rFonts w:hint="eastAsia" w:ascii="仿宋" w:hAnsi="仿宋" w:eastAsia="仿宋" w:cs="仿宋"/>
        </w:rPr>
      </w:pPr>
      <w:bookmarkStart w:id="184" w:name="_Toc22021"/>
      <w:bookmarkStart w:id="185" w:name="_Toc19178"/>
      <w:bookmarkStart w:id="186" w:name="_Toc88494692"/>
      <w:bookmarkStart w:id="187" w:name="_Toc31576"/>
      <w:bookmarkStart w:id="188" w:name="_Toc1844"/>
      <w:r>
        <w:rPr>
          <w:rFonts w:hint="eastAsia" w:ascii="仿宋" w:hAnsi="仿宋" w:eastAsia="仿宋" w:cs="仿宋"/>
        </w:rPr>
        <w:t>5.2.2 林地保护规模</w:t>
      </w:r>
      <w:bookmarkEnd w:id="184"/>
      <w:bookmarkEnd w:id="185"/>
      <w:bookmarkEnd w:id="186"/>
      <w:bookmarkEnd w:id="187"/>
      <w:bookmarkEnd w:id="188"/>
    </w:p>
    <w:p w14:paraId="1425D011">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三亚市2021-2035年期间，规划林地保护利用规划总面积为97401.25公顷，占全市国土总面积的50.70%，其中I级保护林地1726.1366公顷，Ⅱ级保护林地73877.7640公顷，Ⅲ级保护林地5522.9892公顷，Ⅳ级保护林地16274.3602公顷。</w:t>
      </w:r>
    </w:p>
    <w:p w14:paraId="09ABC7A3">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rPr>
        <w:t>规划在本次规划林地划定的基础上，</w:t>
      </w:r>
      <w:r>
        <w:rPr>
          <w:rFonts w:hint="eastAsia" w:ascii="仿宋" w:hAnsi="仿宋" w:cs="仿宋"/>
          <w:sz w:val="32"/>
          <w:szCs w:val="32"/>
          <w:lang w:val="zh-CN"/>
        </w:rPr>
        <w:t>保持现有I级保护林地面积不减少；适度增加Ⅱ级保护林地面积；合理利用Ⅲ级、Ⅳ级保护林地。</w:t>
      </w:r>
    </w:p>
    <w:p w14:paraId="1E16792E">
      <w:pPr>
        <w:pStyle w:val="5"/>
        <w:spacing w:before="200" w:after="200" w:line="520" w:lineRule="exact"/>
        <w:rPr>
          <w:rFonts w:hint="eastAsia" w:ascii="仿宋" w:hAnsi="仿宋" w:eastAsia="仿宋" w:cs="仿宋"/>
        </w:rPr>
      </w:pPr>
      <w:bookmarkStart w:id="189" w:name="_Toc32412"/>
      <w:bookmarkStart w:id="190" w:name="_Toc88494693"/>
      <w:bookmarkStart w:id="191" w:name="_Toc22433"/>
      <w:bookmarkStart w:id="192" w:name="_Toc20340"/>
      <w:bookmarkStart w:id="193" w:name="_Toc7722"/>
      <w:r>
        <w:rPr>
          <w:rFonts w:hint="eastAsia" w:ascii="仿宋" w:hAnsi="仿宋" w:eastAsia="仿宋" w:cs="仿宋"/>
        </w:rPr>
        <w:t>5.2.3 保护措施</w:t>
      </w:r>
      <w:bookmarkEnd w:id="189"/>
      <w:bookmarkEnd w:id="190"/>
      <w:bookmarkEnd w:id="191"/>
      <w:bookmarkEnd w:id="192"/>
      <w:bookmarkEnd w:id="193"/>
    </w:p>
    <w:p w14:paraId="5F339FB1">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rPr>
        <w:t>根据《建设项目使用林地审核审批管理办法》（国家林业局令第42号）</w:t>
      </w:r>
      <w:r>
        <w:rPr>
          <w:rFonts w:hint="eastAsia" w:ascii="仿宋" w:hAnsi="仿宋" w:cs="仿宋"/>
          <w:sz w:val="32"/>
          <w:szCs w:val="32"/>
          <w:lang w:val="zh-CN"/>
        </w:rPr>
        <w:t>第四条　占用和临时占用林地的建设项目应当遵守林地分级管理的规定：</w:t>
      </w:r>
    </w:p>
    <w:p w14:paraId="5A823C2A">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（一）各类建设项目不得使用Ⅰ级保护林地。</w:t>
      </w:r>
    </w:p>
    <w:p w14:paraId="514B028E">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（二）国务院批准、同意的建设项目，国务院有关部门和省级人民政府及其有关部门批准的基础设施、公共事业、民生建设项目，可以使用Ⅱ级及其以下保护林地。</w:t>
      </w:r>
    </w:p>
    <w:p w14:paraId="45ADDF9F">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（三）国防、外交建设项目，可以使用Ⅱ级及其以下保护林地。</w:t>
      </w:r>
    </w:p>
    <w:p w14:paraId="3A68AF07">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（四）县（市、区）和设区的市、自治州人民政府及其有关部门批准的基础设施、公共事业、民生建设项目，可以使用Ⅱ级及其以下保护林地。</w:t>
      </w:r>
    </w:p>
    <w:p w14:paraId="5D0F7855">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五）战略性新兴产业项目、勘查项目、大中型矿山、符合相关旅游规划的生态旅游开发项目，可以使用Ⅱ级及其以下保护林地。其他工矿、仓储建设项目和符合规划的经营性项目，可以使用Ⅲ级及其以下保护林地。</w:t>
      </w:r>
    </w:p>
    <w:p w14:paraId="35883816">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（六）符合城镇规划的建设项目和符合乡村规划的建设项目，可以使用Ⅱ级及其以下保护林地。</w:t>
      </w:r>
    </w:p>
    <w:p w14:paraId="45DC6A5A">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（七）符合自然保护区、森林公园、湿地公园、风景名胜区等规划的建设项目，可以使用自然保护区、森林公园、湿地公园、风景名胜区范围内Ⅱ级及其以下保护林地。</w:t>
      </w:r>
    </w:p>
    <w:p w14:paraId="33E8C7AD">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八）公路、铁路、通讯、电力、油气管线等线性工程和水利水电、航道工程等建设项目配套的采石（沙）场、取土场使用林地按照主体建设项目使用林地范围执行，但不得使用Ⅱ级保护林地中的有林地。其中，在国务院确定的国家所有的重点林区（以下简称重点国有林区）内，不得使用Ⅲ级以上保护林地中的有林地。</w:t>
      </w:r>
    </w:p>
    <w:p w14:paraId="04410E8B">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（九）上述建设项目以外的其他建设项目可以使用Ⅳ级保护林地。</w:t>
      </w:r>
    </w:p>
    <w:p w14:paraId="4ED7A40A">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本条第一款第（二）、（三）、（七）项以外的建设项目使用林地，不得使用一级国家级公益林地。</w:t>
      </w:r>
    </w:p>
    <w:p w14:paraId="41BD00A7">
      <w:pPr>
        <w:pStyle w:val="4"/>
        <w:spacing w:line="520" w:lineRule="exact"/>
        <w:rPr>
          <w:rFonts w:hint="eastAsia" w:ascii="仿宋" w:hAnsi="仿宋" w:eastAsia="仿宋" w:cs="仿宋"/>
        </w:rPr>
      </w:pPr>
      <w:bookmarkStart w:id="194" w:name="_Toc11396"/>
      <w:bookmarkStart w:id="195" w:name="_Toc20801"/>
      <w:r>
        <w:rPr>
          <w:rFonts w:hint="eastAsia" w:ascii="仿宋" w:hAnsi="仿宋" w:eastAsia="仿宋" w:cs="仿宋"/>
        </w:rPr>
        <w:t>5.3 严格控制林地总量</w:t>
      </w:r>
      <w:bookmarkEnd w:id="194"/>
      <w:bookmarkEnd w:id="195"/>
    </w:p>
    <w:p w14:paraId="0ACEEB86">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 xml:space="preserve">林地是森林资源保护发展的根基，《森林法》第三十六条明确规定国家保护林地严格控制林地转为非林地，实行使用林地总量控制，确保林地保有量不减少。各类建设项目使用林地不得超过本行政区域的使用林地总量控制指标。保护林地，尽可能不占或者少占林地，林地必须用于林业发展和生态建设，不得擅自改变用途。 </w:t>
      </w:r>
    </w:p>
    <w:p w14:paraId="3F2E39E3">
      <w:pPr>
        <w:pStyle w:val="5"/>
        <w:spacing w:before="200" w:after="200" w:line="520" w:lineRule="exact"/>
        <w:rPr>
          <w:rFonts w:hint="eastAsia" w:ascii="仿宋" w:hAnsi="仿宋" w:eastAsia="仿宋" w:cs="仿宋"/>
        </w:rPr>
      </w:pPr>
      <w:bookmarkStart w:id="196" w:name="_Toc12103"/>
      <w:bookmarkStart w:id="197" w:name="_Toc28399"/>
      <w:bookmarkStart w:id="198" w:name="_Toc25844"/>
      <w:bookmarkStart w:id="199" w:name="_Toc5188"/>
      <w:bookmarkStart w:id="200" w:name="_Toc88494695"/>
      <w:r>
        <w:rPr>
          <w:rFonts w:hint="eastAsia" w:ascii="仿宋" w:hAnsi="仿宋" w:eastAsia="仿宋" w:cs="仿宋"/>
        </w:rPr>
        <w:t>5.3.1 严格执行林地总量控制制度</w:t>
      </w:r>
      <w:bookmarkEnd w:id="196"/>
      <w:bookmarkEnd w:id="197"/>
      <w:bookmarkEnd w:id="198"/>
      <w:bookmarkEnd w:id="199"/>
      <w:bookmarkEnd w:id="200"/>
    </w:p>
    <w:p w14:paraId="6B6F9ADF">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 xml:space="preserve">必须高度重视生态建设和保护工作，正确处理保护生态和发展经济的关系。不能违法将林地转为建设用地，坚决制止毁林开垦、乱采滥挖等违法违规行为，实行森林资源保护发展目标责任制，将林地保有量作为一项约束性指标进行考核，确保每年林地转为非林地面积控制在规定的指标内。 </w:t>
      </w:r>
    </w:p>
    <w:p w14:paraId="33953BF2">
      <w:pPr>
        <w:pStyle w:val="5"/>
        <w:spacing w:before="200" w:after="200" w:line="520" w:lineRule="exact"/>
        <w:rPr>
          <w:rFonts w:hint="eastAsia" w:ascii="仿宋" w:hAnsi="仿宋" w:eastAsia="仿宋" w:cs="仿宋"/>
        </w:rPr>
      </w:pPr>
      <w:bookmarkStart w:id="201" w:name="_Toc11633"/>
      <w:bookmarkStart w:id="202" w:name="_Toc20600"/>
      <w:bookmarkStart w:id="203" w:name="_Toc21547"/>
      <w:bookmarkStart w:id="204" w:name="_Toc88494696"/>
      <w:bookmarkStart w:id="205" w:name="_Toc31069"/>
      <w:r>
        <w:rPr>
          <w:rFonts w:hint="eastAsia" w:ascii="仿宋" w:hAnsi="仿宋" w:eastAsia="仿宋" w:cs="仿宋"/>
        </w:rPr>
        <w:t>5.3.2 积极补充林地</w:t>
      </w:r>
      <w:bookmarkEnd w:id="201"/>
      <w:bookmarkEnd w:id="202"/>
      <w:bookmarkEnd w:id="203"/>
      <w:bookmarkEnd w:id="204"/>
      <w:bookmarkEnd w:id="205"/>
    </w:p>
    <w:p w14:paraId="7F299225">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按照生态区位优先、生态功能优先、生态布局优先、立地条件优先的要求，合理界定补充林地范围。对于第三次国土调查成果为非林地，但依据森林资源管理“一张图”等成果属于国家级和省级公益林地、天然林地的林地，经调查核实后优先纳入补充林地。对于第三次国土调查成果中的其他土地等，经与国土空间规划衔接后作为补充林地，将</w:t>
      </w:r>
      <w:r>
        <w:rPr>
          <w:rFonts w:hint="eastAsia" w:ascii="仿宋" w:hAnsi="仿宋" w:cs="仿宋"/>
          <w:sz w:val="32"/>
          <w:szCs w:val="32"/>
        </w:rPr>
        <w:t>退果还林</w:t>
      </w:r>
      <w:r>
        <w:rPr>
          <w:rFonts w:hint="eastAsia" w:ascii="仿宋" w:hAnsi="仿宋" w:cs="仿宋"/>
          <w:sz w:val="32"/>
          <w:szCs w:val="32"/>
          <w:lang w:val="zh-CN"/>
        </w:rPr>
        <w:t>项目已验收面积纳入补充林地范围。</w:t>
      </w:r>
    </w:p>
    <w:p w14:paraId="78D89078">
      <w:pPr>
        <w:pStyle w:val="5"/>
        <w:spacing w:before="200" w:after="200" w:line="520" w:lineRule="exact"/>
        <w:rPr>
          <w:rFonts w:hint="eastAsia" w:ascii="仿宋" w:hAnsi="仿宋" w:eastAsia="仿宋" w:cs="仿宋"/>
        </w:rPr>
      </w:pPr>
      <w:bookmarkStart w:id="206" w:name="_Toc20653"/>
      <w:bookmarkStart w:id="207" w:name="_Toc9744"/>
      <w:bookmarkStart w:id="208" w:name="_Toc2656"/>
      <w:bookmarkStart w:id="209" w:name="_Toc9649"/>
      <w:bookmarkStart w:id="210" w:name="_Toc88494697"/>
      <w:r>
        <w:rPr>
          <w:rFonts w:hint="eastAsia" w:ascii="仿宋" w:hAnsi="仿宋" w:eastAsia="仿宋" w:cs="仿宋"/>
        </w:rPr>
        <w:t>5.3.3 提升补充林地质量</w:t>
      </w:r>
      <w:bookmarkEnd w:id="206"/>
      <w:bookmarkEnd w:id="207"/>
      <w:bookmarkEnd w:id="208"/>
      <w:bookmarkEnd w:id="209"/>
      <w:bookmarkEnd w:id="210"/>
    </w:p>
    <w:p w14:paraId="272B55B0">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按照应绿尽绿的原则，严格执行造林质量</w:t>
      </w:r>
      <w:r>
        <w:rPr>
          <w:rFonts w:hint="eastAsia" w:ascii="仿宋" w:hAnsi="仿宋" w:cs="仿宋"/>
          <w:sz w:val="32"/>
          <w:szCs w:val="32"/>
        </w:rPr>
        <w:t>要求</w:t>
      </w:r>
      <w:r>
        <w:rPr>
          <w:rFonts w:hint="eastAsia" w:ascii="仿宋" w:hAnsi="仿宋" w:cs="仿宋"/>
          <w:sz w:val="32"/>
          <w:szCs w:val="32"/>
          <w:lang w:val="zh-CN"/>
        </w:rPr>
        <w:t xml:space="preserve">，坚持因地制宜、适地适树，加大补充林地造林力度，合理配置造林树种，优化林业种植结构，切实加强新造林抚育管理，加快推进恢复森林植被，切实提升补充林地生产力。 </w:t>
      </w:r>
    </w:p>
    <w:p w14:paraId="448311C9">
      <w:pPr>
        <w:pStyle w:val="4"/>
        <w:spacing w:line="520" w:lineRule="exact"/>
        <w:rPr>
          <w:rFonts w:hint="eastAsia" w:ascii="仿宋" w:hAnsi="仿宋" w:eastAsia="仿宋" w:cs="仿宋"/>
        </w:rPr>
      </w:pPr>
      <w:bookmarkStart w:id="211" w:name="_Toc5708"/>
      <w:bookmarkStart w:id="212" w:name="_Toc6824"/>
      <w:r>
        <w:rPr>
          <w:rFonts w:hint="eastAsia" w:ascii="仿宋" w:hAnsi="仿宋" w:eastAsia="仿宋" w:cs="仿宋"/>
        </w:rPr>
        <w:t>5.4 加强自然保护地管理</w:t>
      </w:r>
      <w:bookmarkEnd w:id="211"/>
      <w:bookmarkEnd w:id="212"/>
    </w:p>
    <w:p w14:paraId="734E257B">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逐步建立以国家公园为主体、自然保护区为基础、各类自然公园为补充的自然保护地体系；开展自然保护地整合优化工作，科学划定核心保护区和一般控制区，</w:t>
      </w:r>
      <w:r>
        <w:rPr>
          <w:rFonts w:hint="eastAsia" w:ascii="仿宋" w:hAnsi="仿宋" w:cs="仿宋"/>
          <w:sz w:val="32"/>
          <w:szCs w:val="32"/>
        </w:rPr>
        <w:t>依托抱龙林场及周边森林资源，</w:t>
      </w:r>
      <w:r>
        <w:rPr>
          <w:rFonts w:hint="eastAsia" w:ascii="仿宋" w:hAnsi="仿宋" w:cs="仿宋"/>
          <w:sz w:val="32"/>
          <w:szCs w:val="32"/>
          <w:lang w:val="zh-CN"/>
        </w:rPr>
        <w:t>重点推进</w:t>
      </w:r>
      <w:r>
        <w:rPr>
          <w:rFonts w:hint="eastAsia" w:ascii="仿宋" w:hAnsi="仿宋" w:cs="仿宋"/>
          <w:sz w:val="32"/>
          <w:szCs w:val="32"/>
        </w:rPr>
        <w:t>大田国家级自然保护区（三亚片区）建设。有序开展三亚珊瑚礁国家级自然保护区、甘什岭</w:t>
      </w:r>
      <w:r>
        <w:rPr>
          <w:rFonts w:hint="eastAsia" w:ascii="仿宋" w:hAnsi="仿宋" w:cs="仿宋"/>
          <w:sz w:val="32"/>
          <w:szCs w:val="32"/>
          <w:lang w:val="zh-CN"/>
        </w:rPr>
        <w:t>省级自然保护区、</w:t>
      </w:r>
      <w:r>
        <w:rPr>
          <w:rFonts w:hint="eastAsia" w:ascii="仿宋" w:hAnsi="仿宋" w:cs="仿宋"/>
          <w:sz w:val="32"/>
          <w:szCs w:val="32"/>
        </w:rPr>
        <w:t>铁炉港</w:t>
      </w:r>
      <w:r>
        <w:rPr>
          <w:rFonts w:hint="eastAsia" w:ascii="仿宋" w:hAnsi="仿宋" w:cs="仿宋"/>
          <w:sz w:val="32"/>
          <w:szCs w:val="32"/>
          <w:lang w:val="zh-CN"/>
        </w:rPr>
        <w:t>省级自然保护区、</w:t>
      </w:r>
      <w:r>
        <w:rPr>
          <w:rFonts w:hint="eastAsia" w:ascii="仿宋" w:hAnsi="仿宋" w:cs="仿宋"/>
          <w:sz w:val="32"/>
          <w:szCs w:val="32"/>
        </w:rPr>
        <w:t>三亚河国家湿地公园、北山省级森林公园、抱龙省级森林公园、三亚热带海滨风景名胜区等</w:t>
      </w:r>
      <w:r>
        <w:rPr>
          <w:rFonts w:hint="eastAsia" w:ascii="仿宋" w:hAnsi="仿宋" w:cs="仿宋"/>
          <w:sz w:val="32"/>
          <w:szCs w:val="32"/>
          <w:lang w:val="zh-CN"/>
        </w:rPr>
        <w:t>自然保护地的</w:t>
      </w:r>
      <w:r>
        <w:rPr>
          <w:rFonts w:hint="eastAsia" w:ascii="仿宋" w:hAnsi="仿宋" w:cs="仿宋"/>
          <w:sz w:val="32"/>
          <w:szCs w:val="32"/>
        </w:rPr>
        <w:t>建设</w:t>
      </w:r>
      <w:r>
        <w:rPr>
          <w:rFonts w:hint="eastAsia" w:ascii="仿宋" w:hAnsi="仿宋" w:cs="仿宋"/>
          <w:sz w:val="32"/>
          <w:szCs w:val="32"/>
          <w:lang w:val="zh-CN"/>
        </w:rPr>
        <w:t>。</w:t>
      </w:r>
    </w:p>
    <w:p w14:paraId="1800DB3E">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不断完善自然保护地体制机制建设，加强自然保护地监督管理，构建自然保护地“天空地一体化”监测监管网络体系。严格实行分区管控规则，生态保护红线内的，自然保护地核心保护区原则上禁止人为活动；自然保护地一般控制区内限制人为活动；不得从事不符合主体功能区定位的各类开发活动，严格控制人为因素破坏自然生态和文化自然遗产原真性、完整性；禁止违反规定在自然保护地进行砍伐、放牧、猎捕、捕捞、采药、开垦、烧荒、开矿、采石、挖沙等活动；加强涉及自然保护地的建设项目准入审查，严格控制建设项目使用自然保护地林地，确因重大工程建设需要使用的，应当依法依规开展工程建设生态风险评估，并就可能造成的生态环境影响提出保护和恢复治理方案，经审批后方</w:t>
      </w:r>
      <w:r>
        <w:rPr>
          <w:rFonts w:hint="eastAsia" w:ascii="仿宋" w:hAnsi="仿宋" w:cs="仿宋"/>
          <w:sz w:val="32"/>
          <w:szCs w:val="32"/>
        </w:rPr>
        <w:t>可</w:t>
      </w:r>
      <w:r>
        <w:rPr>
          <w:rFonts w:hint="eastAsia" w:ascii="仿宋" w:hAnsi="仿宋" w:cs="仿宋"/>
          <w:sz w:val="32"/>
          <w:szCs w:val="32"/>
          <w:lang w:val="zh-CN"/>
        </w:rPr>
        <w:t xml:space="preserve">办理使用林地手续。 </w:t>
      </w:r>
    </w:p>
    <w:p w14:paraId="73E7A13A">
      <w:pPr>
        <w:pStyle w:val="4"/>
        <w:spacing w:line="520" w:lineRule="exact"/>
        <w:rPr>
          <w:rFonts w:hint="eastAsia" w:ascii="仿宋" w:hAnsi="仿宋" w:eastAsia="仿宋" w:cs="仿宋"/>
        </w:rPr>
      </w:pPr>
      <w:bookmarkStart w:id="213" w:name="_Toc30877"/>
      <w:bookmarkStart w:id="214" w:name="_Toc13310"/>
      <w:r>
        <w:rPr>
          <w:rFonts w:hint="eastAsia" w:ascii="仿宋" w:hAnsi="仿宋" w:eastAsia="仿宋" w:cs="仿宋"/>
        </w:rPr>
        <w:t>5.5 加强天然林地保护</w:t>
      </w:r>
      <w:bookmarkEnd w:id="213"/>
      <w:bookmarkEnd w:id="214"/>
    </w:p>
    <w:p w14:paraId="182127C2">
      <w:pPr>
        <w:pStyle w:val="5"/>
        <w:spacing w:before="200" w:after="200" w:line="520" w:lineRule="exact"/>
        <w:rPr>
          <w:rFonts w:hint="eastAsia" w:ascii="仿宋" w:hAnsi="仿宋" w:eastAsia="仿宋" w:cs="仿宋"/>
        </w:rPr>
      </w:pPr>
      <w:bookmarkStart w:id="215" w:name="_Toc21097"/>
      <w:bookmarkStart w:id="216" w:name="_Toc15947"/>
      <w:bookmarkStart w:id="217" w:name="_Toc19833"/>
      <w:bookmarkStart w:id="218" w:name="_Toc13981"/>
      <w:bookmarkStart w:id="219" w:name="_Toc88494700"/>
      <w:r>
        <w:rPr>
          <w:rFonts w:hint="eastAsia" w:ascii="仿宋" w:hAnsi="仿宋" w:eastAsia="仿宋" w:cs="仿宋"/>
        </w:rPr>
        <w:t>5.5.1 优化保护区域</w:t>
      </w:r>
      <w:bookmarkEnd w:id="215"/>
      <w:bookmarkEnd w:id="216"/>
      <w:bookmarkEnd w:id="217"/>
      <w:bookmarkEnd w:id="218"/>
      <w:bookmarkEnd w:id="219"/>
    </w:p>
    <w:p w14:paraId="4AFEF05A">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依据国家天然林保护相关技术规定</w:t>
      </w:r>
      <w:r>
        <w:rPr>
          <w:rFonts w:hint="eastAsia" w:ascii="仿宋" w:hAnsi="仿宋" w:cs="仿宋"/>
          <w:sz w:val="32"/>
          <w:szCs w:val="32"/>
        </w:rPr>
        <w:t>和《三亚市天然林保护修复规划》</w:t>
      </w:r>
      <w:r>
        <w:rPr>
          <w:rFonts w:hint="eastAsia" w:ascii="仿宋" w:hAnsi="仿宋" w:cs="仿宋"/>
          <w:sz w:val="32"/>
          <w:szCs w:val="32"/>
          <w:lang w:val="zh-CN"/>
        </w:rPr>
        <w:t>，在符合生态保护红线、自然保护地管理要求的前提下，确定三亚市天然林保护重点区域包括自然保护区的核心保护区，以及具有特别保护价值的天然林区域。</w:t>
      </w:r>
    </w:p>
    <w:p w14:paraId="31579359">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对重点区域的天然林，除森林防火、有害生物防治和其他自然灾害防控等维护天然林生态系统的必要措施外，禁止其他一切生产经营活动，严格控制天然林地转为其他用途，除国防建设、国家重大工程项目建设特殊需要外，</w:t>
      </w:r>
      <w:r>
        <w:rPr>
          <w:rFonts w:hint="eastAsia" w:ascii="仿宋" w:hAnsi="仿宋" w:cs="仿宋"/>
          <w:sz w:val="32"/>
          <w:szCs w:val="32"/>
        </w:rPr>
        <w:t>严格控制</w:t>
      </w:r>
      <w:r>
        <w:rPr>
          <w:rFonts w:hint="eastAsia" w:ascii="仿宋" w:hAnsi="仿宋" w:cs="仿宋"/>
          <w:sz w:val="32"/>
          <w:szCs w:val="32"/>
          <w:lang w:val="zh-CN"/>
        </w:rPr>
        <w:t xml:space="preserve">占用重点区域的天然林地。保护重点区域以外的区域即为保护基础区域，严格控制天然林地转为其他用途，禁止毁林开垦等破坏天然林及其生态环境的行为。在不改变天然林地用途、保护地表植被和有利于生物多样性保护的前提下，在适宜发展林下经济的天然林内，适度开展林下种植、养殖、生态旅游、休闲康养等经营活动。 </w:t>
      </w:r>
    </w:p>
    <w:p w14:paraId="07BC9155">
      <w:pPr>
        <w:pStyle w:val="5"/>
        <w:spacing w:before="200" w:after="200" w:line="520" w:lineRule="exact"/>
        <w:rPr>
          <w:rFonts w:hint="eastAsia" w:ascii="仿宋" w:hAnsi="仿宋" w:eastAsia="仿宋" w:cs="仿宋"/>
        </w:rPr>
      </w:pPr>
      <w:bookmarkStart w:id="220" w:name="_Toc23670"/>
      <w:bookmarkStart w:id="221" w:name="_Toc24677"/>
      <w:bookmarkStart w:id="222" w:name="_Toc14048"/>
      <w:bookmarkStart w:id="223" w:name="_Toc10292"/>
      <w:bookmarkStart w:id="224" w:name="_Toc88494701"/>
      <w:r>
        <w:rPr>
          <w:rFonts w:hint="eastAsia" w:ascii="仿宋" w:hAnsi="仿宋" w:eastAsia="仿宋" w:cs="仿宋"/>
        </w:rPr>
        <w:t>5.5.2 严格保护利用</w:t>
      </w:r>
      <w:bookmarkEnd w:id="220"/>
      <w:bookmarkEnd w:id="221"/>
      <w:bookmarkEnd w:id="222"/>
      <w:bookmarkEnd w:id="223"/>
      <w:bookmarkEnd w:id="224"/>
    </w:p>
    <w:p w14:paraId="68200EBE">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立三亚市天然林休养生息制度，全面禁止天然林商业性采伐。规范和加强天然林非商业性采伐管理，严格执行凭证采伐、限额采伐制度。严格控制天然林树木采挖移植，依法禁止采挖原生地天然濒危、珍稀树木，国家一级保护野生植物，古树名木等行为。严格控制低产低效天然林改造，禁止毁林开垦、毁林造林以及其他破坏天然林及其生态环境的行为。</w:t>
      </w:r>
    </w:p>
    <w:p w14:paraId="30E276F3">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在天然林保护范围内以造林方式进行生态修复的，应当保留原生植被。要以提升天然林生态功能为目的，严格确定改造对象，从严控制规模和范围，科学设计改造方式和强度，严格执行相关技术规程和政策要求。持续加强天然林地的有效管护，确保天然林面积长期基本稳定、质量持续提高、功能逐步提升，碳汇功能增强，为保障国土生态安全，建设美丽三亚提供生态支撑和物质基础。</w:t>
      </w:r>
    </w:p>
    <w:p w14:paraId="7AFA1FA4">
      <w:pPr>
        <w:pStyle w:val="5"/>
        <w:spacing w:before="200" w:after="200" w:line="520" w:lineRule="exact"/>
        <w:rPr>
          <w:rFonts w:hint="eastAsia" w:ascii="仿宋" w:hAnsi="仿宋" w:eastAsia="仿宋" w:cs="仿宋"/>
        </w:rPr>
      </w:pPr>
      <w:bookmarkStart w:id="225" w:name="_Toc353"/>
      <w:bookmarkStart w:id="226" w:name="_Toc29381"/>
      <w:bookmarkStart w:id="227" w:name="_Toc14689"/>
      <w:bookmarkStart w:id="228" w:name="_Toc88494702"/>
      <w:bookmarkStart w:id="229" w:name="_Toc16104"/>
      <w:r>
        <w:rPr>
          <w:rFonts w:hint="eastAsia" w:ascii="仿宋" w:hAnsi="仿宋" w:eastAsia="仿宋" w:cs="仿宋"/>
        </w:rPr>
        <w:t>5.5.3 加强保护修复</w:t>
      </w:r>
      <w:bookmarkEnd w:id="225"/>
      <w:bookmarkEnd w:id="226"/>
      <w:bookmarkEnd w:id="227"/>
      <w:bookmarkEnd w:id="228"/>
      <w:bookmarkEnd w:id="229"/>
    </w:p>
    <w:p w14:paraId="689CCED6">
      <w:pPr>
        <w:spacing w:line="520" w:lineRule="exact"/>
        <w:ind w:firstLine="646" w:firstLineChars="202"/>
        <w:rPr>
          <w:rFonts w:hint="eastAsia" w:ascii="仿宋" w:hAnsi="仿宋" w:cs="仿宋"/>
          <w:sz w:val="32"/>
          <w:szCs w:val="32"/>
        </w:rPr>
      </w:pPr>
      <w:r>
        <w:rPr>
          <w:rFonts w:hint="eastAsia" w:ascii="仿宋" w:hAnsi="仿宋" w:cs="仿宋"/>
          <w:sz w:val="32"/>
          <w:szCs w:val="32"/>
          <w:lang w:val="zh-CN"/>
        </w:rPr>
        <w:t>坚持因地制宜，以自然修复为主，充分借助大自然的力量，恢复林草植被；人工促进自然修复为辅，采取森林抚育、封山育林、后备资源培育等措施，人工促进自然恢复。对集中连片的天然林保护重点区域采取封禁管护措施；对于稀疏退化的天然林，采取人工促进、天然更新等措施，加快森林正向演替，逐步恢复天然次生林、退化次生林等生态系统功能，最终达到自我持续状态；强化天然中幼林抚育，通过封禁或人工管护措施，加快天然针叶纯林改造，优化森林结构和树种组成，促进形成地带性顶级群落；加强生态廊道建设；</w:t>
      </w:r>
      <w:r>
        <w:rPr>
          <w:rFonts w:hint="eastAsia" w:ascii="仿宋" w:hAnsi="仿宋" w:cs="仿宋"/>
          <w:sz w:val="32"/>
          <w:szCs w:val="32"/>
        </w:rPr>
        <w:t>严格落实好《三亚市山体保护修复专项规划》。</w:t>
      </w:r>
      <w:r>
        <w:rPr>
          <w:rFonts w:hint="eastAsia" w:ascii="仿宋" w:hAnsi="仿宋" w:cs="仿宋"/>
          <w:sz w:val="32"/>
          <w:szCs w:val="32"/>
          <w:lang w:val="zh-CN"/>
        </w:rPr>
        <w:t>鼓励在废弃矿山、荒山荒地上逐步恢复天然植被。</w:t>
      </w:r>
    </w:p>
    <w:p w14:paraId="62B7D61C">
      <w:pPr>
        <w:pStyle w:val="4"/>
        <w:spacing w:line="520" w:lineRule="exact"/>
        <w:rPr>
          <w:rFonts w:hint="eastAsia" w:ascii="仿宋" w:hAnsi="仿宋" w:eastAsia="仿宋" w:cs="仿宋"/>
        </w:rPr>
      </w:pPr>
      <w:bookmarkStart w:id="230" w:name="_Toc28874"/>
      <w:bookmarkStart w:id="231" w:name="_Toc6640"/>
      <w:r>
        <w:rPr>
          <w:rFonts w:hint="eastAsia" w:ascii="仿宋" w:hAnsi="仿宋" w:eastAsia="仿宋" w:cs="仿宋"/>
        </w:rPr>
        <w:t>5.6 实施公益林优化保护</w:t>
      </w:r>
      <w:bookmarkEnd w:id="230"/>
      <w:bookmarkEnd w:id="231"/>
    </w:p>
    <w:p w14:paraId="419DDF5E">
      <w:pPr>
        <w:pStyle w:val="5"/>
        <w:spacing w:before="200" w:after="200" w:line="520" w:lineRule="exact"/>
        <w:rPr>
          <w:rFonts w:hint="eastAsia" w:ascii="仿宋" w:hAnsi="仿宋" w:eastAsia="仿宋" w:cs="仿宋"/>
        </w:rPr>
      </w:pPr>
      <w:bookmarkStart w:id="232" w:name="_Toc88494704"/>
      <w:bookmarkStart w:id="233" w:name="_Toc25984"/>
      <w:bookmarkStart w:id="234" w:name="_Toc16454"/>
      <w:bookmarkStart w:id="235" w:name="_Toc8858"/>
      <w:bookmarkStart w:id="236" w:name="_Toc6700"/>
      <w:r>
        <w:rPr>
          <w:rFonts w:hint="eastAsia" w:ascii="仿宋" w:hAnsi="仿宋" w:eastAsia="仿宋" w:cs="仿宋"/>
        </w:rPr>
        <w:t>5.6.1 维持面积稳定</w:t>
      </w:r>
      <w:bookmarkEnd w:id="232"/>
      <w:bookmarkEnd w:id="233"/>
      <w:bookmarkEnd w:id="234"/>
      <w:bookmarkEnd w:id="235"/>
      <w:bookmarkEnd w:id="236"/>
    </w:p>
    <w:p w14:paraId="608EE1E7">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 xml:space="preserve">严禁擅自改变公益林地的性质，不得随意调整公益林的面积、范围或降低保护等级。同时，建立公益林动态管理机制，坚持“大稳定、小调整”的方针，优化公益林整体布局，对确需进行调整的公益林，在不影响整体生态功能、保持生态公益林相对稳定的前提下可进行适当调整，需依法逐级上报相应的审批机构审批。 </w:t>
      </w:r>
    </w:p>
    <w:p w14:paraId="647D4311">
      <w:pPr>
        <w:pStyle w:val="5"/>
        <w:spacing w:before="200" w:after="200" w:line="520" w:lineRule="exact"/>
        <w:rPr>
          <w:rFonts w:hint="eastAsia" w:ascii="仿宋" w:hAnsi="仿宋" w:eastAsia="仿宋" w:cs="仿宋"/>
        </w:rPr>
      </w:pPr>
      <w:bookmarkStart w:id="237" w:name="_Toc22830"/>
      <w:bookmarkStart w:id="238" w:name="_Toc28244"/>
      <w:bookmarkStart w:id="239" w:name="_Toc88494705"/>
      <w:bookmarkStart w:id="240" w:name="_Toc22878"/>
      <w:bookmarkStart w:id="241" w:name="_Toc4994"/>
      <w:r>
        <w:rPr>
          <w:rFonts w:hint="eastAsia" w:ascii="仿宋" w:hAnsi="仿宋" w:eastAsia="仿宋" w:cs="仿宋"/>
        </w:rPr>
        <w:t>5.6.2 实行分级保护</w:t>
      </w:r>
      <w:bookmarkEnd w:id="237"/>
      <w:bookmarkEnd w:id="238"/>
      <w:bookmarkEnd w:id="239"/>
      <w:bookmarkEnd w:id="240"/>
      <w:bookmarkEnd w:id="241"/>
    </w:p>
    <w:p w14:paraId="3482CF73">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在符合生态保护红线、自然保护地管理要求的前提下，对</w:t>
      </w:r>
      <w:r>
        <w:rPr>
          <w:rFonts w:hint="eastAsia" w:ascii="仿宋" w:hAnsi="仿宋" w:cs="仿宋"/>
          <w:sz w:val="32"/>
          <w:szCs w:val="32"/>
        </w:rPr>
        <w:t>国家</w:t>
      </w:r>
      <w:r>
        <w:rPr>
          <w:rFonts w:hint="eastAsia" w:ascii="仿宋" w:hAnsi="仿宋" w:cs="仿宋"/>
          <w:sz w:val="32"/>
          <w:szCs w:val="32"/>
          <w:lang w:val="zh-CN"/>
        </w:rPr>
        <w:t>公益林实行分级保护，共分为三个等级。</w:t>
      </w:r>
    </w:p>
    <w:p w14:paraId="195D3450">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w:t>
      </w:r>
      <w:r>
        <w:rPr>
          <w:rFonts w:hint="eastAsia" w:ascii="仿宋" w:hAnsi="仿宋" w:cs="仿宋"/>
          <w:sz w:val="32"/>
          <w:szCs w:val="32"/>
        </w:rPr>
        <w:t>1</w:t>
      </w:r>
      <w:r>
        <w:rPr>
          <w:rFonts w:hint="eastAsia" w:ascii="仿宋" w:hAnsi="仿宋" w:cs="仿宋"/>
          <w:sz w:val="32"/>
          <w:szCs w:val="32"/>
          <w:lang w:val="zh-CN"/>
        </w:rPr>
        <w:t>）对一级国家级公益林，禁止在国家级公益林地开垦、采石、采沙、取土，严格控制勘查、开采矿藏和工程建设征收、征用、占用国家级公益林地。除国务院有关部门和省级人民政府批准的基础设施建设项目外，不得征收、征用、占用一级国家级公益林地；</w:t>
      </w:r>
    </w:p>
    <w:p w14:paraId="27ACAA1F">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一级国家级公益林原则上不得开展生产经营活动，严禁林木采伐行为。因教学科研等确需采伐林木，或者发生较为严重森林火灾和病虫害等特殊情况确需对受害林木进行清理，以及人工林、母树林、种子园经营等，县级以上人民政府林业主管部门依法审批前，应当组织森林经理学、生态学等领域林业专家进行评审。</w:t>
      </w:r>
    </w:p>
    <w:p w14:paraId="26071E90">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w:t>
      </w:r>
      <w:r>
        <w:rPr>
          <w:rFonts w:hint="eastAsia" w:ascii="仿宋" w:hAnsi="仿宋" w:cs="仿宋"/>
          <w:sz w:val="32"/>
          <w:szCs w:val="32"/>
        </w:rPr>
        <w:t>2</w:t>
      </w:r>
      <w:r>
        <w:rPr>
          <w:rFonts w:hint="eastAsia" w:ascii="仿宋" w:hAnsi="仿宋" w:cs="仿宋"/>
          <w:sz w:val="32"/>
          <w:szCs w:val="32"/>
          <w:lang w:val="zh-CN"/>
        </w:rPr>
        <w:t>）在不破坏森林生态系统功能的前提下，可以合理利用二级国家级公益林的林地资源，适度开展林下种植养殖和森林游憩等非木质资源开发与利用，科学发展林下经济。</w:t>
      </w:r>
    </w:p>
    <w:p w14:paraId="7A2C2FBC">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 xml:space="preserve">二级国家级公益林可以进行抚育和更新性质的采伐。其抚育和更新性质的采伐应当执行《生态公益林建设技术规程》（GB/T 18337.3-2001）、《森林采伐作业规程》（LY/T 1646-2005）、《低效林改造技术规程》（LY/T 1690-2007）和《森林抚育规程》（GB/T 15781-2009）相关标准，采取有利于生物多样性保护，有利于形成异龄、复层、混交森林群落的作业方式。 </w:t>
      </w:r>
    </w:p>
    <w:p w14:paraId="0C302CB2">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w:t>
      </w:r>
      <w:r>
        <w:rPr>
          <w:rFonts w:hint="eastAsia" w:ascii="仿宋" w:hAnsi="仿宋" w:cs="仿宋"/>
          <w:sz w:val="32"/>
          <w:szCs w:val="32"/>
        </w:rPr>
        <w:t>3</w:t>
      </w:r>
      <w:r>
        <w:rPr>
          <w:rFonts w:hint="eastAsia" w:ascii="仿宋" w:hAnsi="仿宋" w:cs="仿宋"/>
          <w:sz w:val="32"/>
          <w:szCs w:val="32"/>
          <w:lang w:val="zh-CN"/>
        </w:rPr>
        <w:t xml:space="preserve">）对三级国家级公益林应当以增加森林植被、提高森林质量为目标，加强森林资源培育，科学经营、合理利用。 </w:t>
      </w:r>
    </w:p>
    <w:p w14:paraId="2F2F63A2">
      <w:pPr>
        <w:pStyle w:val="5"/>
        <w:spacing w:before="200" w:after="200" w:line="520" w:lineRule="exact"/>
        <w:rPr>
          <w:rFonts w:hint="eastAsia" w:ascii="仿宋" w:hAnsi="仿宋" w:eastAsia="仿宋" w:cs="仿宋"/>
        </w:rPr>
      </w:pPr>
      <w:bookmarkStart w:id="242" w:name="_Toc88494706"/>
      <w:bookmarkStart w:id="243" w:name="_Toc8455"/>
      <w:bookmarkStart w:id="244" w:name="_Toc17591"/>
      <w:bookmarkStart w:id="245" w:name="_Toc14234"/>
      <w:bookmarkStart w:id="246" w:name="_Toc16776"/>
      <w:r>
        <w:rPr>
          <w:rFonts w:hint="eastAsia" w:ascii="仿宋" w:hAnsi="仿宋" w:eastAsia="仿宋" w:cs="仿宋"/>
        </w:rPr>
        <w:t>5.6.3 落实管理责任</w:t>
      </w:r>
      <w:bookmarkEnd w:id="242"/>
      <w:bookmarkEnd w:id="243"/>
      <w:bookmarkEnd w:id="244"/>
      <w:bookmarkEnd w:id="245"/>
      <w:bookmarkEnd w:id="246"/>
    </w:p>
    <w:p w14:paraId="480E15D1">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完善公益林保护管护体系建设，全面建立由</w:t>
      </w:r>
      <w:r>
        <w:rPr>
          <w:rFonts w:hint="eastAsia" w:ascii="仿宋" w:hAnsi="仿宋" w:cs="仿宋"/>
          <w:sz w:val="32"/>
          <w:szCs w:val="32"/>
        </w:rPr>
        <w:t>区</w:t>
      </w:r>
      <w:r>
        <w:rPr>
          <w:rFonts w:hint="eastAsia" w:ascii="仿宋" w:hAnsi="仿宋" w:cs="仿宋"/>
          <w:sz w:val="32"/>
          <w:szCs w:val="32"/>
          <w:lang w:val="zh-CN"/>
        </w:rPr>
        <w:t>（林场）、</w:t>
      </w:r>
      <w:r>
        <w:rPr>
          <w:rFonts w:hint="eastAsia" w:ascii="仿宋" w:hAnsi="仿宋" w:cs="仿宋"/>
          <w:sz w:val="32"/>
          <w:szCs w:val="32"/>
        </w:rPr>
        <w:t>村（工区）、</w:t>
      </w:r>
      <w:r>
        <w:rPr>
          <w:rFonts w:hint="eastAsia" w:ascii="仿宋" w:hAnsi="仿宋" w:cs="仿宋"/>
          <w:sz w:val="32"/>
          <w:szCs w:val="32"/>
          <w:lang w:val="zh-CN"/>
        </w:rPr>
        <w:t>管护站点、各级林长、工作人员和护林员组成的森林管护体系，实行公益林管护网格化管理，实现公益林管理的分级、分块、定责、定人管理。明确公益林管护责任单位，</w:t>
      </w:r>
      <w:r>
        <w:rPr>
          <w:rFonts w:hint="eastAsia" w:ascii="仿宋" w:hAnsi="仿宋" w:cs="仿宋"/>
          <w:sz w:val="32"/>
          <w:szCs w:val="32"/>
        </w:rPr>
        <w:t>各区农林局</w:t>
      </w:r>
      <w:r>
        <w:rPr>
          <w:rFonts w:hint="eastAsia" w:ascii="仿宋" w:hAnsi="仿宋" w:cs="仿宋"/>
          <w:sz w:val="32"/>
          <w:szCs w:val="32"/>
          <w:lang w:val="zh-CN"/>
        </w:rPr>
        <w:t>主管本行政区域内公益林管理工作，国有生态公益林的管护责任单位为国有森林经营单位，集体生态公益林的管护责任单位为</w:t>
      </w:r>
      <w:r>
        <w:rPr>
          <w:rFonts w:hint="eastAsia" w:ascii="仿宋" w:hAnsi="仿宋" w:cs="仿宋"/>
          <w:sz w:val="32"/>
          <w:szCs w:val="32"/>
        </w:rPr>
        <w:t>村（居）委会</w:t>
      </w:r>
      <w:r>
        <w:rPr>
          <w:rFonts w:hint="eastAsia" w:ascii="仿宋" w:hAnsi="仿宋" w:cs="仿宋"/>
          <w:sz w:val="32"/>
          <w:szCs w:val="32"/>
          <w:lang w:val="zh-CN"/>
        </w:rPr>
        <w:t>。公益林管护责任单位应当履行《森林法》规定的相关职责以及</w:t>
      </w:r>
      <w:r>
        <w:rPr>
          <w:rFonts w:hint="eastAsia" w:ascii="仿宋" w:hAnsi="仿宋" w:cs="仿宋"/>
          <w:sz w:val="32"/>
          <w:szCs w:val="32"/>
        </w:rPr>
        <w:t>各区农林局</w:t>
      </w:r>
      <w:r>
        <w:rPr>
          <w:rFonts w:hint="eastAsia" w:ascii="仿宋" w:hAnsi="仿宋" w:cs="仿宋"/>
          <w:sz w:val="32"/>
          <w:szCs w:val="32"/>
          <w:lang w:val="zh-CN"/>
        </w:rPr>
        <w:t>规定的其它职责，做好生态公益林管护工作。</w:t>
      </w:r>
    </w:p>
    <w:p w14:paraId="5F67D634">
      <w:pPr>
        <w:pStyle w:val="5"/>
        <w:spacing w:line="520" w:lineRule="exact"/>
        <w:rPr>
          <w:rFonts w:hint="eastAsia" w:ascii="仿宋" w:hAnsi="仿宋" w:eastAsia="仿宋" w:cs="仿宋"/>
        </w:rPr>
      </w:pPr>
      <w:bookmarkStart w:id="247" w:name="_Toc17013"/>
      <w:bookmarkStart w:id="248" w:name="_Toc8888"/>
      <w:bookmarkStart w:id="249" w:name="_Toc88494707"/>
      <w:bookmarkStart w:id="250" w:name="_Toc23157"/>
      <w:bookmarkStart w:id="251" w:name="_Toc10718"/>
      <w:r>
        <w:rPr>
          <w:rFonts w:hint="eastAsia" w:ascii="仿宋" w:hAnsi="仿宋" w:eastAsia="仿宋" w:cs="仿宋"/>
        </w:rPr>
        <w:t>5.6.4 健全补偿机制</w:t>
      </w:r>
      <w:bookmarkEnd w:id="247"/>
      <w:bookmarkEnd w:id="248"/>
      <w:bookmarkEnd w:id="249"/>
      <w:bookmarkEnd w:id="250"/>
      <w:bookmarkEnd w:id="251"/>
    </w:p>
    <w:p w14:paraId="2D917C95">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立健全公益林效益补偿标准动态调整机制，根据国民经济和社会发展情况逐步提高补偿标准，优先保障重要生态功能区，实行分区域差异化补偿，给予公益林特殊区域更高的补偿标准，让生态区位重要、森林质量好、管护成效好的生态公益林获得更多的补助，调动各</w:t>
      </w:r>
      <w:r>
        <w:rPr>
          <w:rFonts w:hint="eastAsia" w:ascii="仿宋" w:hAnsi="仿宋" w:cs="仿宋"/>
          <w:sz w:val="32"/>
          <w:szCs w:val="32"/>
        </w:rPr>
        <w:t>区</w:t>
      </w:r>
      <w:r>
        <w:rPr>
          <w:rFonts w:hint="eastAsia" w:ascii="仿宋" w:hAnsi="仿宋" w:cs="仿宋"/>
          <w:sz w:val="32"/>
          <w:szCs w:val="32"/>
          <w:lang w:val="zh-CN"/>
        </w:rPr>
        <w:t xml:space="preserve">对生态公益林管护的积极性，维护生态公益林效益补偿对象合法权益。 </w:t>
      </w:r>
    </w:p>
    <w:p w14:paraId="416524FD">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加强公益林效益补偿资金的监督和管理，及时、足额将</w:t>
      </w:r>
      <w:r>
        <w:rPr>
          <w:rFonts w:hint="eastAsia" w:ascii="仿宋" w:hAnsi="仿宋" w:cs="仿宋"/>
          <w:sz w:val="32"/>
          <w:szCs w:val="32"/>
        </w:rPr>
        <w:t>生态效益</w:t>
      </w:r>
      <w:r>
        <w:rPr>
          <w:rFonts w:hint="eastAsia" w:ascii="仿宋" w:hAnsi="仿宋" w:cs="仿宋"/>
          <w:sz w:val="32"/>
          <w:szCs w:val="32"/>
          <w:lang w:val="zh-CN"/>
        </w:rPr>
        <w:t>补偿资金拨付到位。规范补偿资金的管理和使用，保障公益林所有者和经营者的合法权益。建立常态化检查监督机制，对补偿资金的发放、使用及其流向进行监管，确保专款专用。</w:t>
      </w:r>
    </w:p>
    <w:p w14:paraId="6048D4FA">
      <w:pPr>
        <w:spacing w:line="520" w:lineRule="exact"/>
        <w:rPr>
          <w:rFonts w:hint="eastAsia" w:ascii="仿宋" w:hAnsi="仿宋" w:cs="仿宋"/>
          <w:sz w:val="32"/>
          <w:szCs w:val="32"/>
        </w:rPr>
      </w:pPr>
    </w:p>
    <w:p w14:paraId="651F5734">
      <w:pPr>
        <w:spacing w:line="520" w:lineRule="exact"/>
        <w:rPr>
          <w:rFonts w:hint="eastAsia" w:ascii="仿宋" w:hAnsi="仿宋" w:cs="仿宋"/>
          <w:sz w:val="32"/>
          <w:szCs w:val="32"/>
        </w:rPr>
        <w:sectPr>
          <w:pgSz w:w="11906" w:h="16838"/>
          <w:pgMar w:top="1417" w:right="1417" w:bottom="1417" w:left="1417" w:header="851" w:footer="992" w:gutter="0"/>
          <w:cols w:space="720" w:num="1"/>
          <w:docGrid w:type="lines" w:linePitch="312" w:charSpace="0"/>
        </w:sectPr>
      </w:pPr>
    </w:p>
    <w:p w14:paraId="7E6164AA">
      <w:pPr>
        <w:pStyle w:val="3"/>
        <w:spacing w:before="468" w:beforeLines="150" w:after="312" w:afterLines="100" w:line="520" w:lineRule="exact"/>
        <w:jc w:val="center"/>
        <w:rPr>
          <w:rFonts w:hint="eastAsia" w:ascii="黑体" w:hAnsi="黑体" w:eastAsia="黑体" w:cs="黑体"/>
          <w:bCs w:val="0"/>
          <w:sz w:val="32"/>
          <w:szCs w:val="32"/>
        </w:rPr>
      </w:pPr>
      <w:bookmarkStart w:id="252" w:name="_Toc9134"/>
      <w:bookmarkStart w:id="253" w:name="_Toc22812"/>
      <w:r>
        <w:rPr>
          <w:rFonts w:hint="eastAsia" w:ascii="黑体" w:hAnsi="黑体" w:eastAsia="黑体" w:cs="黑体"/>
          <w:bCs w:val="0"/>
          <w:sz w:val="32"/>
          <w:szCs w:val="32"/>
        </w:rPr>
        <w:t>第六章 合理利用林地</w:t>
      </w:r>
      <w:bookmarkEnd w:id="252"/>
      <w:bookmarkEnd w:id="253"/>
    </w:p>
    <w:p w14:paraId="795FDAD8">
      <w:pPr>
        <w:spacing w:line="520" w:lineRule="exact"/>
        <w:ind w:firstLine="646" w:firstLineChars="202"/>
        <w:rPr>
          <w:rFonts w:hint="eastAsia" w:ascii="仿宋" w:hAnsi="仿宋" w:cs="仿宋"/>
          <w:sz w:val="32"/>
          <w:szCs w:val="32"/>
        </w:rPr>
      </w:pPr>
      <w:r>
        <w:rPr>
          <w:rFonts w:hint="eastAsia" w:ascii="仿宋" w:hAnsi="仿宋" w:cs="仿宋"/>
          <w:sz w:val="32"/>
          <w:szCs w:val="32"/>
        </w:rPr>
        <w:t>根据《三亚市国民经济和社会发展第十四个五年规划和二〇三五年远景目标的建议》，要牢固树立“绿水青山就是金山银山”的理念，深入实施可持续发展战略，推进绿色低碳发展，促进经济社会发展全面绿色转型，确保生态环境只能更好、不能变差，实现人与自然和谐共生。市委市政府要求加强国土空间管理和资源高效利用，深化“多规合一”改革，高水平编制国土空间规划，强化国土空间用途管控。</w:t>
      </w:r>
    </w:p>
    <w:p w14:paraId="6D5B91DE">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三亚作为国家“一带一路”倡议支点城市、海南“南北两极”的重要一极、“大三亚”经济圈的领头羊，在“全省一盘棋、全岛同城化”的大格局中地位特殊、责任重大，在海南自由贸易港建设大背景下，</w:t>
      </w:r>
      <w:r>
        <w:rPr>
          <w:rFonts w:hint="eastAsia" w:ascii="仿宋" w:hAnsi="仿宋" w:cs="仿宋"/>
          <w:sz w:val="32"/>
          <w:szCs w:val="32"/>
        </w:rPr>
        <w:t>全市</w:t>
      </w:r>
      <w:r>
        <w:rPr>
          <w:rFonts w:hint="eastAsia" w:ascii="仿宋" w:hAnsi="仿宋" w:cs="仿宋"/>
          <w:sz w:val="32"/>
          <w:szCs w:val="32"/>
          <w:lang w:val="zh-CN"/>
        </w:rPr>
        <w:t>工业园区开发、城镇建设、交通水利、</w:t>
      </w:r>
      <w:r>
        <w:rPr>
          <w:rFonts w:hint="eastAsia" w:ascii="仿宋" w:hAnsi="仿宋" w:cs="仿宋"/>
          <w:sz w:val="32"/>
          <w:szCs w:val="32"/>
        </w:rPr>
        <w:t>生态</w:t>
      </w:r>
      <w:r>
        <w:rPr>
          <w:rFonts w:hint="eastAsia" w:ascii="仿宋" w:hAnsi="仿宋" w:cs="仿宋"/>
          <w:sz w:val="32"/>
          <w:szCs w:val="32"/>
          <w:lang w:val="zh-CN"/>
        </w:rPr>
        <w:t>旅游等建设项目用地需求量日益增大。由于三亚是一个</w:t>
      </w:r>
      <w:r>
        <w:rPr>
          <w:rFonts w:hint="eastAsia" w:ascii="仿宋" w:hAnsi="仿宋" w:cs="仿宋"/>
          <w:sz w:val="32"/>
          <w:szCs w:val="32"/>
        </w:rPr>
        <w:t>多山的热带滨海旅游城市</w:t>
      </w:r>
      <w:r>
        <w:rPr>
          <w:rFonts w:hint="eastAsia" w:ascii="仿宋" w:hAnsi="仿宋" w:cs="仿宋"/>
          <w:sz w:val="32"/>
          <w:szCs w:val="32"/>
          <w:lang w:val="zh-CN"/>
        </w:rPr>
        <w:t>，耕地资源十分有限，林地是经济建设与社会发展的供地主体。因此，林地既需满足人们日益增长的生态需求，又要满足经济社会发展用地的需求，林地保护与利用的矛盾日趋突出，林地保护管理难度越来越大。在林地资源有限的情况下，为保障经济社会发展对林地的需求，有效解决保护与利用的矛盾，使用林地必须做到科学合理。</w:t>
      </w:r>
    </w:p>
    <w:p w14:paraId="6CF7E629">
      <w:pPr>
        <w:pStyle w:val="4"/>
        <w:spacing w:line="520" w:lineRule="exact"/>
        <w:rPr>
          <w:rFonts w:hint="eastAsia" w:ascii="仿宋" w:hAnsi="仿宋" w:eastAsia="仿宋" w:cs="仿宋"/>
        </w:rPr>
      </w:pPr>
      <w:bookmarkStart w:id="254" w:name="_Toc1050"/>
      <w:bookmarkStart w:id="255" w:name="_Toc17782"/>
      <w:r>
        <w:rPr>
          <w:rFonts w:hint="eastAsia" w:ascii="仿宋" w:hAnsi="仿宋" w:eastAsia="仿宋" w:cs="仿宋"/>
        </w:rPr>
        <w:t>6.1 保障重点项目使用林地</w:t>
      </w:r>
      <w:bookmarkEnd w:id="254"/>
      <w:bookmarkEnd w:id="255"/>
    </w:p>
    <w:p w14:paraId="7D459E1D">
      <w:pPr>
        <w:spacing w:line="520" w:lineRule="exact"/>
        <w:ind w:firstLine="646" w:firstLineChars="202"/>
        <w:rPr>
          <w:rFonts w:hint="eastAsia" w:ascii="仿宋" w:hAnsi="仿宋" w:cs="仿宋"/>
          <w:sz w:val="32"/>
          <w:szCs w:val="32"/>
          <w:lang w:val="zh-CN"/>
        </w:rPr>
      </w:pPr>
      <w:bookmarkStart w:id="256" w:name="_Hlk83548482"/>
      <w:r>
        <w:rPr>
          <w:rFonts w:hint="eastAsia" w:ascii="仿宋" w:hAnsi="仿宋" w:cs="仿宋"/>
          <w:sz w:val="32"/>
          <w:szCs w:val="32"/>
          <w:lang w:val="zh-CN"/>
        </w:rPr>
        <w:t>根据《三亚市国民经济和社会发展第十四个五年规划和二〇三五年远景目标</w:t>
      </w:r>
      <w:r>
        <w:rPr>
          <w:rFonts w:hint="eastAsia" w:ascii="仿宋" w:hAnsi="仿宋" w:cs="仿宋"/>
          <w:sz w:val="32"/>
          <w:szCs w:val="32"/>
        </w:rPr>
        <w:t>的建议</w:t>
      </w:r>
      <w:r>
        <w:rPr>
          <w:rFonts w:hint="eastAsia" w:ascii="仿宋" w:hAnsi="仿宋" w:cs="仿宋"/>
          <w:sz w:val="32"/>
          <w:szCs w:val="32"/>
          <w:lang w:val="zh-CN"/>
        </w:rPr>
        <w:t>》</w:t>
      </w:r>
      <w:bookmarkStart w:id="257" w:name="_Hlk80714359"/>
      <w:r>
        <w:rPr>
          <w:rFonts w:hint="eastAsia" w:ascii="仿宋" w:hAnsi="仿宋" w:cs="仿宋"/>
          <w:sz w:val="32"/>
          <w:szCs w:val="32"/>
          <w:lang w:val="zh-CN"/>
        </w:rPr>
        <w:t>、《三亚市国土空间总体规划(20</w:t>
      </w:r>
      <w:r>
        <w:rPr>
          <w:rFonts w:hint="eastAsia" w:ascii="仿宋" w:hAnsi="仿宋" w:cs="仿宋"/>
          <w:sz w:val="32"/>
          <w:szCs w:val="32"/>
        </w:rPr>
        <w:t>21</w:t>
      </w:r>
      <w:r>
        <w:rPr>
          <w:rFonts w:hint="eastAsia" w:ascii="仿宋" w:hAnsi="仿宋" w:cs="仿宋"/>
          <w:sz w:val="32"/>
          <w:szCs w:val="32"/>
          <w:lang w:val="zh-CN"/>
        </w:rPr>
        <w:t>-2035年)》</w:t>
      </w:r>
      <w:bookmarkEnd w:id="257"/>
      <w:r>
        <w:rPr>
          <w:rFonts w:hint="eastAsia" w:ascii="仿宋" w:hAnsi="仿宋" w:cs="仿宋"/>
          <w:sz w:val="32"/>
          <w:szCs w:val="32"/>
        </w:rPr>
        <w:t>和《三亚市林业发展“十四五”规划》</w:t>
      </w:r>
      <w:r>
        <w:rPr>
          <w:rFonts w:hint="eastAsia" w:ascii="仿宋" w:hAnsi="仿宋" w:cs="仿宋"/>
          <w:sz w:val="32"/>
          <w:szCs w:val="32"/>
          <w:lang w:val="zh-CN"/>
        </w:rPr>
        <w:t>等相关</w:t>
      </w:r>
      <w:bookmarkEnd w:id="256"/>
      <w:r>
        <w:rPr>
          <w:rFonts w:hint="eastAsia" w:ascii="仿宋" w:hAnsi="仿宋" w:cs="仿宋"/>
          <w:sz w:val="32"/>
          <w:szCs w:val="32"/>
          <w:lang w:val="zh-CN"/>
        </w:rPr>
        <w:t>规划，</w:t>
      </w:r>
      <w:bookmarkStart w:id="258" w:name="_Hlk56174678"/>
      <w:r>
        <w:rPr>
          <w:rFonts w:hint="eastAsia" w:ascii="仿宋" w:hAnsi="仿宋" w:cs="仿宋"/>
          <w:sz w:val="32"/>
          <w:szCs w:val="32"/>
          <w:lang w:val="zh-CN"/>
        </w:rPr>
        <w:t>全市将加快构建“一心两基地、两区多节点、一带多廊道”的林业发展空间格局建设，持续优化三亚市国土空间开发保护格局，实现空间资源科学配置。</w:t>
      </w:r>
      <w:bookmarkEnd w:id="258"/>
      <w:r>
        <w:rPr>
          <w:rFonts w:hint="eastAsia" w:ascii="仿宋" w:hAnsi="仿宋" w:cs="仿宋"/>
          <w:sz w:val="32"/>
          <w:szCs w:val="32"/>
          <w:lang w:val="zh-CN"/>
        </w:rPr>
        <w:t>2021</w:t>
      </w:r>
      <w:r>
        <w:rPr>
          <w:rFonts w:hint="eastAsia" w:ascii="仿宋" w:hAnsi="仿宋" w:cs="仿宋"/>
          <w:sz w:val="32"/>
          <w:szCs w:val="32"/>
        </w:rPr>
        <w:t>-</w:t>
      </w:r>
      <w:r>
        <w:rPr>
          <w:rFonts w:hint="eastAsia" w:ascii="仿宋" w:hAnsi="仿宋" w:cs="仿宋"/>
          <w:sz w:val="32"/>
          <w:szCs w:val="32"/>
          <w:lang w:val="zh-CN"/>
        </w:rPr>
        <w:t>2035年</w:t>
      </w:r>
      <w:r>
        <w:rPr>
          <w:rFonts w:hint="eastAsia" w:ascii="仿宋" w:hAnsi="仿宋" w:cs="仿宋"/>
          <w:sz w:val="32"/>
          <w:szCs w:val="32"/>
        </w:rPr>
        <w:t>规划</w:t>
      </w:r>
      <w:r>
        <w:rPr>
          <w:rFonts w:hint="eastAsia" w:ascii="仿宋" w:hAnsi="仿宋" w:cs="仿宋"/>
          <w:sz w:val="32"/>
          <w:szCs w:val="32"/>
          <w:lang w:val="zh-CN"/>
        </w:rPr>
        <w:t>期间，林地使用需求主要</w:t>
      </w:r>
      <w:r>
        <w:rPr>
          <w:rFonts w:hint="eastAsia" w:ascii="仿宋" w:hAnsi="仿宋" w:cs="仿宋"/>
          <w:sz w:val="32"/>
          <w:szCs w:val="32"/>
        </w:rPr>
        <w:t>在</w:t>
      </w:r>
      <w:r>
        <w:rPr>
          <w:rFonts w:hint="eastAsia" w:ascii="仿宋" w:hAnsi="仿宋" w:cs="仿宋"/>
          <w:sz w:val="32"/>
          <w:szCs w:val="32"/>
          <w:lang w:val="zh-CN"/>
        </w:rPr>
        <w:t>交通项目建设、水利设施项目建设和其他项目建设</w:t>
      </w:r>
      <w:r>
        <w:rPr>
          <w:rFonts w:hint="eastAsia" w:ascii="仿宋" w:hAnsi="仿宋" w:cs="仿宋"/>
          <w:sz w:val="32"/>
          <w:szCs w:val="32"/>
        </w:rPr>
        <w:t>三个方面</w:t>
      </w:r>
      <w:r>
        <w:rPr>
          <w:rFonts w:hint="eastAsia" w:ascii="仿宋" w:hAnsi="仿宋" w:cs="仿宋"/>
          <w:sz w:val="32"/>
          <w:szCs w:val="32"/>
          <w:lang w:val="zh-CN"/>
        </w:rPr>
        <w:t>。</w:t>
      </w:r>
    </w:p>
    <w:p w14:paraId="72CFBC0A">
      <w:pPr>
        <w:pStyle w:val="5"/>
        <w:spacing w:before="200" w:after="200" w:line="520" w:lineRule="exact"/>
        <w:rPr>
          <w:rFonts w:hint="eastAsia" w:ascii="仿宋" w:hAnsi="仿宋" w:eastAsia="仿宋" w:cs="仿宋"/>
        </w:rPr>
      </w:pPr>
      <w:bookmarkStart w:id="259" w:name="_Toc22741"/>
      <w:bookmarkStart w:id="260" w:name="_Toc14963"/>
      <w:r>
        <w:rPr>
          <w:rFonts w:hint="eastAsia" w:ascii="仿宋" w:hAnsi="仿宋" w:eastAsia="仿宋" w:cs="仿宋"/>
        </w:rPr>
        <w:t>6.1.2 交通建设</w:t>
      </w:r>
      <w:bookmarkEnd w:id="259"/>
      <w:bookmarkEnd w:id="260"/>
    </w:p>
    <w:p w14:paraId="266DAF11">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rPr>
        <w:t>三亚是“一带一路”倡议支点城市，要求三亚进一步加强交通基础设施的建设力度。</w:t>
      </w:r>
      <w:r>
        <w:rPr>
          <w:rFonts w:hint="eastAsia" w:ascii="仿宋" w:hAnsi="仿宋" w:cs="仿宋"/>
          <w:sz w:val="32"/>
          <w:szCs w:val="32"/>
          <w:lang w:eastAsia="zh-CN"/>
        </w:rPr>
        <w:t>“</w:t>
      </w:r>
      <w:r>
        <w:rPr>
          <w:rFonts w:hint="eastAsia" w:ascii="仿宋" w:hAnsi="仿宋" w:cs="仿宋"/>
          <w:sz w:val="32"/>
          <w:szCs w:val="32"/>
        </w:rPr>
        <w:t>十四五</w:t>
      </w:r>
      <w:r>
        <w:rPr>
          <w:rFonts w:hint="eastAsia" w:ascii="仿宋" w:hAnsi="仿宋" w:cs="仿宋"/>
          <w:sz w:val="32"/>
          <w:szCs w:val="32"/>
          <w:lang w:eastAsia="zh-CN"/>
        </w:rPr>
        <w:t>”</w:t>
      </w:r>
      <w:r>
        <w:rPr>
          <w:rFonts w:hint="eastAsia" w:ascii="仿宋" w:hAnsi="仿宋" w:cs="仿宋"/>
          <w:sz w:val="32"/>
          <w:szCs w:val="32"/>
        </w:rPr>
        <w:t>规划中，提出要</w:t>
      </w:r>
      <w:r>
        <w:rPr>
          <w:rFonts w:hint="eastAsia" w:ascii="仿宋" w:hAnsi="仿宋" w:cs="仿宋"/>
          <w:sz w:val="32"/>
          <w:szCs w:val="32"/>
          <w:lang w:val="zh-CN"/>
        </w:rPr>
        <w:t>集中攻坚、全力推进三亚新机场建设，打造国际枢纽机场；加快南山货运港扩能改造，推动三亚港区、南山港区、红塘港区形成“一港三区”总体格局；重点加快推进海南西环铁路三亚至乐东（岭头）段公交化旅游化改造、海南省环岛旅游公路陵水土福湾至三亚海棠湾通道、</w:t>
      </w:r>
      <w:r>
        <w:rPr>
          <w:rFonts w:hint="eastAsia" w:ascii="仿宋" w:hAnsi="仿宋" w:cs="仿宋"/>
          <w:sz w:val="32"/>
          <w:szCs w:val="32"/>
        </w:rPr>
        <w:t>环热带雨林国家公园旅游公路、</w:t>
      </w:r>
      <w:r>
        <w:rPr>
          <w:rFonts w:hint="eastAsia" w:ascii="仿宋" w:hAnsi="仿宋" w:cs="仿宋"/>
          <w:sz w:val="32"/>
          <w:szCs w:val="32"/>
          <w:lang w:val="zh-CN"/>
        </w:rPr>
        <w:t>G98环岛高速大三亚段扩容工程、</w:t>
      </w:r>
      <w:r>
        <w:rPr>
          <w:rFonts w:hint="eastAsia" w:ascii="仿宋" w:hAnsi="仿宋" w:cs="仿宋"/>
          <w:sz w:val="32"/>
          <w:szCs w:val="32"/>
        </w:rPr>
        <w:t>三亚新机场</w:t>
      </w:r>
      <w:r>
        <w:rPr>
          <w:rFonts w:hint="eastAsia" w:ascii="仿宋" w:hAnsi="仿宋" w:cs="仿宋"/>
          <w:sz w:val="32"/>
          <w:szCs w:val="32"/>
          <w:lang w:val="zh-CN"/>
        </w:rPr>
        <w:t>等重大基础设施项目。</w:t>
      </w:r>
    </w:p>
    <w:p w14:paraId="58E1D426">
      <w:pPr>
        <w:pStyle w:val="5"/>
        <w:spacing w:before="200" w:after="200" w:line="520" w:lineRule="exact"/>
        <w:rPr>
          <w:rFonts w:hint="eastAsia" w:ascii="仿宋" w:hAnsi="仿宋" w:eastAsia="仿宋" w:cs="仿宋"/>
        </w:rPr>
      </w:pPr>
      <w:bookmarkStart w:id="261" w:name="_Toc14097"/>
      <w:bookmarkStart w:id="262" w:name="_Toc13984"/>
      <w:r>
        <w:rPr>
          <w:rFonts w:hint="eastAsia" w:ascii="仿宋" w:hAnsi="仿宋" w:eastAsia="仿宋" w:cs="仿宋"/>
        </w:rPr>
        <w:t>6.1.3 水利建设</w:t>
      </w:r>
      <w:bookmarkEnd w:id="261"/>
      <w:bookmarkEnd w:id="262"/>
    </w:p>
    <w:p w14:paraId="6A949FC0">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水利建设方面用地主要用于</w:t>
      </w:r>
      <w:r>
        <w:rPr>
          <w:rFonts w:hint="eastAsia" w:ascii="仿宋" w:hAnsi="仿宋" w:cs="仿宋"/>
          <w:sz w:val="32"/>
          <w:szCs w:val="32"/>
        </w:rPr>
        <w:t>羊林抽水蓄能电站，和其他</w:t>
      </w:r>
      <w:r>
        <w:rPr>
          <w:rFonts w:hint="eastAsia" w:ascii="仿宋" w:hAnsi="仿宋" w:cs="仿宋"/>
          <w:sz w:val="32"/>
          <w:szCs w:val="32"/>
          <w:lang w:val="zh-CN"/>
        </w:rPr>
        <w:t>修建引水工程，新建改扩建部分水库以及加固改造防洪堤坝等。规划</w:t>
      </w:r>
      <w:r>
        <w:rPr>
          <w:rFonts w:hint="eastAsia" w:ascii="仿宋" w:hAnsi="仿宋" w:cs="仿宋"/>
          <w:sz w:val="32"/>
          <w:szCs w:val="32"/>
        </w:rPr>
        <w:t>十四五</w:t>
      </w:r>
      <w:r>
        <w:rPr>
          <w:rFonts w:hint="eastAsia" w:ascii="仿宋" w:hAnsi="仿宋" w:cs="仿宋"/>
          <w:sz w:val="32"/>
          <w:szCs w:val="32"/>
          <w:lang w:val="zh-CN"/>
        </w:rPr>
        <w:t>期间加快推进西水中调等工程建设，打造立体水网，建设“智慧水务”。</w:t>
      </w:r>
    </w:p>
    <w:p w14:paraId="62C182CE">
      <w:pPr>
        <w:pStyle w:val="5"/>
        <w:spacing w:before="200" w:after="200" w:line="520" w:lineRule="exact"/>
        <w:rPr>
          <w:rFonts w:hint="eastAsia" w:ascii="仿宋" w:hAnsi="仿宋" w:eastAsia="仿宋" w:cs="仿宋"/>
        </w:rPr>
      </w:pPr>
      <w:bookmarkStart w:id="263" w:name="_Toc7147"/>
      <w:bookmarkStart w:id="264" w:name="_Toc7155"/>
      <w:r>
        <w:rPr>
          <w:rFonts w:hint="eastAsia" w:ascii="仿宋" w:hAnsi="仿宋" w:eastAsia="仿宋" w:cs="仿宋"/>
        </w:rPr>
        <w:t>6.1.4 其它建设</w:t>
      </w:r>
      <w:bookmarkEnd w:id="263"/>
      <w:bookmarkEnd w:id="264"/>
    </w:p>
    <w:p w14:paraId="34C414EB">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2021-2035年，突破三亚长条形城市发展局限，有效利用 G98 北侧至 G98 高速扩容工程之间的空间资源，统筹城乡发展，优化城乡功能布局，构建“主城区</w:t>
      </w:r>
      <w:r>
        <w:rPr>
          <w:rFonts w:hint="eastAsia" w:ascii="仿宋" w:hAnsi="仿宋" w:cs="仿宋"/>
          <w:sz w:val="32"/>
          <w:szCs w:val="32"/>
        </w:rPr>
        <w:t>-</w:t>
      </w:r>
      <w:r>
        <w:rPr>
          <w:rFonts w:hint="eastAsia" w:ascii="仿宋" w:hAnsi="仿宋" w:cs="仿宋"/>
          <w:sz w:val="32"/>
          <w:szCs w:val="32"/>
          <w:lang w:val="zh-CN"/>
        </w:rPr>
        <w:t>城郊组团</w:t>
      </w:r>
      <w:r>
        <w:rPr>
          <w:rFonts w:hint="eastAsia" w:ascii="仿宋" w:hAnsi="仿宋" w:cs="仿宋"/>
          <w:sz w:val="32"/>
          <w:szCs w:val="32"/>
        </w:rPr>
        <w:t>-</w:t>
      </w:r>
      <w:r>
        <w:rPr>
          <w:rFonts w:hint="eastAsia" w:ascii="仿宋" w:hAnsi="仿宋" w:cs="仿宋"/>
          <w:sz w:val="32"/>
          <w:szCs w:val="32"/>
          <w:lang w:val="zh-CN"/>
        </w:rPr>
        <w:t>中心村</w:t>
      </w:r>
      <w:r>
        <w:rPr>
          <w:rFonts w:hint="eastAsia" w:ascii="仿宋" w:hAnsi="仿宋" w:cs="仿宋"/>
          <w:sz w:val="32"/>
          <w:szCs w:val="32"/>
        </w:rPr>
        <w:t>-</w:t>
      </w:r>
      <w:r>
        <w:rPr>
          <w:rFonts w:hint="eastAsia" w:ascii="仿宋" w:hAnsi="仿宋" w:cs="仿宋"/>
          <w:sz w:val="32"/>
          <w:szCs w:val="32"/>
          <w:lang w:val="zh-CN"/>
        </w:rPr>
        <w:t>基层村”四级城乡体系，引领高质量发展。其他建设项目主要</w:t>
      </w:r>
      <w:r>
        <w:rPr>
          <w:rFonts w:hint="eastAsia" w:ascii="仿宋" w:hAnsi="仿宋" w:cs="仿宋"/>
          <w:sz w:val="32"/>
          <w:szCs w:val="32"/>
        </w:rPr>
        <w:t>为</w:t>
      </w:r>
      <w:r>
        <w:rPr>
          <w:rFonts w:hint="eastAsia" w:ascii="仿宋" w:hAnsi="仿宋" w:cs="仿宋"/>
          <w:sz w:val="32"/>
          <w:szCs w:val="32"/>
          <w:lang w:val="zh-CN"/>
        </w:rPr>
        <w:t>对</w:t>
      </w:r>
      <w:r>
        <w:rPr>
          <w:rFonts w:hint="eastAsia" w:ascii="仿宋" w:hAnsi="仿宋" w:cs="仿宋"/>
          <w:sz w:val="32"/>
          <w:szCs w:val="32"/>
        </w:rPr>
        <w:t>城市发展过程中，各类基础设施及城镇化建设项目、以及</w:t>
      </w:r>
      <w:r>
        <w:rPr>
          <w:rFonts w:hint="eastAsia" w:ascii="仿宋" w:hAnsi="仿宋" w:cs="仿宋"/>
          <w:sz w:val="32"/>
          <w:szCs w:val="32"/>
          <w:lang w:val="zh-CN"/>
        </w:rPr>
        <w:t>风景旅游区的旅游设施</w:t>
      </w:r>
      <w:r>
        <w:rPr>
          <w:rFonts w:hint="eastAsia" w:ascii="仿宋" w:hAnsi="仿宋" w:cs="仿宋"/>
          <w:sz w:val="32"/>
          <w:szCs w:val="32"/>
        </w:rPr>
        <w:t>等</w:t>
      </w:r>
      <w:r>
        <w:rPr>
          <w:rFonts w:hint="eastAsia" w:ascii="仿宋" w:hAnsi="仿宋" w:cs="仿宋"/>
          <w:sz w:val="32"/>
          <w:szCs w:val="32"/>
          <w:lang w:val="zh-CN"/>
        </w:rPr>
        <w:t>。随着经济建设步伐的加快，2021</w:t>
      </w:r>
      <w:r>
        <w:rPr>
          <w:rFonts w:hint="eastAsia" w:ascii="仿宋" w:hAnsi="仿宋" w:cs="仿宋"/>
          <w:sz w:val="32"/>
          <w:szCs w:val="32"/>
        </w:rPr>
        <w:t>-</w:t>
      </w:r>
      <w:r>
        <w:rPr>
          <w:rFonts w:hint="eastAsia" w:ascii="仿宋" w:hAnsi="仿宋" w:cs="仿宋"/>
          <w:sz w:val="32"/>
          <w:szCs w:val="32"/>
          <w:lang w:val="zh-CN"/>
        </w:rPr>
        <w:t>2035年各类项目建设用地对林地的需求量将呈现</w:t>
      </w:r>
      <w:r>
        <w:rPr>
          <w:rFonts w:hint="eastAsia" w:ascii="仿宋" w:hAnsi="仿宋" w:cs="仿宋"/>
          <w:sz w:val="32"/>
          <w:szCs w:val="32"/>
        </w:rPr>
        <w:t>平稳</w:t>
      </w:r>
      <w:r>
        <w:rPr>
          <w:rFonts w:hint="eastAsia" w:ascii="仿宋" w:hAnsi="仿宋" w:cs="仿宋"/>
          <w:sz w:val="32"/>
          <w:szCs w:val="32"/>
          <w:lang w:val="zh-CN"/>
        </w:rPr>
        <w:t>趋势。</w:t>
      </w:r>
    </w:p>
    <w:p w14:paraId="61634D6A">
      <w:pPr>
        <w:pStyle w:val="4"/>
        <w:spacing w:line="520" w:lineRule="exact"/>
        <w:rPr>
          <w:rFonts w:hint="eastAsia" w:ascii="仿宋" w:hAnsi="仿宋" w:eastAsia="仿宋" w:cs="仿宋"/>
        </w:rPr>
      </w:pPr>
      <w:bookmarkStart w:id="265" w:name="_Toc32122"/>
      <w:bookmarkStart w:id="266" w:name="_Toc6337"/>
      <w:r>
        <w:rPr>
          <w:rFonts w:hint="eastAsia" w:ascii="仿宋" w:hAnsi="仿宋" w:eastAsia="仿宋" w:cs="仿宋"/>
        </w:rPr>
        <w:t>6.2 引导集约节约使用林地</w:t>
      </w:r>
      <w:bookmarkEnd w:id="265"/>
      <w:bookmarkEnd w:id="266"/>
    </w:p>
    <w:p w14:paraId="399DD7BD">
      <w:pPr>
        <w:spacing w:line="520" w:lineRule="exact"/>
        <w:ind w:firstLine="646" w:firstLineChars="202"/>
        <w:rPr>
          <w:rFonts w:hint="eastAsia" w:ascii="仿宋" w:hAnsi="仿宋" w:cs="仿宋"/>
          <w:sz w:val="32"/>
          <w:szCs w:val="32"/>
        </w:rPr>
      </w:pPr>
      <w:r>
        <w:rPr>
          <w:rFonts w:hint="eastAsia" w:ascii="仿宋" w:hAnsi="仿宋" w:cs="仿宋"/>
          <w:sz w:val="32"/>
          <w:szCs w:val="32"/>
        </w:rPr>
        <w:t>按照合理布局、集约高效的原则，积极参与建设项目前期选址论证工 作，提出科学合理的意见建议，尽量避免使用生态保护红线及各级各类自然保护地、公益林、国有林场等生态区位重要、生态敏感脆弱区域，促进节约集约使用林地，合理制定使用林地定额。</w:t>
      </w:r>
      <w:bookmarkStart w:id="267" w:name="_Hlk83549454"/>
      <w:r>
        <w:rPr>
          <w:rFonts w:hint="eastAsia" w:ascii="仿宋" w:hAnsi="仿宋" w:cs="仿宋"/>
          <w:sz w:val="32"/>
          <w:szCs w:val="32"/>
        </w:rPr>
        <w:t>根据《三亚市建设项目使用林地需求分析专题研究》分析结果，在衔接</w:t>
      </w:r>
      <w:r>
        <w:rPr>
          <w:rFonts w:hint="eastAsia" w:ascii="仿宋" w:hAnsi="仿宋" w:cs="仿宋"/>
          <w:sz w:val="32"/>
          <w:szCs w:val="32"/>
          <w:lang w:val="zh-CN"/>
        </w:rPr>
        <w:t>《三亚市国土空间总体规划(20</w:t>
      </w:r>
      <w:r>
        <w:rPr>
          <w:rFonts w:hint="eastAsia" w:ascii="仿宋" w:hAnsi="仿宋" w:cs="仿宋"/>
          <w:sz w:val="32"/>
          <w:szCs w:val="32"/>
        </w:rPr>
        <w:t>21</w:t>
      </w:r>
      <w:r>
        <w:rPr>
          <w:rFonts w:hint="eastAsia" w:ascii="仿宋" w:hAnsi="仿宋" w:cs="仿宋"/>
          <w:sz w:val="32"/>
          <w:szCs w:val="32"/>
          <w:lang w:val="zh-CN"/>
        </w:rPr>
        <w:t>-2035年)》</w:t>
      </w:r>
      <w:r>
        <w:rPr>
          <w:rFonts w:hint="eastAsia" w:ascii="仿宋" w:hAnsi="仿宋" w:cs="仿宋"/>
          <w:sz w:val="32"/>
          <w:szCs w:val="32"/>
        </w:rPr>
        <w:t>的基础上，充分考虑为实现三亚市经济增长和社会发展目标，城镇化、工业园区建设、交通水利项目建设等重点项目的扩大建设对林地的需求，广泛征求其它部门意见，采用各种模型计算，确定三亚市规划期内使用林地面积需求</w:t>
      </w:r>
      <w:bookmarkEnd w:id="267"/>
      <w:r>
        <w:rPr>
          <w:rFonts w:hint="eastAsia" w:ascii="仿宋" w:hAnsi="仿宋" w:cs="仿宋"/>
          <w:sz w:val="32"/>
          <w:szCs w:val="32"/>
        </w:rPr>
        <w:t>。</w:t>
      </w:r>
    </w:p>
    <w:p w14:paraId="776A4DA4">
      <w:pPr>
        <w:pStyle w:val="4"/>
        <w:spacing w:line="520" w:lineRule="exact"/>
        <w:rPr>
          <w:rFonts w:hint="eastAsia" w:ascii="仿宋" w:hAnsi="仿宋" w:eastAsia="仿宋" w:cs="仿宋"/>
        </w:rPr>
      </w:pPr>
      <w:bookmarkStart w:id="268" w:name="_Toc5495"/>
      <w:bookmarkStart w:id="269" w:name="_Toc15250"/>
      <w:r>
        <w:rPr>
          <w:rFonts w:hint="eastAsia" w:ascii="仿宋" w:hAnsi="仿宋" w:eastAsia="仿宋" w:cs="仿宋"/>
        </w:rPr>
        <w:t>6.3 科学经营</w:t>
      </w:r>
      <w:bookmarkEnd w:id="268"/>
      <w:bookmarkEnd w:id="269"/>
    </w:p>
    <w:p w14:paraId="44318091">
      <w:pPr>
        <w:pStyle w:val="5"/>
        <w:spacing w:before="200" w:after="200" w:line="520" w:lineRule="exact"/>
        <w:rPr>
          <w:rFonts w:hint="eastAsia" w:ascii="仿宋" w:hAnsi="仿宋" w:eastAsia="仿宋" w:cs="仿宋"/>
        </w:rPr>
      </w:pPr>
      <w:bookmarkStart w:id="270" w:name="_Toc2808"/>
      <w:bookmarkStart w:id="271" w:name="_Toc24495"/>
      <w:r>
        <w:rPr>
          <w:rFonts w:hint="eastAsia" w:ascii="仿宋" w:hAnsi="仿宋" w:eastAsia="仿宋" w:cs="仿宋"/>
        </w:rPr>
        <w:t>6.3.1提升森林质量，提高林地生产力</w:t>
      </w:r>
      <w:bookmarkEnd w:id="270"/>
      <w:bookmarkEnd w:id="271"/>
    </w:p>
    <w:p w14:paraId="3A1E1B69">
      <w:pPr>
        <w:spacing w:line="520" w:lineRule="exact"/>
        <w:ind w:firstLine="646" w:firstLineChars="202"/>
        <w:rPr>
          <w:rFonts w:hint="eastAsia" w:ascii="仿宋" w:hAnsi="仿宋" w:cs="仿宋"/>
          <w:sz w:val="32"/>
          <w:szCs w:val="32"/>
        </w:rPr>
      </w:pPr>
      <w:r>
        <w:rPr>
          <w:rFonts w:hint="eastAsia" w:ascii="仿宋" w:hAnsi="仿宋" w:cs="仿宋"/>
          <w:sz w:val="32"/>
          <w:szCs w:val="32"/>
          <w:lang w:val="zh-CN"/>
        </w:rPr>
        <w:t>2020年全市林地生产力仅为</w:t>
      </w:r>
      <w:r>
        <w:rPr>
          <w:rFonts w:hint="eastAsia" w:ascii="仿宋" w:hAnsi="仿宋" w:cs="仿宋"/>
          <w:sz w:val="32"/>
          <w:szCs w:val="32"/>
        </w:rPr>
        <w:t>63.9</w:t>
      </w:r>
      <w:r>
        <w:rPr>
          <w:rFonts w:hint="eastAsia" w:ascii="仿宋" w:hAnsi="仿宋" w:cs="仿宋"/>
          <w:sz w:val="32"/>
          <w:szCs w:val="32"/>
          <w:lang w:val="zh-CN"/>
        </w:rPr>
        <w:t>立方米/公顷（以修正数据为准），林地生产力总体</w:t>
      </w:r>
      <w:r>
        <w:rPr>
          <w:rFonts w:hint="eastAsia" w:ascii="仿宋" w:hAnsi="仿宋" w:cs="仿宋"/>
          <w:sz w:val="32"/>
          <w:szCs w:val="32"/>
        </w:rPr>
        <w:t>偏</w:t>
      </w:r>
      <w:r>
        <w:rPr>
          <w:rFonts w:hint="eastAsia" w:ascii="仿宋" w:hAnsi="仿宋" w:cs="仿宋"/>
          <w:sz w:val="32"/>
          <w:szCs w:val="32"/>
          <w:lang w:val="zh-CN"/>
        </w:rPr>
        <w:t>低，提升速度慢。森林资源以人工林为主，其中中幼林</w:t>
      </w:r>
      <w:r>
        <w:rPr>
          <w:rFonts w:hint="eastAsia" w:ascii="仿宋" w:hAnsi="仿宋" w:cs="仿宋"/>
          <w:sz w:val="32"/>
          <w:szCs w:val="32"/>
        </w:rPr>
        <w:t>面积157375.51公顷，</w:t>
      </w:r>
      <w:r>
        <w:rPr>
          <w:rFonts w:hint="eastAsia" w:ascii="仿宋" w:hAnsi="仿宋" w:cs="仿宋"/>
          <w:sz w:val="32"/>
          <w:szCs w:val="32"/>
          <w:lang w:val="zh-CN"/>
        </w:rPr>
        <w:t>占</w:t>
      </w:r>
      <w:r>
        <w:rPr>
          <w:rFonts w:hint="eastAsia" w:ascii="仿宋" w:hAnsi="仿宋" w:cs="仿宋"/>
          <w:sz w:val="32"/>
          <w:szCs w:val="32"/>
        </w:rPr>
        <w:t>森林面积的48.48%。通过以下措施提高林地生产力：</w:t>
      </w:r>
    </w:p>
    <w:p w14:paraId="300E51BA">
      <w:pPr>
        <w:spacing w:line="520" w:lineRule="exact"/>
        <w:ind w:firstLine="646" w:firstLineChars="202"/>
        <w:rPr>
          <w:rFonts w:hint="eastAsia" w:ascii="仿宋" w:hAnsi="仿宋" w:cs="仿宋"/>
          <w:sz w:val="32"/>
          <w:szCs w:val="32"/>
        </w:rPr>
      </w:pPr>
      <w:r>
        <w:rPr>
          <w:rFonts w:hint="eastAsia" w:ascii="仿宋" w:hAnsi="仿宋" w:cs="仿宋"/>
          <w:sz w:val="32"/>
          <w:szCs w:val="32"/>
        </w:rPr>
        <w:t>（1）</w:t>
      </w:r>
      <w:r>
        <w:rPr>
          <w:rFonts w:hint="eastAsia" w:ascii="仿宋" w:hAnsi="仿宋" w:cs="仿宋"/>
          <w:sz w:val="32"/>
          <w:szCs w:val="32"/>
          <w:lang w:val="zh-CN"/>
        </w:rPr>
        <w:t>建设森林质量精准</w:t>
      </w:r>
      <w:r>
        <w:rPr>
          <w:rFonts w:hint="eastAsia" w:ascii="仿宋" w:hAnsi="仿宋" w:cs="仿宋"/>
          <w:sz w:val="32"/>
          <w:szCs w:val="32"/>
        </w:rPr>
        <w:t>提升</w:t>
      </w:r>
      <w:r>
        <w:rPr>
          <w:rFonts w:hint="eastAsia" w:ascii="仿宋" w:hAnsi="仿宋" w:cs="仿宋"/>
          <w:sz w:val="32"/>
          <w:szCs w:val="32"/>
          <w:lang w:val="zh-CN"/>
        </w:rPr>
        <w:t>工程，</w:t>
      </w:r>
      <w:r>
        <w:rPr>
          <w:rFonts w:hint="eastAsia" w:ascii="仿宋" w:hAnsi="仿宋" w:cs="仿宋"/>
          <w:sz w:val="32"/>
          <w:szCs w:val="32"/>
        </w:rPr>
        <w:t>加大造林力度，促进灌木林地和其他林地转化为有林地；</w:t>
      </w:r>
    </w:p>
    <w:p w14:paraId="30622A75">
      <w:pPr>
        <w:spacing w:line="520" w:lineRule="exact"/>
        <w:ind w:firstLine="646" w:firstLineChars="202"/>
        <w:rPr>
          <w:rFonts w:hint="eastAsia" w:ascii="仿宋" w:hAnsi="仿宋" w:cs="仿宋"/>
          <w:sz w:val="32"/>
          <w:szCs w:val="32"/>
        </w:rPr>
      </w:pPr>
      <w:r>
        <w:rPr>
          <w:rFonts w:hint="eastAsia" w:ascii="仿宋" w:hAnsi="仿宋" w:cs="仿宋"/>
          <w:sz w:val="32"/>
          <w:szCs w:val="32"/>
        </w:rPr>
        <w:t>（2）对立地条件较好、质量等级较高的林地，实行集约经营、定向培育，建设油茶林、橡胶林以及珍贵树种为主体的</w:t>
      </w:r>
      <w:r>
        <w:rPr>
          <w:rFonts w:hint="eastAsia" w:ascii="仿宋" w:hAnsi="仿宋" w:cs="仿宋"/>
          <w:sz w:val="32"/>
          <w:szCs w:val="32"/>
          <w:lang w:val="zh-CN"/>
        </w:rPr>
        <w:t>木材战略储备林</w:t>
      </w:r>
      <w:r>
        <w:rPr>
          <w:rFonts w:hint="eastAsia" w:ascii="仿宋" w:hAnsi="仿宋" w:cs="仿宋"/>
          <w:sz w:val="32"/>
          <w:szCs w:val="32"/>
        </w:rPr>
        <w:t>；</w:t>
      </w:r>
    </w:p>
    <w:p w14:paraId="410394D5">
      <w:pPr>
        <w:spacing w:line="520" w:lineRule="exact"/>
        <w:ind w:firstLine="646" w:firstLineChars="202"/>
        <w:rPr>
          <w:rFonts w:hint="eastAsia" w:ascii="仿宋" w:hAnsi="仿宋" w:cs="仿宋"/>
          <w:sz w:val="32"/>
          <w:szCs w:val="32"/>
        </w:rPr>
      </w:pPr>
      <w:r>
        <w:rPr>
          <w:rFonts w:hint="eastAsia" w:ascii="仿宋" w:hAnsi="仿宋" w:cs="仿宋"/>
          <w:sz w:val="32"/>
          <w:szCs w:val="32"/>
        </w:rPr>
        <w:t>（3）加强公益林管护，通过退化林修复等</w:t>
      </w:r>
      <w:r>
        <w:rPr>
          <w:rFonts w:hint="eastAsia" w:ascii="仿宋" w:hAnsi="仿宋" w:cs="仿宋"/>
          <w:sz w:val="32"/>
          <w:szCs w:val="32"/>
          <w:lang w:val="en-US" w:eastAsia="zh-CN"/>
        </w:rPr>
        <w:t>措施</w:t>
      </w:r>
      <w:bookmarkStart w:id="480" w:name="_GoBack"/>
      <w:bookmarkEnd w:id="480"/>
      <w:r>
        <w:rPr>
          <w:rFonts w:hint="eastAsia" w:ascii="仿宋" w:hAnsi="仿宋" w:cs="仿宋"/>
          <w:sz w:val="32"/>
          <w:szCs w:val="32"/>
        </w:rPr>
        <w:t>，增加森林面积，提高森林质量，促进林地生态功能提升；</w:t>
      </w:r>
    </w:p>
    <w:p w14:paraId="41719069">
      <w:pPr>
        <w:spacing w:line="520" w:lineRule="exact"/>
        <w:ind w:firstLine="646" w:firstLineChars="202"/>
        <w:rPr>
          <w:rFonts w:hint="eastAsia" w:ascii="仿宋" w:hAnsi="仿宋" w:cs="仿宋"/>
          <w:sz w:val="32"/>
          <w:szCs w:val="32"/>
        </w:rPr>
      </w:pPr>
      <w:r>
        <w:rPr>
          <w:rFonts w:hint="eastAsia" w:ascii="仿宋" w:hAnsi="仿宋" w:cs="仿宋"/>
          <w:sz w:val="32"/>
          <w:szCs w:val="32"/>
        </w:rPr>
        <w:t>（4）对一般商品林地，积极推行农林复合经营和发展林下经济，最大限度地挖掘林地生产力。</w:t>
      </w:r>
    </w:p>
    <w:p w14:paraId="3CBDEE9A">
      <w:pPr>
        <w:pStyle w:val="5"/>
        <w:spacing w:before="200" w:after="200" w:line="520" w:lineRule="exact"/>
        <w:rPr>
          <w:rFonts w:hint="eastAsia" w:ascii="仿宋" w:hAnsi="仿宋" w:eastAsia="仿宋" w:cs="仿宋"/>
        </w:rPr>
      </w:pPr>
      <w:bookmarkStart w:id="272" w:name="_Toc7237"/>
      <w:bookmarkStart w:id="273" w:name="_Toc1246"/>
      <w:r>
        <w:rPr>
          <w:rFonts w:hint="eastAsia" w:ascii="仿宋" w:hAnsi="仿宋" w:eastAsia="仿宋" w:cs="仿宋"/>
        </w:rPr>
        <w:t>6.3.2加强生态屏障功能</w:t>
      </w:r>
      <w:bookmarkEnd w:id="272"/>
      <w:bookmarkEnd w:id="273"/>
    </w:p>
    <w:p w14:paraId="5D775758">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rPr>
        <w:t>（1）生态廊道建设：</w:t>
      </w:r>
      <w:r>
        <w:rPr>
          <w:rFonts w:hint="eastAsia" w:ascii="仿宋" w:hAnsi="仿宋" w:cs="仿宋"/>
          <w:sz w:val="32"/>
          <w:szCs w:val="32"/>
          <w:lang w:val="zh-CN"/>
        </w:rPr>
        <w:t>针对三亚市重要的河流、公路、高速路、铁路两侧及机场、农村林网和农村两侧进行防护林建设，对已有防护林缺株断带、树种单一、防护功能较差的林带，进行补绿扩带、优化调整或更新改造，营造复层景观林，培育混交林，提高绿化美化水平。至2025年，在河流、公路、铁路、机场等，通过增绿扩量，低质林改造和森林质量提升等方式，开展省级生态廊道、市级生态廊道建设，对脆弱环境进行生态修复。</w:t>
      </w:r>
    </w:p>
    <w:p w14:paraId="465EBD29">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rPr>
        <w:t>（2）海防林景观改造：全面调查全市海防林资源</w:t>
      </w:r>
      <w:r>
        <w:rPr>
          <w:rFonts w:hint="eastAsia" w:ascii="仿宋" w:hAnsi="仿宋" w:cs="仿宋"/>
          <w:sz w:val="32"/>
          <w:szCs w:val="32"/>
          <w:lang w:val="zh-CN"/>
        </w:rPr>
        <w:t>，制定全市</w:t>
      </w:r>
      <w:r>
        <w:rPr>
          <w:rFonts w:hint="eastAsia" w:ascii="仿宋" w:hAnsi="仿宋" w:cs="仿宋"/>
          <w:sz w:val="32"/>
          <w:szCs w:val="32"/>
        </w:rPr>
        <w:t>海防林</w:t>
      </w:r>
      <w:r>
        <w:rPr>
          <w:rFonts w:hint="eastAsia" w:ascii="仿宋" w:hAnsi="仿宋" w:cs="仿宋"/>
          <w:sz w:val="32"/>
          <w:szCs w:val="32"/>
          <w:lang w:val="zh-CN"/>
        </w:rPr>
        <w:t>保护与</w:t>
      </w:r>
      <w:r>
        <w:rPr>
          <w:rFonts w:hint="eastAsia" w:ascii="仿宋" w:hAnsi="仿宋" w:cs="仿宋"/>
          <w:sz w:val="32"/>
          <w:szCs w:val="32"/>
        </w:rPr>
        <w:t>景观改造</w:t>
      </w:r>
      <w:r>
        <w:rPr>
          <w:rFonts w:hint="eastAsia" w:ascii="仿宋" w:hAnsi="仿宋" w:cs="仿宋"/>
          <w:sz w:val="32"/>
          <w:szCs w:val="32"/>
          <w:lang w:val="zh-CN"/>
        </w:rPr>
        <w:t>总体规划，发布全市</w:t>
      </w:r>
      <w:r>
        <w:rPr>
          <w:rFonts w:hint="eastAsia" w:ascii="仿宋" w:hAnsi="仿宋" w:cs="仿宋"/>
          <w:sz w:val="32"/>
          <w:szCs w:val="32"/>
        </w:rPr>
        <w:t>海防林景观改造</w:t>
      </w:r>
      <w:r>
        <w:rPr>
          <w:rFonts w:hint="eastAsia" w:ascii="仿宋" w:hAnsi="仿宋" w:cs="仿宋"/>
          <w:sz w:val="32"/>
          <w:szCs w:val="32"/>
          <w:lang w:val="zh-CN"/>
        </w:rPr>
        <w:t>方案，完善</w:t>
      </w:r>
      <w:r>
        <w:rPr>
          <w:rFonts w:hint="eastAsia" w:ascii="仿宋" w:hAnsi="仿宋" w:cs="仿宋"/>
          <w:sz w:val="32"/>
          <w:szCs w:val="32"/>
        </w:rPr>
        <w:t>海防林</w:t>
      </w:r>
      <w:r>
        <w:rPr>
          <w:rFonts w:hint="eastAsia" w:ascii="仿宋" w:hAnsi="仿宋" w:cs="仿宋"/>
          <w:sz w:val="32"/>
          <w:szCs w:val="32"/>
          <w:lang w:val="zh-CN"/>
        </w:rPr>
        <w:t>保护、</w:t>
      </w:r>
      <w:r>
        <w:rPr>
          <w:rFonts w:hint="eastAsia" w:ascii="仿宋" w:hAnsi="仿宋" w:cs="仿宋"/>
          <w:sz w:val="32"/>
          <w:szCs w:val="32"/>
        </w:rPr>
        <w:t>森林游憩、</w:t>
      </w:r>
      <w:r>
        <w:rPr>
          <w:rFonts w:hint="eastAsia" w:ascii="仿宋" w:hAnsi="仿宋" w:cs="仿宋"/>
          <w:sz w:val="32"/>
          <w:szCs w:val="32"/>
          <w:lang w:val="zh-CN"/>
        </w:rPr>
        <w:t>科普宣教体系，充分保护好</w:t>
      </w:r>
      <w:r>
        <w:rPr>
          <w:rFonts w:hint="eastAsia" w:ascii="仿宋" w:hAnsi="仿宋" w:cs="仿宋"/>
          <w:sz w:val="32"/>
          <w:szCs w:val="32"/>
        </w:rPr>
        <w:t>海防林</w:t>
      </w:r>
      <w:r>
        <w:rPr>
          <w:rFonts w:hint="eastAsia" w:ascii="仿宋" w:hAnsi="仿宋" w:cs="仿宋"/>
          <w:sz w:val="32"/>
          <w:szCs w:val="32"/>
          <w:lang w:val="zh-CN"/>
        </w:rPr>
        <w:t>资源，</w:t>
      </w:r>
      <w:r>
        <w:rPr>
          <w:rFonts w:hint="eastAsia" w:ascii="仿宋" w:hAnsi="仿宋" w:cs="仿宋"/>
          <w:sz w:val="32"/>
          <w:szCs w:val="32"/>
        </w:rPr>
        <w:t>提高海防林</w:t>
      </w:r>
      <w:r>
        <w:rPr>
          <w:rFonts w:hint="eastAsia" w:ascii="仿宋" w:hAnsi="仿宋" w:cs="仿宋"/>
          <w:sz w:val="32"/>
          <w:szCs w:val="32"/>
          <w:lang w:val="zh-CN"/>
        </w:rPr>
        <w:t>生物多样性，</w:t>
      </w:r>
      <w:r>
        <w:rPr>
          <w:rFonts w:hint="eastAsia" w:ascii="仿宋" w:hAnsi="仿宋" w:cs="仿宋"/>
          <w:sz w:val="32"/>
          <w:szCs w:val="32"/>
        </w:rPr>
        <w:t>大力提升海防林景观</w:t>
      </w:r>
      <w:r>
        <w:rPr>
          <w:rFonts w:hint="eastAsia" w:ascii="仿宋" w:hAnsi="仿宋" w:cs="仿宋"/>
          <w:sz w:val="32"/>
          <w:szCs w:val="32"/>
          <w:lang w:val="zh-CN"/>
        </w:rPr>
        <w:t>质量，促进</w:t>
      </w:r>
      <w:r>
        <w:rPr>
          <w:rFonts w:hint="eastAsia" w:ascii="仿宋" w:hAnsi="仿宋" w:cs="仿宋"/>
          <w:sz w:val="32"/>
          <w:szCs w:val="32"/>
        </w:rPr>
        <w:t>海防林社会效益和</w:t>
      </w:r>
      <w:r>
        <w:rPr>
          <w:rFonts w:hint="eastAsia" w:ascii="仿宋" w:hAnsi="仿宋" w:cs="仿宋"/>
          <w:sz w:val="32"/>
          <w:szCs w:val="32"/>
          <w:lang w:val="zh-CN"/>
        </w:rPr>
        <w:t>生态功能的</w:t>
      </w:r>
      <w:r>
        <w:rPr>
          <w:rFonts w:hint="eastAsia" w:ascii="仿宋" w:hAnsi="仿宋" w:cs="仿宋"/>
          <w:sz w:val="32"/>
          <w:szCs w:val="32"/>
        </w:rPr>
        <w:t>充分</w:t>
      </w:r>
      <w:r>
        <w:rPr>
          <w:rFonts w:hint="eastAsia" w:ascii="仿宋" w:hAnsi="仿宋" w:cs="仿宋"/>
          <w:sz w:val="32"/>
          <w:szCs w:val="32"/>
          <w:lang w:val="zh-CN"/>
        </w:rPr>
        <w:t>发挥。至2025年，全市完成</w:t>
      </w:r>
      <w:r>
        <w:rPr>
          <w:rFonts w:hint="eastAsia" w:ascii="仿宋" w:hAnsi="仿宋" w:cs="仿宋"/>
          <w:sz w:val="32"/>
          <w:szCs w:val="32"/>
        </w:rPr>
        <w:t>海防林景观改造</w:t>
      </w:r>
      <w:r>
        <w:rPr>
          <w:rFonts w:hint="eastAsia" w:ascii="仿宋" w:hAnsi="仿宋" w:cs="仿宋"/>
          <w:sz w:val="32"/>
          <w:szCs w:val="32"/>
          <w:lang w:val="zh-CN"/>
        </w:rPr>
        <w:t>50公顷，其中</w:t>
      </w:r>
      <w:r>
        <w:rPr>
          <w:rFonts w:hint="eastAsia" w:ascii="仿宋" w:hAnsi="仿宋" w:cs="仿宋"/>
          <w:sz w:val="32"/>
          <w:szCs w:val="32"/>
        </w:rPr>
        <w:t>崖州科技城片区</w:t>
      </w:r>
      <w:r>
        <w:rPr>
          <w:rFonts w:hint="eastAsia" w:ascii="仿宋" w:hAnsi="仿宋" w:cs="仿宋"/>
          <w:sz w:val="32"/>
          <w:szCs w:val="32"/>
          <w:lang w:val="zh-CN"/>
        </w:rPr>
        <w:t>实施</w:t>
      </w:r>
      <w:r>
        <w:rPr>
          <w:rFonts w:hint="eastAsia" w:ascii="仿宋" w:hAnsi="仿宋" w:cs="仿宋"/>
          <w:sz w:val="32"/>
          <w:szCs w:val="32"/>
        </w:rPr>
        <w:t>海防林景观改造2</w:t>
      </w:r>
      <w:r>
        <w:rPr>
          <w:rFonts w:hint="eastAsia" w:ascii="仿宋" w:hAnsi="仿宋" w:cs="仿宋"/>
          <w:sz w:val="32"/>
          <w:szCs w:val="32"/>
          <w:lang w:val="zh-CN"/>
        </w:rPr>
        <w:t>0公顷。</w:t>
      </w:r>
    </w:p>
    <w:p w14:paraId="3B8BA0D7">
      <w:pPr>
        <w:pStyle w:val="5"/>
        <w:spacing w:before="200" w:after="200" w:line="520" w:lineRule="exact"/>
        <w:rPr>
          <w:rFonts w:hint="eastAsia" w:ascii="仿宋" w:hAnsi="仿宋" w:eastAsia="仿宋" w:cs="仿宋"/>
        </w:rPr>
      </w:pPr>
      <w:bookmarkStart w:id="274" w:name="_Toc8978"/>
      <w:bookmarkStart w:id="275" w:name="_Toc6831"/>
      <w:r>
        <w:rPr>
          <w:rFonts w:hint="eastAsia" w:ascii="仿宋" w:hAnsi="仿宋" w:eastAsia="仿宋" w:cs="仿宋"/>
        </w:rPr>
        <w:t>6.3.3强化森林碳汇功能</w:t>
      </w:r>
      <w:bookmarkEnd w:id="274"/>
      <w:bookmarkEnd w:id="275"/>
    </w:p>
    <w:p w14:paraId="76A634DD">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rPr>
        <w:t>通过五个途径强化森林碳汇功能：（1）造林增加林地碳储量；（2）强化森林经营提高林地固碳能力；（3）天然林抚育增加森林固碳；（4）国家战略储备林（大径材培育）提升林地产出增加森林固碳；（5）保护现有森林减少毁林和森林退化的碳排放。增强林地承载力，增加林地碳储量，实现增汇抵排。</w:t>
      </w:r>
    </w:p>
    <w:p w14:paraId="6146FD8A">
      <w:pPr>
        <w:pStyle w:val="4"/>
        <w:spacing w:line="520" w:lineRule="exact"/>
        <w:rPr>
          <w:rFonts w:hint="eastAsia" w:ascii="仿宋" w:hAnsi="仿宋" w:eastAsia="仿宋" w:cs="仿宋"/>
        </w:rPr>
      </w:pPr>
      <w:bookmarkStart w:id="276" w:name="_Toc23376"/>
      <w:bookmarkStart w:id="277" w:name="_Toc6660"/>
      <w:r>
        <w:rPr>
          <w:rFonts w:hint="eastAsia" w:ascii="仿宋" w:hAnsi="仿宋" w:eastAsia="仿宋" w:cs="仿宋"/>
        </w:rPr>
        <w:t>6.4优化林地利用</w:t>
      </w:r>
      <w:bookmarkEnd w:id="276"/>
      <w:bookmarkEnd w:id="277"/>
    </w:p>
    <w:p w14:paraId="7B798FB0">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针对三亚市不同的林地质量等级，制定不同的经营管理措施。按照林地保护等级，在严格执行相应的林地保护、利用和管理措施的基础上，根据林地质量等级和林地主导功能，制订实施相应的林地保护利用模式，科学利用市域林地并充分发挥林地生产潜力，促进全市的林地利用从粗放低效向集约高效的方向转变。</w:t>
      </w:r>
    </w:p>
    <w:p w14:paraId="018A5D1C">
      <w:pPr>
        <w:pStyle w:val="4"/>
        <w:spacing w:line="520" w:lineRule="exact"/>
        <w:rPr>
          <w:rFonts w:hint="eastAsia" w:ascii="仿宋" w:hAnsi="仿宋" w:eastAsia="仿宋" w:cs="仿宋"/>
        </w:rPr>
      </w:pPr>
      <w:bookmarkStart w:id="278" w:name="_Toc23615"/>
      <w:bookmarkStart w:id="279" w:name="_Toc30507"/>
      <w:r>
        <w:rPr>
          <w:rFonts w:hint="eastAsia" w:ascii="仿宋" w:hAnsi="仿宋" w:eastAsia="仿宋" w:cs="仿宋"/>
        </w:rPr>
        <w:t>6.5 助力碳达峰碳中和</w:t>
      </w:r>
      <w:bookmarkEnd w:id="278"/>
      <w:bookmarkEnd w:id="279"/>
    </w:p>
    <w:p w14:paraId="3422AC8D">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rPr>
        <w:t>“十四五”期间规划</w:t>
      </w:r>
      <w:r>
        <w:rPr>
          <w:rFonts w:hint="eastAsia" w:ascii="仿宋" w:hAnsi="仿宋" w:cs="仿宋"/>
          <w:sz w:val="32"/>
          <w:szCs w:val="32"/>
          <w:lang w:val="zh-CN"/>
        </w:rPr>
        <w:t>建设森林质量精准</w:t>
      </w:r>
      <w:r>
        <w:rPr>
          <w:rFonts w:hint="eastAsia" w:ascii="仿宋" w:hAnsi="仿宋" w:cs="仿宋"/>
          <w:sz w:val="32"/>
          <w:szCs w:val="32"/>
        </w:rPr>
        <w:t>提升</w:t>
      </w:r>
      <w:r>
        <w:rPr>
          <w:rFonts w:hint="eastAsia" w:ascii="仿宋" w:hAnsi="仿宋" w:cs="仿宋"/>
          <w:sz w:val="32"/>
          <w:szCs w:val="32"/>
          <w:lang w:val="zh-CN"/>
        </w:rPr>
        <w:t>工程，建设全市木材战略储备林</w:t>
      </w:r>
      <w:r>
        <w:rPr>
          <w:rFonts w:hint="eastAsia" w:ascii="仿宋" w:hAnsi="仿宋" w:cs="仿宋"/>
          <w:sz w:val="32"/>
          <w:szCs w:val="32"/>
        </w:rPr>
        <w:t>1</w:t>
      </w:r>
      <w:r>
        <w:rPr>
          <w:rFonts w:hint="eastAsia" w:ascii="仿宋" w:hAnsi="仿宋" w:cs="仿宋"/>
          <w:sz w:val="32"/>
          <w:szCs w:val="32"/>
          <w:lang w:val="zh-CN"/>
        </w:rPr>
        <w:t>000公顷以上。其中：集约人工林栽培</w:t>
      </w:r>
      <w:r>
        <w:rPr>
          <w:rFonts w:hint="eastAsia" w:ascii="仿宋" w:hAnsi="仿宋" w:cs="仿宋"/>
          <w:sz w:val="32"/>
          <w:szCs w:val="32"/>
        </w:rPr>
        <w:t>1</w:t>
      </w:r>
      <w:r>
        <w:rPr>
          <w:rFonts w:hint="eastAsia" w:ascii="仿宋" w:hAnsi="仿宋" w:cs="仿宋"/>
          <w:sz w:val="32"/>
          <w:szCs w:val="32"/>
          <w:lang w:val="zh-CN"/>
        </w:rPr>
        <w:t>00公顷、现有林改培</w:t>
      </w:r>
      <w:r>
        <w:rPr>
          <w:rFonts w:hint="eastAsia" w:ascii="仿宋" w:hAnsi="仿宋" w:cs="仿宋"/>
          <w:sz w:val="32"/>
          <w:szCs w:val="32"/>
        </w:rPr>
        <w:t>2</w:t>
      </w:r>
      <w:r>
        <w:rPr>
          <w:rFonts w:hint="eastAsia" w:ascii="仿宋" w:hAnsi="仿宋" w:cs="仿宋"/>
          <w:sz w:val="32"/>
          <w:szCs w:val="32"/>
          <w:lang w:val="zh-CN"/>
        </w:rPr>
        <w:t>00公顷、中幼林抚育700公顷，依托</w:t>
      </w:r>
      <w:r>
        <w:rPr>
          <w:rFonts w:hint="eastAsia" w:ascii="仿宋" w:hAnsi="仿宋" w:cs="仿宋"/>
          <w:sz w:val="32"/>
          <w:szCs w:val="32"/>
        </w:rPr>
        <w:t>抱龙</w:t>
      </w:r>
      <w:r>
        <w:rPr>
          <w:rFonts w:hint="eastAsia" w:ascii="仿宋" w:hAnsi="仿宋" w:cs="仿宋"/>
          <w:sz w:val="32"/>
          <w:szCs w:val="32"/>
          <w:lang w:val="zh-CN"/>
        </w:rPr>
        <w:t>林场国有战略储备林基地，构建长效的木材安全保障体系，示范引领推动全市森林质量提升</w:t>
      </w:r>
      <w:r>
        <w:rPr>
          <w:rFonts w:hint="eastAsia" w:ascii="仿宋" w:hAnsi="仿宋" w:cs="仿宋"/>
          <w:sz w:val="32"/>
          <w:szCs w:val="32"/>
        </w:rPr>
        <w:t>。通过造林增加林地碳储量、强化森林经营提高林地固碳能力、天然林停伐增加森林固碳、国家战略储备林（大径材培育）提升林地产出增加森林固碳、保护现有森林减少毁林和森林退化的碳排放五个途径，实现增汇抵排。以高质量水源涵养林建设、低效林高质量改造、高质量森林抚育、国储林基地建设、大径材基地建设等方式方法，提高林地质量，增强林地承载力，增加林地碳储量，促进三亚市率先实现碳达峰碳中和。</w:t>
      </w:r>
    </w:p>
    <w:p w14:paraId="31426B9A">
      <w:pPr>
        <w:pStyle w:val="4"/>
        <w:spacing w:line="520" w:lineRule="exact"/>
        <w:rPr>
          <w:rFonts w:hint="eastAsia" w:ascii="仿宋" w:hAnsi="仿宋" w:eastAsia="仿宋" w:cs="仿宋"/>
        </w:rPr>
      </w:pPr>
      <w:bookmarkStart w:id="280" w:name="_Toc5844"/>
      <w:bookmarkStart w:id="281" w:name="_Toc9751"/>
      <w:r>
        <w:rPr>
          <w:rFonts w:hint="eastAsia" w:ascii="仿宋" w:hAnsi="仿宋" w:eastAsia="仿宋" w:cs="仿宋"/>
        </w:rPr>
        <w:t>6.6 助力乡村振兴战略</w:t>
      </w:r>
      <w:bookmarkEnd w:id="280"/>
      <w:bookmarkEnd w:id="281"/>
    </w:p>
    <w:p w14:paraId="5C26B1C5">
      <w:pPr>
        <w:spacing w:line="520" w:lineRule="exact"/>
        <w:ind w:firstLine="646" w:firstLineChars="202"/>
        <w:rPr>
          <w:rFonts w:hint="eastAsia" w:ascii="仿宋" w:hAnsi="仿宋" w:cs="仿宋"/>
          <w:sz w:val="32"/>
          <w:szCs w:val="32"/>
        </w:rPr>
      </w:pPr>
      <w:r>
        <w:rPr>
          <w:rFonts w:hint="eastAsia" w:ascii="仿宋" w:hAnsi="仿宋" w:cs="仿宋"/>
          <w:sz w:val="32"/>
          <w:szCs w:val="32"/>
        </w:rPr>
        <w:t>围绕三亚热带海滨风景名胜区、海棠湾、亚龙湾、崖州湾等重要景源景点及以全市区生态旅游为目标的全域旅游，在保障生态效益和依法依规前提下，适量适度利用林地发展生态旅游，开展全域旅游、森林康养、特色经济林、林下经济等，增加绿色生态产品供给，培育发展以康养、休闲、游憩为目的的健康产业，因地制宜发展森林康养、热带林果、生态采摘、珍贵用材等特色产业，有序发展林下经营活动，拓宽林地价值实现途径，有利于巩固生态脱贫成果，助力乡村振兴战略。</w:t>
      </w:r>
    </w:p>
    <w:p w14:paraId="537ECB50">
      <w:pPr>
        <w:spacing w:line="520" w:lineRule="exact"/>
        <w:jc w:val="center"/>
        <w:outlineLvl w:val="0"/>
        <w:rPr>
          <w:rFonts w:hint="eastAsia" w:ascii="黑体" w:hAnsi="黑体" w:eastAsia="黑体" w:cs="黑体"/>
          <w:b/>
          <w:kern w:val="44"/>
          <w:sz w:val="32"/>
          <w:szCs w:val="32"/>
        </w:rPr>
      </w:pPr>
      <w:r>
        <w:rPr>
          <w:rFonts w:hint="eastAsia" w:ascii="仿宋" w:hAnsi="仿宋" w:cs="仿宋"/>
          <w:sz w:val="32"/>
          <w:szCs w:val="32"/>
        </w:rPr>
        <w:br w:type="page"/>
      </w:r>
      <w:bookmarkStart w:id="282" w:name="_Toc22115"/>
      <w:r>
        <w:rPr>
          <w:rFonts w:hint="eastAsia" w:ascii="黑体" w:hAnsi="黑体" w:eastAsia="黑体" w:cs="黑体"/>
          <w:b/>
          <w:kern w:val="44"/>
          <w:sz w:val="32"/>
          <w:szCs w:val="32"/>
        </w:rPr>
        <w:t>第七章 林地治理体系与重点工程规划</w:t>
      </w:r>
      <w:bookmarkEnd w:id="282"/>
    </w:p>
    <w:p w14:paraId="424A9E12">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围绕林地保护利用的目标和任务，结合全市现有各项林业重点工程建设和规划，完善林地治理体系和规划林业重点工程，严格保护林地资源，提高林地生产力，实现林业高质量发展目标。认真组织构建规划监测评估预警体系，对林地保护利用规划实施中遇到的突发情况，或有突破约束性指标风险的情况及时预警，做到全面监测、定期评估和及时预警。每年对规划实施状态、年度任务的完成情况、主要指标完成进度、重点项目推进、工程开展的社会环境、技术支撑等情况进行评估，确需对规划进行修改和完善的，及时启动预警预案，组织指导需要修订的实施单位，在实施评价的基础上进行规划修编，报相关部门批准后颁布实施。</w:t>
      </w:r>
    </w:p>
    <w:p w14:paraId="439EE27E">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将规划中约束性指标：林地保有量、纳入林长制目标责任制考核内容。建立健全以党政领导负责制为核心的责任体系，通过建立纵向到底的责任体系，压实工作责任，考核结果作为地方有关党政领导干部综合考核评价和自然资源资产离任审计的重要依据。落实党政领导干部生态环境损害责任终身追究制，对造成林地、草地和湿地资源破坏的，严格按照有关规定追究责任。开展“森林督查”年度工作，牢固树立守土有责、守土负责、守土尽责意识，切实加强森林资源保护管理，督促</w:t>
      </w:r>
      <w:r>
        <w:rPr>
          <w:rFonts w:hint="eastAsia" w:ascii="仿宋" w:hAnsi="仿宋" w:cs="仿宋"/>
          <w:sz w:val="32"/>
          <w:szCs w:val="32"/>
        </w:rPr>
        <w:t>各区</w:t>
      </w:r>
      <w:r>
        <w:rPr>
          <w:rFonts w:hint="eastAsia" w:ascii="仿宋" w:hAnsi="仿宋" w:cs="仿宋"/>
          <w:sz w:val="32"/>
          <w:szCs w:val="32"/>
          <w:lang w:val="zh-CN"/>
        </w:rPr>
        <w:t>人民政府依法落实规划目标责任。</w:t>
      </w:r>
    </w:p>
    <w:p w14:paraId="4163E054">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本次林地保护利用重点工程规划包括5大体系建设：构建林业生态安全、发展林业产业、构建生态文化体系、构建林业法治体系、提升林业基础设施体系。</w:t>
      </w:r>
    </w:p>
    <w:p w14:paraId="2FA1C737">
      <w:pPr>
        <w:pStyle w:val="4"/>
        <w:spacing w:line="520" w:lineRule="exact"/>
        <w:rPr>
          <w:rFonts w:hint="eastAsia" w:ascii="仿宋" w:hAnsi="仿宋" w:eastAsia="仿宋" w:cs="仿宋"/>
        </w:rPr>
      </w:pPr>
      <w:bookmarkStart w:id="283" w:name="_Toc11629"/>
      <w:bookmarkStart w:id="284" w:name="_Toc7601"/>
      <w:r>
        <w:rPr>
          <w:rFonts w:hint="eastAsia" w:ascii="仿宋" w:hAnsi="仿宋" w:eastAsia="仿宋" w:cs="仿宋"/>
        </w:rPr>
        <w:t>7.1 构建林业生态安全体系</w:t>
      </w:r>
      <w:bookmarkEnd w:id="283"/>
      <w:bookmarkEnd w:id="284"/>
    </w:p>
    <w:p w14:paraId="6C645481">
      <w:pPr>
        <w:pStyle w:val="5"/>
        <w:spacing w:line="520" w:lineRule="exact"/>
        <w:rPr>
          <w:rFonts w:hint="eastAsia" w:ascii="仿宋" w:hAnsi="仿宋" w:eastAsia="仿宋" w:cs="仿宋"/>
        </w:rPr>
      </w:pPr>
      <w:bookmarkStart w:id="285" w:name="_Toc28246"/>
      <w:bookmarkStart w:id="286" w:name="_Toc24022"/>
      <w:bookmarkStart w:id="287" w:name="_Toc54856779"/>
      <w:bookmarkStart w:id="288" w:name="_Toc25112"/>
      <w:bookmarkStart w:id="289" w:name="_Toc17319"/>
      <w:bookmarkStart w:id="290" w:name="_Toc21400"/>
      <w:bookmarkStart w:id="291" w:name="_Toc88494725"/>
      <w:bookmarkStart w:id="292" w:name="_Toc63063132"/>
      <w:bookmarkStart w:id="293" w:name="_Toc1913"/>
      <w:r>
        <w:rPr>
          <w:rFonts w:hint="eastAsia" w:ascii="仿宋" w:hAnsi="仿宋" w:eastAsia="仿宋" w:cs="仿宋"/>
        </w:rPr>
        <w:t>7.1.1 加大自然保护地建设</w:t>
      </w:r>
      <w:bookmarkEnd w:id="285"/>
      <w:bookmarkEnd w:id="286"/>
      <w:bookmarkEnd w:id="287"/>
      <w:bookmarkEnd w:id="288"/>
      <w:bookmarkEnd w:id="289"/>
      <w:bookmarkEnd w:id="290"/>
      <w:bookmarkEnd w:id="291"/>
      <w:bookmarkEnd w:id="292"/>
      <w:bookmarkEnd w:id="293"/>
    </w:p>
    <w:p w14:paraId="600ADCA9">
      <w:pPr>
        <w:spacing w:line="520" w:lineRule="exact"/>
        <w:ind w:firstLine="646" w:firstLineChars="202"/>
        <w:rPr>
          <w:rFonts w:hint="eastAsia" w:ascii="仿宋" w:hAnsi="仿宋" w:cs="仿宋"/>
          <w:sz w:val="32"/>
          <w:szCs w:val="32"/>
          <w:lang w:val="zh-CN"/>
        </w:rPr>
      </w:pPr>
      <w:bookmarkStart w:id="294" w:name="_Hlk51249145"/>
      <w:r>
        <w:rPr>
          <w:rFonts w:hint="eastAsia" w:ascii="仿宋" w:hAnsi="仿宋" w:cs="仿宋"/>
          <w:sz w:val="32"/>
          <w:szCs w:val="32"/>
          <w:lang w:val="zh-CN"/>
        </w:rPr>
        <w:t>建设内容：</w:t>
      </w:r>
      <w:bookmarkEnd w:id="294"/>
      <w:r>
        <w:rPr>
          <w:rFonts w:hint="eastAsia" w:ascii="仿宋" w:hAnsi="仿宋" w:cs="仿宋"/>
          <w:sz w:val="32"/>
          <w:szCs w:val="32"/>
          <w:lang w:val="zh-CN"/>
        </w:rPr>
        <w:t>依法依规审核、报批各类自然保护地的新建和调整，切实加强对各类自然保护地的监管；完成海南大田国家级自然保护区</w:t>
      </w:r>
      <w:r>
        <w:rPr>
          <w:rFonts w:hint="eastAsia" w:ascii="仿宋" w:hAnsi="仿宋" w:cs="仿宋"/>
          <w:sz w:val="32"/>
          <w:szCs w:val="32"/>
        </w:rPr>
        <w:t>（三亚片区）</w:t>
      </w:r>
      <w:r>
        <w:rPr>
          <w:rFonts w:hint="eastAsia" w:ascii="仿宋" w:hAnsi="仿宋" w:cs="仿宋"/>
          <w:sz w:val="32"/>
          <w:szCs w:val="32"/>
          <w:lang w:val="zh-CN"/>
        </w:rPr>
        <w:t>、</w:t>
      </w:r>
      <w:r>
        <w:rPr>
          <w:rFonts w:hint="eastAsia" w:ascii="仿宋" w:hAnsi="仿宋" w:cs="仿宋"/>
          <w:sz w:val="32"/>
          <w:szCs w:val="32"/>
        </w:rPr>
        <w:t>三亚热带海滨风景名胜区、</w:t>
      </w:r>
      <w:r>
        <w:rPr>
          <w:rFonts w:hint="eastAsia" w:ascii="仿宋" w:hAnsi="仿宋" w:cs="仿宋"/>
          <w:sz w:val="32"/>
          <w:szCs w:val="32"/>
          <w:lang w:val="zh-CN"/>
        </w:rPr>
        <w:t>海南三亚</w:t>
      </w:r>
      <w:r>
        <w:rPr>
          <w:rFonts w:hint="eastAsia" w:ascii="仿宋" w:hAnsi="仿宋" w:cs="仿宋"/>
          <w:sz w:val="32"/>
          <w:szCs w:val="32"/>
        </w:rPr>
        <w:t>河国家级湿地公园</w:t>
      </w:r>
      <w:r>
        <w:rPr>
          <w:rFonts w:hint="eastAsia" w:ascii="仿宋" w:hAnsi="仿宋" w:cs="仿宋"/>
          <w:sz w:val="32"/>
          <w:szCs w:val="32"/>
          <w:lang w:val="zh-CN"/>
        </w:rPr>
        <w:t>、海南</w:t>
      </w:r>
      <w:r>
        <w:rPr>
          <w:rFonts w:hint="eastAsia" w:ascii="仿宋" w:hAnsi="仿宋" w:cs="仿宋"/>
          <w:sz w:val="32"/>
          <w:szCs w:val="32"/>
        </w:rPr>
        <w:t>甘什岭</w:t>
      </w:r>
      <w:r>
        <w:rPr>
          <w:rFonts w:hint="eastAsia" w:ascii="仿宋" w:hAnsi="仿宋" w:cs="仿宋"/>
          <w:sz w:val="32"/>
          <w:szCs w:val="32"/>
          <w:lang w:val="zh-CN"/>
        </w:rPr>
        <w:t>省级自然保护区、海南</w:t>
      </w:r>
      <w:r>
        <w:rPr>
          <w:rFonts w:hint="eastAsia" w:ascii="仿宋" w:hAnsi="仿宋" w:cs="仿宋"/>
          <w:sz w:val="32"/>
          <w:szCs w:val="32"/>
        </w:rPr>
        <w:t>三亚红树林省级自然保护区</w:t>
      </w:r>
      <w:r>
        <w:rPr>
          <w:rFonts w:hint="eastAsia" w:ascii="仿宋" w:hAnsi="仿宋" w:cs="仿宋"/>
          <w:sz w:val="32"/>
          <w:szCs w:val="32"/>
          <w:lang w:val="zh-CN"/>
        </w:rPr>
        <w:t>、</w:t>
      </w:r>
      <w:r>
        <w:rPr>
          <w:rFonts w:hint="eastAsia" w:ascii="仿宋" w:hAnsi="仿宋" w:cs="仿宋"/>
          <w:sz w:val="32"/>
          <w:szCs w:val="32"/>
        </w:rPr>
        <w:t>亚龙湾热带天堂森林公园</w:t>
      </w:r>
      <w:r>
        <w:rPr>
          <w:rFonts w:hint="eastAsia" w:ascii="仿宋" w:hAnsi="仿宋" w:cs="仿宋"/>
          <w:sz w:val="32"/>
          <w:szCs w:val="32"/>
          <w:lang w:val="zh-CN"/>
        </w:rPr>
        <w:t>总体规划</w:t>
      </w:r>
      <w:r>
        <w:rPr>
          <w:rFonts w:hint="eastAsia" w:ascii="仿宋" w:hAnsi="仿宋" w:cs="仿宋"/>
          <w:sz w:val="32"/>
          <w:szCs w:val="32"/>
        </w:rPr>
        <w:t>的编制（</w:t>
      </w:r>
      <w:r>
        <w:rPr>
          <w:rFonts w:hint="eastAsia" w:ascii="仿宋" w:hAnsi="仿宋" w:cs="仿宋"/>
          <w:sz w:val="32"/>
          <w:szCs w:val="32"/>
          <w:lang w:val="zh-CN"/>
        </w:rPr>
        <w:t>修编</w:t>
      </w:r>
      <w:r>
        <w:rPr>
          <w:rFonts w:hint="eastAsia" w:ascii="仿宋" w:hAnsi="仿宋" w:cs="仿宋"/>
          <w:sz w:val="32"/>
          <w:szCs w:val="32"/>
        </w:rPr>
        <w:t>）</w:t>
      </w:r>
      <w:r>
        <w:rPr>
          <w:rFonts w:hint="eastAsia" w:ascii="仿宋" w:hAnsi="仿宋" w:cs="仿宋"/>
          <w:sz w:val="32"/>
          <w:szCs w:val="32"/>
          <w:lang w:val="zh-CN"/>
        </w:rPr>
        <w:t>，完成自然保护地的勘界立标工作。组织实施各类自然保护地生态修复工程，推进自然保护地生态补偿机制建设；创新发展模式，积极探索各类自然地的特色旅游、生态补偿等形式，试点建设新型保护地社区，解决保护地及周边地区民生问题；提升智能林业综合管理平台建设，加强预警监测。完成自然保护地的勘界立标工作，显著提高自然保护地治理能力，充分发挥自然保护地生态功能、服务功能和文化功能。</w:t>
      </w:r>
    </w:p>
    <w:p w14:paraId="1BC02CB8">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建设目标及进度：至</w:t>
      </w:r>
      <w:r>
        <w:rPr>
          <w:rFonts w:hint="eastAsia" w:ascii="仿宋" w:hAnsi="仿宋" w:cs="仿宋"/>
          <w:sz w:val="32"/>
          <w:szCs w:val="32"/>
        </w:rPr>
        <w:t>规划期末</w:t>
      </w:r>
      <w:r>
        <w:rPr>
          <w:rFonts w:hint="eastAsia" w:ascii="仿宋" w:hAnsi="仿宋" w:cs="仿宋"/>
          <w:sz w:val="32"/>
          <w:szCs w:val="32"/>
          <w:lang w:val="zh-CN"/>
        </w:rPr>
        <w:t>，在</w:t>
      </w:r>
      <w:bookmarkStart w:id="295" w:name="_Hlk62548064"/>
      <w:r>
        <w:rPr>
          <w:rFonts w:hint="eastAsia" w:ascii="仿宋" w:hAnsi="仿宋" w:cs="仿宋"/>
          <w:sz w:val="32"/>
          <w:szCs w:val="32"/>
          <w:lang w:val="zh-CN"/>
        </w:rPr>
        <w:t>自然保护地整合优化</w:t>
      </w:r>
      <w:bookmarkEnd w:id="295"/>
      <w:r>
        <w:rPr>
          <w:rFonts w:hint="eastAsia" w:ascii="仿宋" w:hAnsi="仿宋" w:cs="仿宋"/>
          <w:sz w:val="32"/>
          <w:szCs w:val="32"/>
          <w:lang w:val="zh-CN"/>
        </w:rPr>
        <w:t>和生态保护红线评估基础上，</w:t>
      </w:r>
      <w:bookmarkStart w:id="296" w:name="_Hlk62548040"/>
      <w:r>
        <w:rPr>
          <w:rFonts w:hint="eastAsia" w:ascii="仿宋" w:hAnsi="仿宋" w:cs="仿宋"/>
          <w:sz w:val="32"/>
          <w:szCs w:val="32"/>
          <w:lang w:val="zh-CN"/>
        </w:rPr>
        <w:t>完成自然保护地整合优化后自然公园、自然保护区、风景自然公园的总体规划修编，</w:t>
      </w:r>
      <w:bookmarkStart w:id="297" w:name="_Hlk62548132"/>
      <w:r>
        <w:rPr>
          <w:rFonts w:hint="eastAsia" w:ascii="仿宋" w:hAnsi="仿宋" w:cs="仿宋"/>
          <w:sz w:val="32"/>
          <w:szCs w:val="32"/>
          <w:lang w:val="zh-CN"/>
        </w:rPr>
        <w:t>完成自然保护地的勘界立标工作。</w:t>
      </w:r>
      <w:bookmarkEnd w:id="296"/>
      <w:bookmarkEnd w:id="297"/>
    </w:p>
    <w:p w14:paraId="368042D8">
      <w:pPr>
        <w:pStyle w:val="5"/>
        <w:spacing w:before="200" w:after="200" w:line="520" w:lineRule="exact"/>
        <w:rPr>
          <w:rFonts w:hint="eastAsia" w:ascii="仿宋" w:hAnsi="仿宋" w:eastAsia="仿宋" w:cs="仿宋"/>
        </w:rPr>
      </w:pPr>
      <w:bookmarkStart w:id="298" w:name="_Toc88494726"/>
      <w:bookmarkStart w:id="299" w:name="_Toc30240"/>
      <w:bookmarkStart w:id="300" w:name="_Toc63063133"/>
      <w:bookmarkStart w:id="301" w:name="_Toc9696"/>
      <w:bookmarkStart w:id="302" w:name="_Toc800"/>
      <w:bookmarkStart w:id="303" w:name="_Toc671"/>
      <w:bookmarkStart w:id="304" w:name="_Toc7285"/>
      <w:bookmarkStart w:id="305" w:name="_Toc15164"/>
      <w:bookmarkStart w:id="306" w:name="_Toc54856780"/>
      <w:r>
        <w:rPr>
          <w:rFonts w:hint="eastAsia" w:ascii="仿宋" w:hAnsi="仿宋" w:eastAsia="仿宋" w:cs="仿宋"/>
        </w:rPr>
        <w:t>7.1.2 加强生态公益林和天然林保护</w:t>
      </w:r>
      <w:bookmarkEnd w:id="298"/>
      <w:bookmarkEnd w:id="299"/>
      <w:bookmarkEnd w:id="300"/>
      <w:bookmarkEnd w:id="301"/>
      <w:bookmarkEnd w:id="302"/>
      <w:bookmarkEnd w:id="303"/>
      <w:bookmarkEnd w:id="304"/>
      <w:bookmarkEnd w:id="305"/>
      <w:bookmarkEnd w:id="306"/>
    </w:p>
    <w:p w14:paraId="7191348E">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建设内容：认真执行各级林地保护利用规划，严禁擅自调整林地保护利用规划；严格执行占用征收林地定额和供地政策，严守生态红线，完善占用征收林地审核审批办法；全面</w:t>
      </w:r>
      <w:r>
        <w:rPr>
          <w:rFonts w:hint="eastAsia" w:ascii="仿宋" w:hAnsi="仿宋" w:cs="仿宋"/>
          <w:sz w:val="32"/>
          <w:szCs w:val="32"/>
        </w:rPr>
        <w:t>落实</w:t>
      </w:r>
      <w:r>
        <w:rPr>
          <w:rFonts w:hint="eastAsia" w:ascii="仿宋" w:hAnsi="仿宋" w:cs="仿宋"/>
          <w:sz w:val="32"/>
          <w:szCs w:val="32"/>
          <w:lang w:val="zh-CN"/>
        </w:rPr>
        <w:t>林长制，构建新的森林资源管理新机制；林业生态产品供给能力全面增强。</w:t>
      </w:r>
    </w:p>
    <w:p w14:paraId="6A9A0E7D">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建设目标及进度：至</w:t>
      </w:r>
      <w:r>
        <w:rPr>
          <w:rFonts w:hint="eastAsia" w:ascii="仿宋" w:hAnsi="仿宋" w:cs="仿宋"/>
          <w:sz w:val="32"/>
          <w:szCs w:val="32"/>
        </w:rPr>
        <w:t>规划期末</w:t>
      </w:r>
      <w:r>
        <w:rPr>
          <w:rFonts w:hint="eastAsia" w:ascii="仿宋" w:hAnsi="仿宋" w:cs="仿宋"/>
          <w:sz w:val="32"/>
          <w:szCs w:val="32"/>
          <w:lang w:val="zh-CN"/>
        </w:rPr>
        <w:t>，林地保有量在</w:t>
      </w:r>
      <w:r>
        <w:rPr>
          <w:rFonts w:hint="eastAsia" w:ascii="仿宋" w:hAnsi="仿宋" w:cs="仿宋"/>
          <w:sz w:val="32"/>
          <w:szCs w:val="32"/>
        </w:rPr>
        <w:t>97400</w:t>
      </w:r>
      <w:r>
        <w:rPr>
          <w:rFonts w:hint="eastAsia" w:ascii="仿宋" w:hAnsi="仿宋" w:cs="仿宋"/>
          <w:sz w:val="32"/>
          <w:szCs w:val="32"/>
          <w:lang w:val="zh-CN"/>
        </w:rPr>
        <w:t>公顷以上，森林保有量在</w:t>
      </w:r>
      <w:r>
        <w:rPr>
          <w:rFonts w:hint="eastAsia" w:ascii="仿宋" w:hAnsi="仿宋" w:cs="仿宋"/>
          <w:sz w:val="32"/>
          <w:szCs w:val="32"/>
        </w:rPr>
        <w:t>95000</w:t>
      </w:r>
      <w:r>
        <w:rPr>
          <w:rFonts w:hint="eastAsia" w:ascii="仿宋" w:hAnsi="仿宋" w:cs="仿宋"/>
          <w:sz w:val="32"/>
          <w:szCs w:val="32"/>
          <w:lang w:val="zh-CN"/>
        </w:rPr>
        <w:t>公顷以上，森林覆盖率稳定在</w:t>
      </w:r>
      <w:r>
        <w:rPr>
          <w:rFonts w:hint="eastAsia" w:ascii="仿宋" w:hAnsi="仿宋" w:cs="仿宋"/>
          <w:sz w:val="32"/>
          <w:szCs w:val="32"/>
        </w:rPr>
        <w:t>49</w:t>
      </w:r>
      <w:r>
        <w:rPr>
          <w:rFonts w:hint="eastAsia" w:ascii="仿宋" w:hAnsi="仿宋" w:cs="仿宋"/>
          <w:sz w:val="32"/>
          <w:szCs w:val="32"/>
          <w:lang w:val="zh-CN"/>
        </w:rPr>
        <w:t>%</w:t>
      </w:r>
      <w:r>
        <w:rPr>
          <w:rFonts w:hint="eastAsia" w:ascii="仿宋" w:hAnsi="仿宋" w:cs="仿宋"/>
          <w:sz w:val="32"/>
          <w:szCs w:val="32"/>
        </w:rPr>
        <w:t>以上</w:t>
      </w:r>
      <w:r>
        <w:rPr>
          <w:rFonts w:hint="eastAsia" w:ascii="仿宋" w:hAnsi="仿宋" w:cs="仿宋"/>
          <w:sz w:val="32"/>
          <w:szCs w:val="32"/>
          <w:lang w:val="zh-CN"/>
        </w:rPr>
        <w:t>，省级以上生态公益林保有量稳定在7</w:t>
      </w:r>
      <w:r>
        <w:rPr>
          <w:rFonts w:hint="eastAsia" w:ascii="仿宋" w:hAnsi="仿宋" w:cs="仿宋"/>
          <w:sz w:val="32"/>
          <w:szCs w:val="32"/>
        </w:rPr>
        <w:t>5400</w:t>
      </w:r>
      <w:r>
        <w:rPr>
          <w:rFonts w:hint="eastAsia" w:ascii="仿宋" w:hAnsi="仿宋" w:cs="仿宋"/>
          <w:sz w:val="32"/>
          <w:szCs w:val="32"/>
          <w:lang w:val="zh-CN"/>
        </w:rPr>
        <w:t>公顷</w:t>
      </w:r>
      <w:r>
        <w:rPr>
          <w:rFonts w:hint="eastAsia" w:ascii="仿宋" w:hAnsi="仿宋" w:cs="仿宋"/>
          <w:sz w:val="32"/>
          <w:szCs w:val="32"/>
        </w:rPr>
        <w:t>左右（不含红树林地）</w:t>
      </w:r>
      <w:r>
        <w:rPr>
          <w:rFonts w:hint="eastAsia" w:ascii="仿宋" w:hAnsi="仿宋" w:cs="仿宋"/>
          <w:sz w:val="32"/>
          <w:szCs w:val="32"/>
          <w:lang w:val="zh-CN"/>
        </w:rPr>
        <w:t>。</w:t>
      </w:r>
    </w:p>
    <w:p w14:paraId="332AC89F">
      <w:pPr>
        <w:pStyle w:val="5"/>
        <w:spacing w:before="200" w:after="200" w:line="520" w:lineRule="exact"/>
        <w:rPr>
          <w:rFonts w:hint="eastAsia" w:ascii="仿宋" w:hAnsi="仿宋" w:eastAsia="仿宋" w:cs="仿宋"/>
        </w:rPr>
      </w:pPr>
      <w:bookmarkStart w:id="307" w:name="_Toc28867"/>
      <w:bookmarkStart w:id="308" w:name="_Toc88494727"/>
      <w:bookmarkStart w:id="309" w:name="_Toc4451"/>
      <w:bookmarkStart w:id="310" w:name="_Toc17789"/>
      <w:bookmarkStart w:id="311" w:name="_Toc18921"/>
      <w:bookmarkStart w:id="312" w:name="_Toc11930"/>
      <w:r>
        <w:rPr>
          <w:rFonts w:hint="eastAsia" w:ascii="仿宋" w:hAnsi="仿宋" w:eastAsia="仿宋" w:cs="仿宋"/>
        </w:rPr>
        <w:t>7.1.3 强化森林碳汇功能</w:t>
      </w:r>
      <w:bookmarkEnd w:id="307"/>
      <w:bookmarkEnd w:id="308"/>
      <w:bookmarkEnd w:id="309"/>
      <w:bookmarkEnd w:id="310"/>
      <w:bookmarkEnd w:id="311"/>
      <w:bookmarkEnd w:id="312"/>
    </w:p>
    <w:p w14:paraId="0B5F553B">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内容：依托国家制定的海南省立地质量评价、退化林分修复、灌木林复壮更新、储备林培育、森林质量评价、森林质量提升工程评价等方面的技术标准和规程，形成相对完备的森林质量提升技术标准体系。解决林分过密过纯、</w:t>
      </w:r>
      <w:r>
        <w:rPr>
          <w:rFonts w:hint="eastAsia" w:ascii="仿宋" w:hAnsi="仿宋" w:cs="仿宋"/>
          <w:sz w:val="32"/>
          <w:szCs w:val="32"/>
        </w:rPr>
        <w:t>经济林比重过大、海防林退化</w:t>
      </w:r>
      <w:r>
        <w:rPr>
          <w:rFonts w:hint="eastAsia" w:ascii="仿宋" w:hAnsi="仿宋" w:cs="仿宋"/>
          <w:sz w:val="32"/>
          <w:szCs w:val="32"/>
          <w:lang w:val="zh-CN"/>
        </w:rPr>
        <w:t>的问题，由人工纯林向异龄复层混交林转变，由单一的木材生产经营向森林多功能近自然经营转变，有效遏制人工林退化，恢复增强生态屏障防护功能，全面提升森林质量，达到可持续经营与利用。培育</w:t>
      </w:r>
      <w:r>
        <w:rPr>
          <w:rFonts w:hint="eastAsia" w:ascii="仿宋" w:hAnsi="仿宋" w:cs="仿宋"/>
          <w:sz w:val="32"/>
          <w:szCs w:val="32"/>
        </w:rPr>
        <w:t>乡土</w:t>
      </w:r>
      <w:r>
        <w:rPr>
          <w:rFonts w:hint="eastAsia" w:ascii="仿宋" w:hAnsi="仿宋" w:cs="仿宋"/>
          <w:sz w:val="32"/>
          <w:szCs w:val="32"/>
          <w:lang w:val="zh-CN"/>
        </w:rPr>
        <w:t>树种混交林、先锋树种与演替后期树种混交林，发展以乡土树种、珍贵树种、大径级储备材、深根系树种、演替后期树种为建群种的混交林，形成多层次、冠层森林结构，提高森林质量和效益。增加和保护森林面积，提高森林质量，减少森林火灾和森林病虫害，植树造林，改善森林管理，减少毁林，保护和恢复森林植被等林业活动吸收和固定大气中的二氧化碳的功能。实施乔灌碳汇造林，乔木森林经营等项目全面提高林业碳汇功能。</w:t>
      </w:r>
    </w:p>
    <w:p w14:paraId="63556743">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建设目标及进度：至</w:t>
      </w:r>
      <w:r>
        <w:rPr>
          <w:rFonts w:hint="eastAsia" w:ascii="仿宋" w:hAnsi="仿宋" w:cs="仿宋"/>
          <w:sz w:val="32"/>
          <w:szCs w:val="32"/>
        </w:rPr>
        <w:t>规划期末</w:t>
      </w:r>
      <w:r>
        <w:rPr>
          <w:rFonts w:hint="eastAsia" w:ascii="仿宋" w:hAnsi="仿宋" w:cs="仿宋"/>
          <w:sz w:val="32"/>
          <w:szCs w:val="32"/>
          <w:lang w:val="zh-CN"/>
        </w:rPr>
        <w:t>，规划建设</w:t>
      </w:r>
      <w:r>
        <w:rPr>
          <w:rFonts w:hint="eastAsia" w:ascii="仿宋" w:hAnsi="仿宋" w:cs="仿宋"/>
          <w:sz w:val="32"/>
          <w:szCs w:val="32"/>
        </w:rPr>
        <w:t>1</w:t>
      </w:r>
      <w:r>
        <w:rPr>
          <w:rFonts w:hint="eastAsia" w:ascii="仿宋" w:hAnsi="仿宋" w:cs="仿宋"/>
          <w:sz w:val="32"/>
          <w:szCs w:val="32"/>
          <w:lang w:val="zh-CN"/>
        </w:rPr>
        <w:t>000公顷</w:t>
      </w:r>
      <w:r>
        <w:rPr>
          <w:rFonts w:hint="eastAsia" w:ascii="仿宋" w:hAnsi="仿宋" w:cs="仿宋"/>
          <w:sz w:val="32"/>
          <w:szCs w:val="32"/>
        </w:rPr>
        <w:t>低产低效林</w:t>
      </w:r>
      <w:r>
        <w:rPr>
          <w:rFonts w:hint="eastAsia" w:ascii="仿宋" w:hAnsi="仿宋" w:cs="仿宋"/>
          <w:sz w:val="32"/>
          <w:szCs w:val="32"/>
          <w:lang w:val="zh-CN"/>
        </w:rPr>
        <w:t>质量精准</w:t>
      </w:r>
      <w:r>
        <w:rPr>
          <w:rFonts w:hint="eastAsia" w:ascii="仿宋" w:hAnsi="仿宋" w:cs="仿宋"/>
          <w:sz w:val="32"/>
          <w:szCs w:val="32"/>
        </w:rPr>
        <w:t>提升</w:t>
      </w:r>
      <w:r>
        <w:rPr>
          <w:rFonts w:hint="eastAsia" w:ascii="仿宋" w:hAnsi="仿宋" w:cs="仿宋"/>
          <w:sz w:val="32"/>
          <w:szCs w:val="32"/>
          <w:lang w:val="zh-CN"/>
        </w:rPr>
        <w:t>工程，建设一批森林质量精准提升示范项目科研示范基地，示范引领推动全市森林质量提升。依托国有林场，构建森林质量精准提升体系，增加森林蓄积量，改造、改善森林管理方式，全面提高森林质量，增加森林生态系统的储碳功能。</w:t>
      </w:r>
    </w:p>
    <w:p w14:paraId="5E676355">
      <w:pPr>
        <w:pStyle w:val="5"/>
        <w:spacing w:before="200" w:after="200" w:line="520" w:lineRule="exact"/>
        <w:rPr>
          <w:rFonts w:hint="eastAsia" w:ascii="仿宋" w:hAnsi="仿宋" w:eastAsia="仿宋" w:cs="仿宋"/>
        </w:rPr>
      </w:pPr>
      <w:bookmarkStart w:id="313" w:name="_Toc5254"/>
      <w:bookmarkStart w:id="314" w:name="_Toc10282"/>
      <w:bookmarkStart w:id="315" w:name="_Toc23913"/>
      <w:bookmarkStart w:id="316" w:name="_Toc88494728"/>
      <w:bookmarkStart w:id="317" w:name="_Toc25512"/>
      <w:bookmarkStart w:id="318" w:name="_Toc27362"/>
      <w:bookmarkStart w:id="319" w:name="_Toc54856781"/>
      <w:bookmarkStart w:id="320" w:name="_Toc63063135"/>
      <w:bookmarkStart w:id="321" w:name="_Hlk51256008"/>
      <w:bookmarkStart w:id="322" w:name="_Toc23935"/>
      <w:r>
        <w:rPr>
          <w:rFonts w:hint="eastAsia" w:ascii="仿宋" w:hAnsi="仿宋" w:eastAsia="仿宋" w:cs="仿宋"/>
        </w:rPr>
        <w:t>7.1.4 国土绿化示点示范项目</w:t>
      </w:r>
      <w:bookmarkEnd w:id="313"/>
      <w:bookmarkEnd w:id="314"/>
      <w:bookmarkEnd w:id="315"/>
      <w:bookmarkEnd w:id="316"/>
      <w:bookmarkEnd w:id="317"/>
      <w:bookmarkEnd w:id="318"/>
    </w:p>
    <w:p w14:paraId="3F5AA698">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建设内容：实施国土绿化为抓手，统筹山水林田湖草综合治理和三亚河、</w:t>
      </w:r>
      <w:r>
        <w:rPr>
          <w:rFonts w:hint="eastAsia" w:ascii="仿宋" w:hAnsi="仿宋" w:cs="仿宋"/>
          <w:sz w:val="32"/>
          <w:szCs w:val="32"/>
        </w:rPr>
        <w:t>宁远河</w:t>
      </w:r>
      <w:r>
        <w:rPr>
          <w:rFonts w:hint="eastAsia" w:ascii="仿宋" w:hAnsi="仿宋" w:cs="仿宋"/>
          <w:sz w:val="32"/>
          <w:szCs w:val="32"/>
          <w:lang w:val="zh-CN"/>
        </w:rPr>
        <w:t>流域生态系统一体化保护修复，切实提升我市森林资源质量和固碳能力，完成营造林、低产</w:t>
      </w:r>
      <w:r>
        <w:rPr>
          <w:rFonts w:hint="eastAsia" w:ascii="仿宋" w:hAnsi="仿宋" w:cs="仿宋"/>
          <w:sz w:val="32"/>
          <w:szCs w:val="32"/>
        </w:rPr>
        <w:t>低效</w:t>
      </w:r>
      <w:r>
        <w:rPr>
          <w:rFonts w:hint="eastAsia" w:ascii="仿宋" w:hAnsi="仿宋" w:cs="仿宋"/>
          <w:sz w:val="32"/>
          <w:szCs w:val="32"/>
          <w:lang w:val="zh-CN"/>
        </w:rPr>
        <w:t>林改造</w:t>
      </w:r>
      <w:r>
        <w:rPr>
          <w:rFonts w:hint="eastAsia" w:ascii="仿宋" w:hAnsi="仿宋" w:cs="仿宋"/>
          <w:sz w:val="32"/>
          <w:szCs w:val="32"/>
        </w:rPr>
        <w:t>1</w:t>
      </w:r>
      <w:r>
        <w:rPr>
          <w:rFonts w:hint="eastAsia" w:ascii="仿宋" w:hAnsi="仿宋" w:cs="仿宋"/>
          <w:sz w:val="32"/>
          <w:szCs w:val="32"/>
          <w:lang w:val="zh-CN"/>
        </w:rPr>
        <w:t>万公顷，造林成活率达到85%以上。以林业碳汇为突破，以碳中和为路径，为三亚市举办的大型赛事、会展等提供碳中和产品，打造国土绿化生态价值转化示范样板；依托首批国家“互联网+全民义务植树”基地平台，创新全民义务植树积分激励机制等，为国土绿化贡献“三亚”经验。</w:t>
      </w:r>
    </w:p>
    <w:p w14:paraId="13B5F295">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建设目标及进度：至</w:t>
      </w:r>
      <w:r>
        <w:rPr>
          <w:rFonts w:hint="eastAsia" w:ascii="仿宋" w:hAnsi="仿宋" w:cs="仿宋"/>
          <w:sz w:val="32"/>
          <w:szCs w:val="32"/>
        </w:rPr>
        <w:t>规划期末</w:t>
      </w:r>
      <w:r>
        <w:rPr>
          <w:rFonts w:hint="eastAsia" w:ascii="仿宋" w:hAnsi="仿宋" w:cs="仿宋"/>
          <w:sz w:val="32"/>
          <w:szCs w:val="32"/>
          <w:lang w:val="zh-CN"/>
        </w:rPr>
        <w:t>，完成与三亚市国土绿化示点示范工程对接，坚持山水林田湖草生命共同体系统治理，按照整体保护、集中连片、系统修复、综合治理的方式，一体化推进低效林改造、林分结构优化、固碳能力提升、</w:t>
      </w:r>
      <w:r>
        <w:rPr>
          <w:rFonts w:hint="eastAsia" w:ascii="仿宋" w:hAnsi="仿宋" w:cs="仿宋"/>
          <w:sz w:val="32"/>
          <w:szCs w:val="32"/>
        </w:rPr>
        <w:t>特色林产品</w:t>
      </w:r>
      <w:r>
        <w:rPr>
          <w:rFonts w:hint="eastAsia" w:ascii="仿宋" w:hAnsi="仿宋" w:cs="仿宋"/>
          <w:sz w:val="32"/>
          <w:szCs w:val="32"/>
          <w:lang w:val="zh-CN"/>
        </w:rPr>
        <w:t>高产示范建设四大项目，服务“碳达峰、碳中和”大局。</w:t>
      </w:r>
    </w:p>
    <w:p w14:paraId="4627FE0B">
      <w:pPr>
        <w:pStyle w:val="5"/>
        <w:spacing w:before="200" w:after="200" w:line="520" w:lineRule="exact"/>
        <w:rPr>
          <w:rFonts w:hint="eastAsia" w:ascii="仿宋" w:hAnsi="仿宋" w:eastAsia="仿宋" w:cs="仿宋"/>
        </w:rPr>
      </w:pPr>
      <w:bookmarkStart w:id="323" w:name="_Toc5035"/>
      <w:bookmarkStart w:id="324" w:name="_Toc24310"/>
      <w:bookmarkStart w:id="325" w:name="_Toc26837"/>
      <w:bookmarkStart w:id="326" w:name="_Toc88494729"/>
      <w:bookmarkStart w:id="327" w:name="_Toc4870"/>
      <w:bookmarkStart w:id="328" w:name="_Toc20457"/>
      <w:r>
        <w:rPr>
          <w:rFonts w:hint="eastAsia" w:ascii="仿宋" w:hAnsi="仿宋" w:eastAsia="仿宋" w:cs="仿宋"/>
        </w:rPr>
        <w:t>7.1.5 推进乡村生态宜居建设</w:t>
      </w:r>
      <w:bookmarkEnd w:id="319"/>
      <w:bookmarkEnd w:id="320"/>
      <w:bookmarkEnd w:id="321"/>
      <w:bookmarkEnd w:id="322"/>
      <w:bookmarkEnd w:id="323"/>
      <w:r>
        <w:rPr>
          <w:rFonts w:hint="eastAsia" w:ascii="仿宋" w:hAnsi="仿宋" w:eastAsia="仿宋" w:cs="仿宋"/>
        </w:rPr>
        <w:t>-乡村绿化美化工程</w:t>
      </w:r>
      <w:bookmarkEnd w:id="324"/>
      <w:bookmarkEnd w:id="325"/>
      <w:bookmarkEnd w:id="326"/>
      <w:bookmarkEnd w:id="327"/>
      <w:bookmarkEnd w:id="328"/>
    </w:p>
    <w:p w14:paraId="0749C384">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建设内容：</w:t>
      </w:r>
      <w:r>
        <w:rPr>
          <w:rFonts w:hint="eastAsia" w:ascii="仿宋" w:hAnsi="仿宋" w:cs="仿宋"/>
          <w:sz w:val="32"/>
          <w:szCs w:val="32"/>
        </w:rPr>
        <w:t>以三亚国家森林城市创建工作为契机，</w:t>
      </w:r>
      <w:r>
        <w:rPr>
          <w:rFonts w:hint="eastAsia" w:ascii="仿宋" w:hAnsi="仿宋" w:cs="仿宋"/>
          <w:sz w:val="32"/>
          <w:szCs w:val="32"/>
          <w:lang w:val="zh-CN"/>
        </w:rPr>
        <w:t>以改善城乡人居环境为目标，大力发展乡村绿化美化，进一步提升村容村貌，改善农村人居环境。加强森林资源保护和培育，采取封山育林、补植补造等措施，着力提升森林生态功能，恢复乡村自然生态系统，</w:t>
      </w:r>
      <w:r>
        <w:rPr>
          <w:rFonts w:hint="eastAsia" w:ascii="仿宋" w:hAnsi="仿宋" w:cs="仿宋"/>
          <w:sz w:val="32"/>
          <w:szCs w:val="32"/>
        </w:rPr>
        <w:t>助力乡村振兴</w:t>
      </w:r>
      <w:r>
        <w:rPr>
          <w:rFonts w:hint="eastAsia" w:ascii="仿宋" w:hAnsi="仿宋" w:cs="仿宋"/>
          <w:sz w:val="32"/>
          <w:szCs w:val="32"/>
          <w:lang w:val="zh-CN"/>
        </w:rPr>
        <w:t>。</w:t>
      </w:r>
    </w:p>
    <w:p w14:paraId="33DE586D">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建设目标及进度：至</w:t>
      </w:r>
      <w:r>
        <w:rPr>
          <w:rFonts w:hint="eastAsia" w:ascii="仿宋" w:hAnsi="仿宋" w:cs="仿宋"/>
          <w:sz w:val="32"/>
          <w:szCs w:val="32"/>
        </w:rPr>
        <w:t>规划期末</w:t>
      </w:r>
      <w:r>
        <w:rPr>
          <w:rFonts w:hint="eastAsia" w:ascii="仿宋" w:hAnsi="仿宋" w:cs="仿宋"/>
          <w:sz w:val="32"/>
          <w:szCs w:val="32"/>
          <w:lang w:val="zh-CN"/>
        </w:rPr>
        <w:t>，全市乡村绿化以道路绿化、水系绿化、庭院绿化、乡村公园建设为重点，完成乡村绿化面积</w:t>
      </w:r>
      <w:r>
        <w:rPr>
          <w:rFonts w:hint="eastAsia" w:ascii="仿宋" w:hAnsi="仿宋" w:cs="仿宋"/>
          <w:sz w:val="32"/>
          <w:szCs w:val="32"/>
        </w:rPr>
        <w:t>1</w:t>
      </w:r>
      <w:r>
        <w:rPr>
          <w:rFonts w:hint="eastAsia" w:ascii="仿宋" w:hAnsi="仿宋" w:cs="仿宋"/>
          <w:sz w:val="32"/>
          <w:szCs w:val="32"/>
          <w:lang w:val="zh-CN"/>
        </w:rPr>
        <w:t>00公顷，创建美丽宜居村庄（森林乡村）10个，最美庭院100个。</w:t>
      </w:r>
    </w:p>
    <w:p w14:paraId="73F30D49">
      <w:pPr>
        <w:pStyle w:val="5"/>
        <w:spacing w:before="200" w:after="200" w:line="520" w:lineRule="exact"/>
        <w:rPr>
          <w:rFonts w:hint="eastAsia" w:ascii="仿宋" w:hAnsi="仿宋" w:eastAsia="仿宋" w:cs="仿宋"/>
        </w:rPr>
      </w:pPr>
      <w:bookmarkStart w:id="329" w:name="_Toc2896"/>
      <w:bookmarkStart w:id="330" w:name="_Toc88494730"/>
      <w:bookmarkStart w:id="331" w:name="_Toc15649"/>
      <w:bookmarkStart w:id="332" w:name="_Toc27849"/>
      <w:bookmarkStart w:id="333" w:name="_Toc9470"/>
      <w:bookmarkStart w:id="334" w:name="_Toc9883"/>
      <w:r>
        <w:rPr>
          <w:rFonts w:hint="eastAsia" w:ascii="仿宋" w:hAnsi="仿宋" w:eastAsia="仿宋" w:cs="仿宋"/>
        </w:rPr>
        <w:t>7.1.6 提升生态屏障功能</w:t>
      </w:r>
      <w:bookmarkEnd w:id="329"/>
      <w:bookmarkEnd w:id="330"/>
      <w:bookmarkEnd w:id="331"/>
      <w:bookmarkEnd w:id="332"/>
      <w:bookmarkEnd w:id="333"/>
      <w:bookmarkEnd w:id="334"/>
    </w:p>
    <w:p w14:paraId="4E51927E">
      <w:pPr>
        <w:pStyle w:val="6"/>
        <w:spacing w:before="0" w:after="0" w:line="520" w:lineRule="exact"/>
        <w:rPr>
          <w:rFonts w:hint="eastAsia" w:ascii="仿宋" w:hAnsi="仿宋" w:eastAsia="仿宋" w:cs="仿宋"/>
          <w:b w:val="0"/>
          <w:sz w:val="32"/>
          <w:szCs w:val="32"/>
        </w:rPr>
      </w:pPr>
      <w:r>
        <w:rPr>
          <w:rFonts w:hint="eastAsia" w:ascii="仿宋" w:hAnsi="仿宋" w:eastAsia="仿宋" w:cs="仿宋"/>
          <w:b w:val="0"/>
          <w:sz w:val="32"/>
          <w:szCs w:val="32"/>
        </w:rPr>
        <w:t>（1） 生态廊道建设项目</w:t>
      </w:r>
    </w:p>
    <w:p w14:paraId="2A6DD80C">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建设内容：针对三亚市重要的河流（</w:t>
      </w:r>
      <w:r>
        <w:rPr>
          <w:rFonts w:hint="eastAsia" w:ascii="仿宋" w:hAnsi="仿宋" w:cs="仿宋"/>
          <w:sz w:val="32"/>
          <w:szCs w:val="32"/>
        </w:rPr>
        <w:t>三亚河、宁远河、藤桥河</w:t>
      </w:r>
      <w:r>
        <w:rPr>
          <w:rFonts w:hint="eastAsia" w:ascii="仿宋" w:hAnsi="仿宋" w:cs="仿宋"/>
          <w:sz w:val="32"/>
          <w:szCs w:val="32"/>
          <w:lang w:val="zh-CN"/>
        </w:rPr>
        <w:t>）、公路（</w:t>
      </w:r>
      <w:r>
        <w:rPr>
          <w:rFonts w:hint="eastAsia" w:ascii="仿宋" w:hAnsi="仿宋" w:cs="仿宋"/>
          <w:sz w:val="32"/>
          <w:szCs w:val="32"/>
        </w:rPr>
        <w:t>环岛旅游公路</w:t>
      </w:r>
      <w:r>
        <w:rPr>
          <w:rFonts w:hint="eastAsia" w:ascii="仿宋" w:hAnsi="仿宋" w:cs="仿宋"/>
          <w:sz w:val="32"/>
          <w:szCs w:val="32"/>
          <w:lang w:val="zh-CN"/>
        </w:rPr>
        <w:t>）、高速路（</w:t>
      </w:r>
      <w:r>
        <w:rPr>
          <w:rFonts w:hint="eastAsia" w:ascii="仿宋" w:hAnsi="仿宋" w:cs="仿宋"/>
          <w:sz w:val="32"/>
          <w:szCs w:val="32"/>
        </w:rPr>
        <w:t>G98、山海高速</w:t>
      </w:r>
      <w:r>
        <w:rPr>
          <w:rFonts w:hint="eastAsia" w:ascii="仿宋" w:hAnsi="仿宋" w:cs="仿宋"/>
          <w:sz w:val="32"/>
          <w:szCs w:val="32"/>
          <w:lang w:val="zh-CN"/>
        </w:rPr>
        <w:t>）、铁路两侧及机场（</w:t>
      </w:r>
      <w:r>
        <w:rPr>
          <w:rFonts w:hint="eastAsia" w:ascii="仿宋" w:hAnsi="仿宋" w:cs="仿宋"/>
          <w:sz w:val="32"/>
          <w:szCs w:val="32"/>
        </w:rPr>
        <w:t>三亚新机场、三亚高铁站</w:t>
      </w:r>
      <w:r>
        <w:rPr>
          <w:rFonts w:hint="eastAsia" w:ascii="仿宋" w:hAnsi="仿宋" w:cs="仿宋"/>
          <w:sz w:val="32"/>
          <w:szCs w:val="32"/>
          <w:lang w:val="zh-CN"/>
        </w:rPr>
        <w:t>）、农村林网和农村两侧进行防护林建设，对已有防护林缺株断带、树种单一、防护功能较差的林带，进行补绿扩带、优化调整或更新改造，营造复层景观林，培育混交林，提高绿化美化水平。实行全面封山育林，严禁植被破坏，严禁改变林地用途，提高森林覆盖率。营造乔、灌、针阔混交林，加大植树造林力度，大力营造水源涵养林，限制用材林和经济林造林规模。</w:t>
      </w:r>
    </w:p>
    <w:p w14:paraId="530609E4">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建设目标及进度：至</w:t>
      </w:r>
      <w:r>
        <w:rPr>
          <w:rFonts w:hint="eastAsia" w:ascii="仿宋" w:hAnsi="仿宋" w:cs="仿宋"/>
          <w:sz w:val="32"/>
          <w:szCs w:val="32"/>
        </w:rPr>
        <w:t>规划期末</w:t>
      </w:r>
      <w:r>
        <w:rPr>
          <w:rFonts w:hint="eastAsia" w:ascii="仿宋" w:hAnsi="仿宋" w:cs="仿宋"/>
          <w:sz w:val="32"/>
          <w:szCs w:val="32"/>
          <w:lang w:val="zh-CN"/>
        </w:rPr>
        <w:t>，开展全市范围内的生态廊道提升建设，在河流、公路、铁路、机场等，通过增绿扩量，低质林改造和森林质量提升等方式，开展省级生态廊道、市级生态廊道建设，对脆弱环境进行生态修复。</w:t>
      </w:r>
    </w:p>
    <w:p w14:paraId="29B65F40">
      <w:pPr>
        <w:pStyle w:val="6"/>
        <w:spacing w:before="0" w:after="0" w:line="520" w:lineRule="exact"/>
        <w:rPr>
          <w:rFonts w:hint="eastAsia" w:ascii="仿宋" w:hAnsi="仿宋" w:eastAsia="仿宋" w:cs="仿宋"/>
          <w:b w:val="0"/>
          <w:sz w:val="32"/>
          <w:szCs w:val="32"/>
        </w:rPr>
      </w:pPr>
      <w:r>
        <w:rPr>
          <w:rFonts w:hint="eastAsia" w:ascii="仿宋" w:hAnsi="仿宋" w:eastAsia="仿宋" w:cs="仿宋"/>
          <w:b w:val="0"/>
          <w:sz w:val="32"/>
          <w:szCs w:val="32"/>
        </w:rPr>
        <w:t>（2） 海防林景观改造工程</w:t>
      </w:r>
    </w:p>
    <w:p w14:paraId="5470D18C">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建设内容：</w:t>
      </w:r>
      <w:r>
        <w:rPr>
          <w:rFonts w:hint="eastAsia" w:ascii="仿宋" w:hAnsi="仿宋" w:cs="仿宋"/>
          <w:sz w:val="32"/>
          <w:szCs w:val="32"/>
        </w:rPr>
        <w:t>重点针对破损、老化的木麻黄海防林带，开展</w:t>
      </w:r>
      <w:r>
        <w:rPr>
          <w:rFonts w:hint="eastAsia" w:ascii="仿宋" w:hAnsi="仿宋" w:cs="仿宋"/>
          <w:sz w:val="32"/>
          <w:szCs w:val="32"/>
          <w:lang w:val="zh-CN"/>
        </w:rPr>
        <w:t>海防林景观改造，全面调查全市海防林资源，制定全市海防林保护与景观改造总体规划，发布全市海防林景观改造方案，完善海防林保护、森林游憩、科普宣教体系，充分保护好海防林资源，提高海防林生物多样性，大力提升海防林景观质量，促进海防林社会效益和生态功能的充分发挥。</w:t>
      </w:r>
    </w:p>
    <w:p w14:paraId="0723C3A6">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建设目标及进度：至</w:t>
      </w:r>
      <w:r>
        <w:rPr>
          <w:rFonts w:hint="eastAsia" w:ascii="仿宋" w:hAnsi="仿宋" w:cs="仿宋"/>
          <w:sz w:val="32"/>
          <w:szCs w:val="32"/>
        </w:rPr>
        <w:t>规划期末</w:t>
      </w:r>
      <w:r>
        <w:rPr>
          <w:rFonts w:hint="eastAsia" w:ascii="仿宋" w:hAnsi="仿宋" w:cs="仿宋"/>
          <w:sz w:val="32"/>
          <w:szCs w:val="32"/>
          <w:lang w:val="zh-CN"/>
        </w:rPr>
        <w:t>，全市完成海防林景观改造50公顷，其中崖州科技城片区实施海防林景观改造20公顷。</w:t>
      </w:r>
    </w:p>
    <w:p w14:paraId="02157E57">
      <w:pPr>
        <w:pStyle w:val="6"/>
        <w:spacing w:before="0" w:after="0" w:line="520" w:lineRule="exact"/>
        <w:rPr>
          <w:rFonts w:hint="eastAsia" w:ascii="仿宋" w:hAnsi="仿宋" w:eastAsia="仿宋" w:cs="仿宋"/>
          <w:b w:val="0"/>
          <w:sz w:val="32"/>
          <w:szCs w:val="32"/>
        </w:rPr>
      </w:pPr>
      <w:r>
        <w:rPr>
          <w:rFonts w:hint="eastAsia" w:ascii="仿宋" w:hAnsi="仿宋" w:eastAsia="仿宋" w:cs="仿宋"/>
          <w:b w:val="0"/>
          <w:sz w:val="32"/>
          <w:szCs w:val="32"/>
        </w:rPr>
        <w:t>（3） 野生动植物保护工程</w:t>
      </w:r>
    </w:p>
    <w:p w14:paraId="0D9C8A94">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内容：加强野生动植物保护宣传，正确把握舆论方向；做好疫情防控工作，严厉查处破坏野生动物资源违法行为，妥善处理野生动物损害群众利益事件，稳定群众情绪；做好野生动植物行政许可办理工作；做好陆生野生动物保护和救护；做好禁食陆生野生动物退出补偿工作。建立全市野生动植物物种和重要栖息地系统编目，建立市内国家重点保护野生动植物资源数据库，并且实时动态更新。</w:t>
      </w:r>
    </w:p>
    <w:p w14:paraId="497D015F">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建设目标及进度：至</w:t>
      </w:r>
      <w:r>
        <w:rPr>
          <w:rFonts w:hint="eastAsia" w:ascii="仿宋" w:hAnsi="仿宋" w:cs="仿宋"/>
          <w:sz w:val="32"/>
          <w:szCs w:val="32"/>
        </w:rPr>
        <w:t>规划期末</w:t>
      </w:r>
      <w:r>
        <w:rPr>
          <w:rFonts w:hint="eastAsia" w:ascii="仿宋" w:hAnsi="仿宋" w:cs="仿宋"/>
          <w:sz w:val="32"/>
          <w:szCs w:val="32"/>
          <w:lang w:val="zh-CN"/>
        </w:rPr>
        <w:t>，建立全市野生动植物物种和重要栖息地系统编目，建立市内国家重点保护野生动植物资源数据库，实施动态更新,保护全市野生动植物资源。</w:t>
      </w:r>
    </w:p>
    <w:p w14:paraId="5BAA6D6E">
      <w:pPr>
        <w:pStyle w:val="4"/>
        <w:spacing w:line="520" w:lineRule="exact"/>
        <w:rPr>
          <w:rFonts w:hint="eastAsia" w:ascii="仿宋" w:hAnsi="仿宋" w:eastAsia="仿宋" w:cs="仿宋"/>
        </w:rPr>
      </w:pPr>
      <w:bookmarkStart w:id="335" w:name="_Toc31266"/>
      <w:bookmarkStart w:id="336" w:name="_Toc63063136"/>
      <w:bookmarkStart w:id="337" w:name="_Toc54856783"/>
      <w:bookmarkStart w:id="338" w:name="_Toc23763"/>
      <w:bookmarkStart w:id="339" w:name="_Toc88494731"/>
      <w:bookmarkStart w:id="340" w:name="_Toc8812"/>
      <w:bookmarkStart w:id="341" w:name="_Toc3485"/>
      <w:r>
        <w:rPr>
          <w:rFonts w:hint="eastAsia" w:ascii="仿宋" w:hAnsi="仿宋" w:eastAsia="仿宋" w:cs="仿宋"/>
        </w:rPr>
        <w:t>7.2 发展林业产业</w:t>
      </w:r>
      <w:bookmarkEnd w:id="335"/>
      <w:bookmarkEnd w:id="336"/>
      <w:bookmarkEnd w:id="337"/>
      <w:bookmarkEnd w:id="338"/>
      <w:bookmarkEnd w:id="339"/>
      <w:bookmarkEnd w:id="340"/>
      <w:bookmarkEnd w:id="341"/>
    </w:p>
    <w:p w14:paraId="3434FF96">
      <w:pPr>
        <w:spacing w:line="520" w:lineRule="exact"/>
        <w:ind w:firstLine="646" w:firstLineChars="202"/>
        <w:rPr>
          <w:rStyle w:val="54"/>
          <w:rFonts w:hint="eastAsia" w:ascii="仿宋" w:hAnsi="仿宋" w:eastAsia="仿宋" w:cs="仿宋"/>
          <w:color w:val="auto"/>
          <w:sz w:val="32"/>
          <w:szCs w:val="32"/>
        </w:rPr>
      </w:pPr>
      <w:r>
        <w:rPr>
          <w:rFonts w:hint="eastAsia" w:ascii="仿宋" w:hAnsi="仿宋" w:cs="仿宋"/>
          <w:sz w:val="32"/>
          <w:szCs w:val="32"/>
        </w:rPr>
        <w:t>7.2.1</w:t>
      </w:r>
      <w:r>
        <w:rPr>
          <w:rStyle w:val="54"/>
          <w:rFonts w:hint="eastAsia" w:ascii="仿宋" w:hAnsi="仿宋" w:eastAsia="仿宋" w:cs="仿宋"/>
          <w:color w:val="auto"/>
          <w:sz w:val="32"/>
          <w:szCs w:val="32"/>
        </w:rPr>
        <w:t>经济林产业</w:t>
      </w:r>
    </w:p>
    <w:p w14:paraId="703DE32C">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建设内容：充分发挥三亚市橡胶、</w:t>
      </w:r>
      <w:r>
        <w:rPr>
          <w:rFonts w:hint="eastAsia" w:ascii="仿宋" w:hAnsi="仿宋" w:cs="仿宋"/>
          <w:sz w:val="32"/>
          <w:szCs w:val="32"/>
        </w:rPr>
        <w:t>油茶</w:t>
      </w:r>
      <w:r>
        <w:rPr>
          <w:rFonts w:hint="eastAsia" w:ascii="仿宋" w:hAnsi="仿宋" w:cs="仿宋"/>
          <w:sz w:val="32"/>
          <w:szCs w:val="32"/>
          <w:lang w:val="zh-CN"/>
        </w:rPr>
        <w:t>、</w:t>
      </w:r>
      <w:r>
        <w:rPr>
          <w:rFonts w:hint="eastAsia" w:ascii="仿宋" w:hAnsi="仿宋" w:cs="仿宋"/>
          <w:sz w:val="32"/>
          <w:szCs w:val="32"/>
        </w:rPr>
        <w:t>椰子、</w:t>
      </w:r>
      <w:r>
        <w:rPr>
          <w:rFonts w:hint="eastAsia" w:ascii="仿宋" w:hAnsi="仿宋" w:cs="仿宋"/>
          <w:sz w:val="32"/>
          <w:szCs w:val="32"/>
          <w:lang w:val="zh-CN"/>
        </w:rPr>
        <w:t>槟榔等商品林产业优势，科学规划、合理布局、整合资源，深化提质增效和技术创新，同时采取坡面植草等防治水土流失措施，保护好橡胶、</w:t>
      </w:r>
      <w:r>
        <w:rPr>
          <w:rFonts w:hint="eastAsia" w:ascii="仿宋" w:hAnsi="仿宋" w:cs="仿宋"/>
          <w:sz w:val="32"/>
          <w:szCs w:val="32"/>
        </w:rPr>
        <w:t>油茶</w:t>
      </w:r>
      <w:r>
        <w:rPr>
          <w:rFonts w:hint="eastAsia" w:ascii="仿宋" w:hAnsi="仿宋" w:cs="仿宋"/>
          <w:sz w:val="32"/>
          <w:szCs w:val="32"/>
          <w:lang w:val="zh-CN"/>
        </w:rPr>
        <w:t>、</w:t>
      </w:r>
      <w:r>
        <w:rPr>
          <w:rFonts w:hint="eastAsia" w:ascii="仿宋" w:hAnsi="仿宋" w:cs="仿宋"/>
          <w:sz w:val="32"/>
          <w:szCs w:val="32"/>
        </w:rPr>
        <w:t>椰子、</w:t>
      </w:r>
      <w:r>
        <w:rPr>
          <w:rFonts w:hint="eastAsia" w:ascii="仿宋" w:hAnsi="仿宋" w:cs="仿宋"/>
          <w:sz w:val="32"/>
          <w:szCs w:val="32"/>
          <w:lang w:val="zh-CN"/>
        </w:rPr>
        <w:t>槟榔等</w:t>
      </w:r>
      <w:r>
        <w:rPr>
          <w:rFonts w:hint="eastAsia" w:ascii="仿宋" w:hAnsi="仿宋" w:cs="仿宋"/>
          <w:sz w:val="32"/>
          <w:szCs w:val="32"/>
        </w:rPr>
        <w:t>林地</w:t>
      </w:r>
      <w:r>
        <w:rPr>
          <w:rFonts w:hint="eastAsia" w:ascii="仿宋" w:hAnsi="仿宋" w:cs="仿宋"/>
          <w:sz w:val="32"/>
          <w:szCs w:val="32"/>
          <w:lang w:val="zh-CN"/>
        </w:rPr>
        <w:t>资源，推动三亚市经济林产业可持续发展。规划期加大对槟榔和椰子病虫害防控技术研究及推广，实现对槟榔和椰子病虫害的有效控制，提高产量；通过经济林改生态林，建设多功能价值的生态防护林体系；培育以天然橡胶生产或初加工为主的龙头企业或合作社，以及槟榔和椰子加工企业，延长产业链。推广采用“公司+合作社+农户+品牌+科技”的“五+模式”标准化生产管理模式，建设特色热带</w:t>
      </w:r>
      <w:r>
        <w:rPr>
          <w:rFonts w:hint="eastAsia" w:ascii="仿宋" w:hAnsi="仿宋" w:cs="仿宋"/>
          <w:sz w:val="32"/>
          <w:szCs w:val="32"/>
        </w:rPr>
        <w:t>经济林</w:t>
      </w:r>
      <w:r>
        <w:rPr>
          <w:rFonts w:hint="eastAsia" w:ascii="仿宋" w:hAnsi="仿宋" w:cs="仿宋"/>
          <w:sz w:val="32"/>
          <w:szCs w:val="32"/>
          <w:lang w:val="zh-CN"/>
        </w:rPr>
        <w:t>示范园；结合休闲观光旅游业，深化一二三产业融合发展。</w:t>
      </w:r>
    </w:p>
    <w:p w14:paraId="11410C58">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主要建设内容：</w:t>
      </w:r>
    </w:p>
    <w:p w14:paraId="07833B1A">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(1)产学研相结合。在科技、资金、设备等方面进行重点扶持，全面提高</w:t>
      </w:r>
      <w:r>
        <w:rPr>
          <w:rFonts w:hint="eastAsia" w:ascii="仿宋" w:hAnsi="仿宋" w:cs="仿宋"/>
          <w:sz w:val="32"/>
          <w:szCs w:val="32"/>
        </w:rPr>
        <w:t>特色林果</w:t>
      </w:r>
      <w:r>
        <w:rPr>
          <w:rFonts w:hint="eastAsia" w:ascii="仿宋" w:hAnsi="仿宋" w:cs="仿宋"/>
          <w:sz w:val="32"/>
          <w:szCs w:val="32"/>
          <w:lang w:val="zh-CN"/>
        </w:rPr>
        <w:t xml:space="preserve">的品质和产量；针对槟榔主要病虫害开展化学防治、农业防治、生物防治和物理防治相结合的综合防治方法，将槟榔病虫害控制在3‰以下；增加对椰子的优质高效栽培、优良品种选育、品种资源保护，以及对椰子有害生物的应急防控和可持续控制等技术研发与集成，进一步提高椰子产能。 </w:t>
      </w:r>
    </w:p>
    <w:p w14:paraId="507F1196">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(2)改造低产经济林。科学管理</w:t>
      </w:r>
      <w:r>
        <w:rPr>
          <w:rFonts w:hint="eastAsia" w:ascii="仿宋" w:hAnsi="仿宋" w:cs="仿宋"/>
          <w:sz w:val="32"/>
          <w:szCs w:val="32"/>
        </w:rPr>
        <w:t>各类果木林地</w:t>
      </w:r>
      <w:r>
        <w:rPr>
          <w:rFonts w:hint="eastAsia" w:ascii="仿宋" w:hAnsi="仿宋" w:cs="仿宋"/>
          <w:sz w:val="32"/>
          <w:szCs w:val="32"/>
          <w:lang w:val="zh-CN"/>
        </w:rPr>
        <w:t>，规范经营管理，从而提高</w:t>
      </w:r>
      <w:r>
        <w:rPr>
          <w:rFonts w:hint="eastAsia" w:ascii="仿宋" w:hAnsi="仿宋" w:cs="仿宋"/>
          <w:sz w:val="32"/>
          <w:szCs w:val="32"/>
        </w:rPr>
        <w:t>特色林果</w:t>
      </w:r>
      <w:r>
        <w:rPr>
          <w:rFonts w:hint="eastAsia" w:ascii="仿宋" w:hAnsi="仿宋" w:cs="仿宋"/>
          <w:sz w:val="32"/>
          <w:szCs w:val="32"/>
          <w:lang w:val="zh-CN"/>
        </w:rPr>
        <w:t>产量和产值；因地制宜，在合适的区域新造槟榔；</w:t>
      </w:r>
      <w:r>
        <w:rPr>
          <w:rFonts w:hint="eastAsia" w:ascii="仿宋" w:hAnsi="仿宋" w:cs="仿宋"/>
          <w:sz w:val="32"/>
          <w:szCs w:val="32"/>
        </w:rPr>
        <w:t>在橡胶保护区范围内</w:t>
      </w:r>
      <w:r>
        <w:rPr>
          <w:rFonts w:hint="eastAsia" w:ascii="仿宋" w:hAnsi="仿宋" w:cs="仿宋"/>
          <w:sz w:val="32"/>
          <w:szCs w:val="32"/>
          <w:lang w:val="zh-CN"/>
        </w:rPr>
        <w:t>，推广现代胶园管理技术，打造现代标准化示范胶园；</w:t>
      </w:r>
    </w:p>
    <w:p w14:paraId="35D289B9">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(3)经济林改生态林。在重要饮用水源地周边，实施</w:t>
      </w:r>
      <w:r>
        <w:rPr>
          <w:rFonts w:hint="eastAsia" w:ascii="仿宋" w:hAnsi="仿宋" w:cs="仿宋"/>
          <w:sz w:val="32"/>
          <w:szCs w:val="32"/>
        </w:rPr>
        <w:t>退果还林</w:t>
      </w:r>
      <w:r>
        <w:rPr>
          <w:rFonts w:hint="eastAsia" w:ascii="仿宋" w:hAnsi="仿宋" w:cs="仿宋"/>
          <w:sz w:val="32"/>
          <w:szCs w:val="32"/>
          <w:lang w:val="zh-CN"/>
        </w:rPr>
        <w:t>工程。</w:t>
      </w:r>
    </w:p>
    <w:p w14:paraId="68FA5D10">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(4)经济林产品深加工。引进先进的生产设备和企业，建设</w:t>
      </w:r>
      <w:r>
        <w:rPr>
          <w:rFonts w:hint="eastAsia" w:ascii="仿宋" w:hAnsi="仿宋" w:cs="仿宋"/>
          <w:sz w:val="32"/>
          <w:szCs w:val="32"/>
        </w:rPr>
        <w:t>椰子、</w:t>
      </w:r>
      <w:r>
        <w:rPr>
          <w:rFonts w:hint="eastAsia" w:ascii="仿宋" w:hAnsi="仿宋" w:cs="仿宋"/>
          <w:sz w:val="32"/>
          <w:szCs w:val="32"/>
          <w:lang w:val="zh-CN"/>
        </w:rPr>
        <w:t>橡胶、</w:t>
      </w:r>
      <w:r>
        <w:rPr>
          <w:rFonts w:hint="eastAsia" w:ascii="仿宋" w:hAnsi="仿宋" w:cs="仿宋"/>
          <w:sz w:val="32"/>
          <w:szCs w:val="32"/>
        </w:rPr>
        <w:t>油茶</w:t>
      </w:r>
      <w:r>
        <w:rPr>
          <w:rFonts w:hint="eastAsia" w:ascii="仿宋" w:hAnsi="仿宋" w:cs="仿宋"/>
          <w:sz w:val="32"/>
          <w:szCs w:val="32"/>
          <w:lang w:val="zh-CN"/>
        </w:rPr>
        <w:t>产品深加工基地；引进和培育大型槟榔加工企业，鼓励槟榔企业设立研发机构，增强企业的创新能力；联合椰树和春光等知名企业共同开展精深产品加工研究工作，大力发展椰子深加工产品，提高产品科技含金量和附加值；在生态胶园开展林下种、养殖业，促进天然橡胶产业融合发展，开发天然橡胶旅游等附加价值，推进橡胶木材、橡胶籽等橡胶综合利用。</w:t>
      </w:r>
    </w:p>
    <w:p w14:paraId="67D12D5D">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(5)特色热带</w:t>
      </w:r>
      <w:r>
        <w:rPr>
          <w:rFonts w:hint="eastAsia" w:ascii="仿宋" w:hAnsi="仿宋" w:cs="仿宋"/>
          <w:sz w:val="32"/>
          <w:szCs w:val="32"/>
        </w:rPr>
        <w:t>林</w:t>
      </w:r>
      <w:r>
        <w:rPr>
          <w:rFonts w:hint="eastAsia" w:ascii="仿宋" w:hAnsi="仿宋" w:cs="仿宋"/>
          <w:sz w:val="32"/>
          <w:szCs w:val="32"/>
          <w:lang w:val="zh-CN"/>
        </w:rPr>
        <w:t>果示范园。推广采用“公司+合作社+农户+品牌+科技”的“五+模式”标准化生产管理模式，发挥示范引领作用，实现三亚市林果产业的绿色可持续发展。</w:t>
      </w:r>
    </w:p>
    <w:p w14:paraId="5EC640F8">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(6)深化一二三产业融合发展。以热带</w:t>
      </w:r>
      <w:r>
        <w:rPr>
          <w:rFonts w:hint="eastAsia" w:ascii="仿宋" w:hAnsi="仿宋" w:cs="仿宋"/>
          <w:sz w:val="32"/>
          <w:szCs w:val="32"/>
        </w:rPr>
        <w:t>林</w:t>
      </w:r>
      <w:r>
        <w:rPr>
          <w:rFonts w:hint="eastAsia" w:ascii="仿宋" w:hAnsi="仿宋" w:cs="仿宋"/>
          <w:sz w:val="32"/>
          <w:szCs w:val="32"/>
          <w:lang w:val="zh-CN"/>
        </w:rPr>
        <w:t>果为主题，多元化发展特色</w:t>
      </w:r>
      <w:r>
        <w:rPr>
          <w:rFonts w:hint="eastAsia" w:ascii="仿宋" w:hAnsi="仿宋" w:cs="仿宋"/>
          <w:sz w:val="32"/>
          <w:szCs w:val="32"/>
        </w:rPr>
        <w:t>林</w:t>
      </w:r>
      <w:r>
        <w:rPr>
          <w:rFonts w:hint="eastAsia" w:ascii="仿宋" w:hAnsi="仿宋" w:cs="仿宋"/>
          <w:sz w:val="32"/>
          <w:szCs w:val="32"/>
          <w:lang w:val="zh-CN"/>
        </w:rPr>
        <w:t xml:space="preserve">果；深入挖掘利用好椰子文化，发展椰子文化产业，打造特色鲜明的椰子文化旅游。 </w:t>
      </w:r>
    </w:p>
    <w:p w14:paraId="76B7516B">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建设规模：至规划期末，产学研相结合，增加科技、资金投入，提高</w:t>
      </w:r>
      <w:r>
        <w:rPr>
          <w:rFonts w:hint="eastAsia" w:ascii="仿宋" w:hAnsi="仿宋" w:cs="仿宋"/>
          <w:sz w:val="32"/>
          <w:szCs w:val="32"/>
        </w:rPr>
        <w:t>科技成果转化力度，增加优质</w:t>
      </w:r>
      <w:r>
        <w:rPr>
          <w:rFonts w:hint="eastAsia" w:ascii="仿宋" w:hAnsi="仿宋" w:cs="仿宋"/>
          <w:sz w:val="32"/>
          <w:szCs w:val="32"/>
          <w:lang w:val="zh-CN"/>
        </w:rPr>
        <w:t>经济林产品产量；改造</w:t>
      </w:r>
      <w:r>
        <w:rPr>
          <w:rFonts w:hint="eastAsia" w:ascii="仿宋" w:hAnsi="仿宋" w:cs="仿宋"/>
          <w:sz w:val="32"/>
          <w:szCs w:val="32"/>
        </w:rPr>
        <w:t>槟榔</w:t>
      </w:r>
      <w:r>
        <w:rPr>
          <w:rFonts w:hint="eastAsia" w:ascii="仿宋" w:hAnsi="仿宋" w:cs="仿宋"/>
          <w:sz w:val="32"/>
          <w:szCs w:val="32"/>
          <w:lang w:val="zh-CN"/>
        </w:rPr>
        <w:t>种植面积1000公顷，建设现代标准化示范橡胶园 2000公顷；实施经济林改生态林总面积300公顷；深化一二三产业融合工程1项。</w:t>
      </w:r>
    </w:p>
    <w:p w14:paraId="71BB6237">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 xml:space="preserve">建设范围：全市范围。 </w:t>
      </w:r>
    </w:p>
    <w:p w14:paraId="3CB3CAFF">
      <w:pPr>
        <w:spacing w:line="520" w:lineRule="exact"/>
        <w:ind w:firstLine="640" w:firstLineChars="200"/>
        <w:rPr>
          <w:rFonts w:hint="eastAsia" w:ascii="仿宋" w:hAnsi="仿宋" w:cs="仿宋"/>
          <w:sz w:val="32"/>
          <w:szCs w:val="32"/>
        </w:rPr>
      </w:pPr>
      <w:r>
        <w:rPr>
          <w:rFonts w:hint="eastAsia" w:ascii="仿宋" w:hAnsi="仿宋" w:cs="仿宋"/>
          <w:sz w:val="32"/>
          <w:szCs w:val="32"/>
        </w:rPr>
        <w:t>7.2.2林下经济产业</w:t>
      </w:r>
    </w:p>
    <w:p w14:paraId="587F6B95">
      <w:pPr>
        <w:spacing w:line="520" w:lineRule="exact"/>
        <w:ind w:firstLine="640" w:firstLineChars="200"/>
        <w:rPr>
          <w:rFonts w:hint="eastAsia" w:ascii="仿宋" w:hAnsi="仿宋" w:cs="仿宋"/>
          <w:sz w:val="32"/>
          <w:szCs w:val="32"/>
          <w:lang w:val="zh-CN"/>
        </w:rPr>
      </w:pPr>
      <w:r>
        <w:rPr>
          <w:rFonts w:hint="eastAsia" w:ascii="仿宋" w:hAnsi="仿宋" w:cs="仿宋"/>
          <w:sz w:val="32"/>
          <w:szCs w:val="32"/>
          <w:lang w:val="zh-CN"/>
        </w:rPr>
        <w:t>建设内容：以兴林富民为目标，以林地林木资源为依托，以保护生态环境为前提，积极发展林下种养殖及相关产业充分利用林下空间，深入挖掘鸡、</w:t>
      </w:r>
      <w:r>
        <w:rPr>
          <w:rFonts w:hint="eastAsia" w:ascii="仿宋" w:hAnsi="仿宋" w:cs="仿宋"/>
          <w:sz w:val="32"/>
          <w:szCs w:val="32"/>
        </w:rPr>
        <w:t>鸭、</w:t>
      </w:r>
      <w:r>
        <w:rPr>
          <w:rFonts w:hint="eastAsia" w:ascii="仿宋" w:hAnsi="仿宋" w:cs="仿宋"/>
          <w:sz w:val="32"/>
          <w:szCs w:val="32"/>
          <w:lang w:val="zh-CN"/>
        </w:rPr>
        <w:t>牛、猪、</w:t>
      </w:r>
      <w:r>
        <w:rPr>
          <w:rFonts w:hint="eastAsia" w:ascii="仿宋" w:hAnsi="仿宋" w:cs="仿宋"/>
          <w:sz w:val="32"/>
          <w:szCs w:val="32"/>
        </w:rPr>
        <w:t>羊</w:t>
      </w:r>
      <w:r>
        <w:rPr>
          <w:rFonts w:hint="eastAsia" w:ascii="仿宋" w:hAnsi="仿宋" w:cs="仿宋"/>
          <w:sz w:val="32"/>
          <w:szCs w:val="32"/>
          <w:lang w:val="zh-CN"/>
        </w:rPr>
        <w:t>、蜂等地方优良品种资源潜力，推进以林果草、林禽、林菌、林蜂发展模式。</w:t>
      </w:r>
    </w:p>
    <w:p w14:paraId="2B4F0FE4">
      <w:pPr>
        <w:spacing w:line="520" w:lineRule="exact"/>
        <w:ind w:firstLine="640" w:firstLineChars="200"/>
        <w:rPr>
          <w:rFonts w:hint="eastAsia" w:ascii="仿宋" w:hAnsi="仿宋" w:cs="仿宋"/>
          <w:sz w:val="32"/>
          <w:szCs w:val="32"/>
          <w:lang w:val="zh-CN"/>
        </w:rPr>
      </w:pPr>
      <w:r>
        <w:rPr>
          <w:rFonts w:hint="eastAsia" w:ascii="仿宋" w:hAnsi="仿宋" w:cs="仿宋"/>
          <w:sz w:val="32"/>
          <w:szCs w:val="32"/>
          <w:lang w:val="zh-CN"/>
        </w:rPr>
        <w:t>主要建设内容：(1)林下经济研究中心。建立以三亚市林业科学研究院为主体的林下经济研究中心，以研发动物养殖和中药材、菌类、中药等林下经济产品为研究目标，打造多形式多层次的科技创新平台体系，为林下种植产业带来科技支撑。</w:t>
      </w:r>
    </w:p>
    <w:p w14:paraId="132172BA">
      <w:pPr>
        <w:spacing w:line="520" w:lineRule="exact"/>
        <w:ind w:firstLine="640" w:firstLineChars="200"/>
        <w:rPr>
          <w:rFonts w:hint="eastAsia" w:ascii="仿宋" w:hAnsi="仿宋" w:cs="仿宋"/>
          <w:sz w:val="32"/>
          <w:szCs w:val="32"/>
          <w:lang w:val="zh-CN"/>
        </w:rPr>
      </w:pPr>
      <w:r>
        <w:rPr>
          <w:rFonts w:hint="eastAsia" w:ascii="仿宋" w:hAnsi="仿宋" w:cs="仿宋"/>
          <w:sz w:val="32"/>
          <w:szCs w:val="32"/>
          <w:lang w:val="zh-CN"/>
        </w:rPr>
        <w:t>(2)现代林下经济产业示范基地。重点发展以石斛类、巴戟天、牛大力、天门冬、重楼、黄精、白芨、食用菌类、林下花卉等林下种植产品，重点发展蜂、鸡、鸽、羊等林下养殖产品，实行标准化生产，建设现代林下经济产业示范基地。</w:t>
      </w:r>
    </w:p>
    <w:p w14:paraId="053AF555">
      <w:pPr>
        <w:spacing w:line="520" w:lineRule="exact"/>
        <w:ind w:firstLine="640" w:firstLineChars="200"/>
        <w:rPr>
          <w:rFonts w:hint="eastAsia" w:ascii="仿宋" w:hAnsi="仿宋" w:cs="仿宋"/>
          <w:sz w:val="32"/>
          <w:szCs w:val="32"/>
          <w:lang w:val="zh-CN"/>
        </w:rPr>
      </w:pPr>
      <w:r>
        <w:rPr>
          <w:rFonts w:hint="eastAsia" w:ascii="仿宋" w:hAnsi="仿宋" w:cs="仿宋"/>
          <w:sz w:val="32"/>
          <w:szCs w:val="32"/>
          <w:lang w:val="zh-CN"/>
        </w:rPr>
        <w:t>(3)发展林下经济旅游产业。大力发展林下旅游产业，倡导旅游观光、休闲度假、康复疗养等，提高产品附加值，促进产业融合。</w:t>
      </w:r>
    </w:p>
    <w:p w14:paraId="41E2745A">
      <w:pPr>
        <w:spacing w:line="520" w:lineRule="exact"/>
        <w:ind w:firstLine="640" w:firstLineChars="200"/>
        <w:rPr>
          <w:rFonts w:hint="eastAsia" w:ascii="仿宋" w:hAnsi="仿宋" w:cs="仿宋"/>
          <w:sz w:val="32"/>
          <w:szCs w:val="32"/>
          <w:lang w:val="zh-CN"/>
        </w:rPr>
      </w:pPr>
      <w:r>
        <w:rPr>
          <w:rFonts w:hint="eastAsia" w:ascii="仿宋" w:hAnsi="仿宋" w:cs="仿宋"/>
          <w:sz w:val="32"/>
          <w:szCs w:val="32"/>
          <w:lang w:val="zh-CN"/>
        </w:rPr>
        <w:t>(4)培育新型林业经营主体。鼓励以家庭成员为主要劳动力、以经营林业为主要收入来源、引导家庭林场开展与自身劳动力数量、经营管理能力、技术装备水平、投融资能力相匹配的适度规模经营，逐步建成标准化生产、规范化管理、品牌化营销的新型林业经营主体。</w:t>
      </w:r>
    </w:p>
    <w:p w14:paraId="27967C8F">
      <w:pPr>
        <w:spacing w:line="520" w:lineRule="exact"/>
        <w:ind w:firstLine="640" w:firstLineChars="200"/>
        <w:rPr>
          <w:rFonts w:hint="eastAsia" w:ascii="仿宋" w:hAnsi="仿宋" w:cs="仿宋"/>
          <w:sz w:val="32"/>
          <w:szCs w:val="32"/>
          <w:lang w:val="zh-CN"/>
        </w:rPr>
      </w:pPr>
      <w:r>
        <w:rPr>
          <w:rFonts w:hint="eastAsia" w:ascii="仿宋" w:hAnsi="仿宋" w:cs="仿宋"/>
          <w:sz w:val="32"/>
          <w:szCs w:val="32"/>
          <w:lang w:val="zh-CN"/>
        </w:rPr>
        <w:t>(5)培育壮大林业产业龙头企业。加强招商引资力度，支持林业产业龙头企业转型升级，鼓励和引导工商资本到农村发展适合企业化经营的林业产业，鼓励林业产业龙头企业通过“公司+合作社+农户+基地”、“公司+农户+基地”等经营模式与农户构建紧密利益联结机制，充分发挥龙头企业带动作用。</w:t>
      </w:r>
    </w:p>
    <w:p w14:paraId="533547F3">
      <w:pPr>
        <w:spacing w:line="520" w:lineRule="exact"/>
        <w:ind w:firstLine="640" w:firstLineChars="200"/>
        <w:rPr>
          <w:rFonts w:hint="eastAsia" w:ascii="仿宋" w:hAnsi="仿宋" w:cs="仿宋"/>
          <w:sz w:val="32"/>
          <w:szCs w:val="32"/>
          <w:lang w:val="zh-CN"/>
        </w:rPr>
      </w:pPr>
      <w:r>
        <w:rPr>
          <w:rFonts w:hint="eastAsia" w:ascii="仿宋" w:hAnsi="仿宋" w:cs="仿宋"/>
          <w:sz w:val="32"/>
          <w:szCs w:val="32"/>
          <w:lang w:val="zh-CN"/>
        </w:rPr>
        <w:t>(6)建立特色南药、黎药展销中心。以林产品交易中心和会展中心建设工程为依托，建设南药、黎药展销专栏，营造林下产品网上交易市场平台或实体交易市场，畅通产品销售渠道，充分利用电商平台，解决林下产品销售问题，为林产品的销售提供一条绿色途径。</w:t>
      </w:r>
    </w:p>
    <w:p w14:paraId="3E16127D">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建设规模：新建林下经济研究中心1处；新建现代林下经济示范基地8个，打造林下经济全区域覆盖；发展</w:t>
      </w:r>
      <w:r>
        <w:rPr>
          <w:rFonts w:hint="eastAsia" w:ascii="仿宋" w:hAnsi="仿宋" w:cs="仿宋"/>
          <w:sz w:val="32"/>
          <w:szCs w:val="32"/>
        </w:rPr>
        <w:t>森林康养</w:t>
      </w:r>
      <w:r>
        <w:rPr>
          <w:rFonts w:hint="eastAsia" w:ascii="仿宋" w:hAnsi="仿宋" w:cs="仿宋"/>
          <w:sz w:val="32"/>
          <w:szCs w:val="32"/>
          <w:lang w:val="zh-CN"/>
        </w:rPr>
        <w:t>基地</w:t>
      </w:r>
      <w:r>
        <w:rPr>
          <w:rFonts w:hint="eastAsia" w:ascii="仿宋" w:hAnsi="仿宋" w:cs="仿宋"/>
          <w:sz w:val="32"/>
          <w:szCs w:val="32"/>
        </w:rPr>
        <w:t>10处</w:t>
      </w:r>
      <w:r>
        <w:rPr>
          <w:rFonts w:hint="eastAsia" w:ascii="仿宋" w:hAnsi="仿宋" w:cs="仿宋"/>
          <w:sz w:val="32"/>
          <w:szCs w:val="32"/>
          <w:lang w:val="zh-CN"/>
        </w:rPr>
        <w:t>，培育新型林业经营主体和培育林业产业龙头企业2家；建立特色南药、黎药展销中心1处。</w:t>
      </w:r>
    </w:p>
    <w:p w14:paraId="6FD01DBF">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 xml:space="preserve">建设范围：全市范围。 </w:t>
      </w:r>
    </w:p>
    <w:p w14:paraId="1E122E83">
      <w:pPr>
        <w:pStyle w:val="4"/>
        <w:spacing w:line="520" w:lineRule="exact"/>
        <w:rPr>
          <w:rFonts w:hint="eastAsia" w:ascii="仿宋" w:hAnsi="仿宋" w:eastAsia="仿宋" w:cs="仿宋"/>
        </w:rPr>
      </w:pPr>
      <w:bookmarkStart w:id="342" w:name="_Toc23794"/>
      <w:bookmarkStart w:id="343" w:name="_Toc88494733"/>
      <w:bookmarkStart w:id="344" w:name="_Toc54856788"/>
      <w:bookmarkStart w:id="345" w:name="_Toc1425"/>
      <w:bookmarkStart w:id="346" w:name="_Toc63063141"/>
      <w:bookmarkStart w:id="347" w:name="_Toc25310"/>
      <w:bookmarkStart w:id="348" w:name="_Toc15114"/>
      <w:r>
        <w:rPr>
          <w:rFonts w:hint="eastAsia" w:ascii="仿宋" w:hAnsi="仿宋" w:eastAsia="仿宋" w:cs="仿宋"/>
        </w:rPr>
        <w:t>7.3 构建生态文化体系</w:t>
      </w:r>
      <w:bookmarkEnd w:id="342"/>
      <w:bookmarkEnd w:id="343"/>
      <w:bookmarkEnd w:id="344"/>
      <w:bookmarkEnd w:id="345"/>
      <w:bookmarkEnd w:id="346"/>
      <w:bookmarkEnd w:id="347"/>
      <w:bookmarkEnd w:id="348"/>
    </w:p>
    <w:p w14:paraId="3A8F1076">
      <w:pPr>
        <w:pStyle w:val="5"/>
        <w:spacing w:line="520" w:lineRule="exact"/>
        <w:rPr>
          <w:rFonts w:hint="eastAsia" w:ascii="仿宋" w:hAnsi="仿宋" w:eastAsia="仿宋" w:cs="仿宋"/>
        </w:rPr>
      </w:pPr>
      <w:bookmarkStart w:id="349" w:name="_Toc32095"/>
      <w:bookmarkStart w:id="350" w:name="_Toc8473"/>
      <w:bookmarkStart w:id="351" w:name="_Toc63063142"/>
      <w:bookmarkStart w:id="352" w:name="_Toc1993"/>
      <w:bookmarkStart w:id="353" w:name="_Toc9"/>
      <w:bookmarkStart w:id="354" w:name="_Toc27967"/>
      <w:bookmarkStart w:id="355" w:name="_Toc54856789"/>
      <w:bookmarkStart w:id="356" w:name="_Toc32697"/>
      <w:r>
        <w:rPr>
          <w:rFonts w:hint="eastAsia" w:ascii="仿宋" w:hAnsi="仿宋" w:eastAsia="仿宋" w:cs="仿宋"/>
        </w:rPr>
        <w:t>7.3.1 发展生态文化产品</w:t>
      </w:r>
      <w:bookmarkEnd w:id="349"/>
      <w:bookmarkEnd w:id="350"/>
      <w:bookmarkEnd w:id="351"/>
      <w:bookmarkEnd w:id="352"/>
      <w:bookmarkEnd w:id="353"/>
      <w:bookmarkEnd w:id="354"/>
      <w:bookmarkEnd w:id="355"/>
      <w:bookmarkEnd w:id="356"/>
    </w:p>
    <w:p w14:paraId="1D77538A">
      <w:pPr>
        <w:pStyle w:val="6"/>
        <w:spacing w:before="0" w:after="0" w:line="520" w:lineRule="exact"/>
        <w:rPr>
          <w:rFonts w:hint="eastAsia" w:ascii="仿宋" w:hAnsi="仿宋" w:eastAsia="仿宋" w:cs="仿宋"/>
          <w:b w:val="0"/>
          <w:sz w:val="32"/>
          <w:szCs w:val="32"/>
        </w:rPr>
      </w:pPr>
      <w:r>
        <w:rPr>
          <w:rFonts w:hint="eastAsia" w:ascii="仿宋" w:hAnsi="仿宋" w:eastAsia="仿宋" w:cs="仿宋"/>
          <w:b w:val="0"/>
          <w:sz w:val="32"/>
          <w:szCs w:val="32"/>
        </w:rPr>
        <w:t>（1）古树名木抢救复壮项目</w:t>
      </w:r>
    </w:p>
    <w:p w14:paraId="05CC925A">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建设内容：</w:t>
      </w:r>
      <w:r>
        <w:rPr>
          <w:rFonts w:hint="eastAsia" w:ascii="仿宋" w:hAnsi="仿宋" w:cs="仿宋"/>
          <w:sz w:val="32"/>
          <w:szCs w:val="32"/>
        </w:rPr>
        <w:t>结合国家森林城市创建工作，</w:t>
      </w:r>
      <w:r>
        <w:rPr>
          <w:rFonts w:hint="eastAsia" w:ascii="仿宋" w:hAnsi="仿宋" w:cs="仿宋"/>
          <w:sz w:val="32"/>
          <w:szCs w:val="32"/>
          <w:lang w:val="zh-CN"/>
        </w:rPr>
        <w:t>加强全市古树群和古树名木的保护工作，定时清查、巡查本市的古树名木，及时清理已死的古树名木，对古树生长历史、立地环境、生长势等进行评估，查找古树生境衰弱因子，并就各种原因提出针对性的复壮技术手段、方法和长效保护方案。同时加强对古树名木的科普宣传工作，以古树群和特殊意义的古树为中心，依托周边自然环境，因地制宜打造集体娱乐、健康养生、文化之旅的特色古树名木主题公园、休憩区。</w:t>
      </w:r>
    </w:p>
    <w:p w14:paraId="14174989">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建设目标及进度：对全市濒危古树名木进行抢救复壮，启动80-90年古树名木后备资源普查，争取202</w:t>
      </w:r>
      <w:r>
        <w:rPr>
          <w:rFonts w:hint="eastAsia" w:ascii="仿宋" w:hAnsi="仿宋" w:cs="仿宋"/>
          <w:sz w:val="32"/>
          <w:szCs w:val="32"/>
        </w:rPr>
        <w:t>3</w:t>
      </w:r>
      <w:r>
        <w:rPr>
          <w:rFonts w:hint="eastAsia" w:ascii="仿宋" w:hAnsi="仿宋" w:cs="仿宋"/>
          <w:sz w:val="32"/>
          <w:szCs w:val="32"/>
          <w:lang w:val="zh-CN"/>
        </w:rPr>
        <w:t>年完成普查和挂牌任务。至2025年，建设古树名木主题公园8个，就地保护古树名木群4处，救护抢救古树名木120株。</w:t>
      </w:r>
    </w:p>
    <w:p w14:paraId="5C6CC125">
      <w:pPr>
        <w:pStyle w:val="6"/>
        <w:spacing w:before="0" w:after="0" w:line="520" w:lineRule="exact"/>
        <w:rPr>
          <w:rFonts w:hint="eastAsia" w:ascii="仿宋" w:hAnsi="仿宋" w:eastAsia="仿宋" w:cs="仿宋"/>
          <w:b w:val="0"/>
          <w:sz w:val="32"/>
          <w:szCs w:val="32"/>
        </w:rPr>
      </w:pPr>
      <w:r>
        <w:rPr>
          <w:rFonts w:hint="eastAsia" w:ascii="仿宋" w:hAnsi="仿宋" w:eastAsia="仿宋" w:cs="仿宋"/>
          <w:b w:val="0"/>
          <w:sz w:val="32"/>
          <w:szCs w:val="32"/>
        </w:rPr>
        <w:t>（2） 森林城市建设项目</w:t>
      </w:r>
    </w:p>
    <w:p w14:paraId="533A8101">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建设内容：改善城市生态环境，增加城市森林面积、提升城市森林质量、增加城市居民游憩空间，全面推进</w:t>
      </w:r>
      <w:r>
        <w:rPr>
          <w:rFonts w:hint="eastAsia" w:ascii="仿宋" w:hAnsi="仿宋" w:cs="仿宋"/>
          <w:sz w:val="32"/>
          <w:szCs w:val="32"/>
        </w:rPr>
        <w:t>国家</w:t>
      </w:r>
      <w:r>
        <w:rPr>
          <w:rFonts w:hint="eastAsia" w:ascii="仿宋" w:hAnsi="仿宋" w:cs="仿宋"/>
          <w:sz w:val="32"/>
          <w:szCs w:val="32"/>
          <w:lang w:val="zh-CN"/>
        </w:rPr>
        <w:t>森林城市</w:t>
      </w:r>
      <w:r>
        <w:rPr>
          <w:rFonts w:hint="eastAsia" w:ascii="仿宋" w:hAnsi="仿宋" w:cs="仿宋"/>
          <w:sz w:val="32"/>
          <w:szCs w:val="32"/>
        </w:rPr>
        <w:t>创建工作</w:t>
      </w:r>
      <w:r>
        <w:rPr>
          <w:rFonts w:hint="eastAsia" w:ascii="仿宋" w:hAnsi="仿宋" w:cs="仿宋"/>
          <w:sz w:val="32"/>
          <w:szCs w:val="32"/>
          <w:lang w:val="zh-CN"/>
        </w:rPr>
        <w:t>，不断提升森林城市质量，形成类型丰富、特色鲜明的森林城市，改善城乡生态面貌，提高生态文明意识。</w:t>
      </w:r>
    </w:p>
    <w:p w14:paraId="0673F808">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建设目标及进度：至2025年，创建成</w:t>
      </w:r>
      <w:r>
        <w:rPr>
          <w:rFonts w:hint="eastAsia" w:ascii="仿宋" w:hAnsi="仿宋" w:cs="仿宋"/>
          <w:sz w:val="32"/>
          <w:szCs w:val="32"/>
        </w:rPr>
        <w:t>国家</w:t>
      </w:r>
      <w:r>
        <w:rPr>
          <w:rFonts w:hint="eastAsia" w:ascii="仿宋" w:hAnsi="仿宋" w:cs="仿宋"/>
          <w:sz w:val="32"/>
          <w:szCs w:val="32"/>
          <w:lang w:val="zh-CN"/>
        </w:rPr>
        <w:t>级森林城市。</w:t>
      </w:r>
    </w:p>
    <w:p w14:paraId="29FEF744">
      <w:pPr>
        <w:pStyle w:val="5"/>
        <w:spacing w:before="200" w:after="200" w:line="520" w:lineRule="exact"/>
        <w:rPr>
          <w:rFonts w:hint="eastAsia" w:ascii="仿宋" w:hAnsi="仿宋" w:eastAsia="仿宋" w:cs="仿宋"/>
        </w:rPr>
      </w:pPr>
      <w:bookmarkStart w:id="357" w:name="_Toc63063143"/>
      <w:bookmarkStart w:id="358" w:name="_Toc19059"/>
      <w:bookmarkStart w:id="359" w:name="_Toc54856790"/>
      <w:bookmarkStart w:id="360" w:name="_Toc899"/>
      <w:bookmarkStart w:id="361" w:name="_Toc5771"/>
      <w:bookmarkStart w:id="362" w:name="_Toc22835"/>
      <w:bookmarkStart w:id="363" w:name="_Toc23336"/>
      <w:bookmarkStart w:id="364" w:name="_Toc6506"/>
      <w:r>
        <w:rPr>
          <w:rFonts w:hint="eastAsia" w:ascii="仿宋" w:hAnsi="仿宋" w:eastAsia="仿宋" w:cs="仿宋"/>
        </w:rPr>
        <w:t>7.3.2 自然生态文化教育项目</w:t>
      </w:r>
      <w:bookmarkEnd w:id="357"/>
      <w:bookmarkEnd w:id="358"/>
      <w:bookmarkEnd w:id="359"/>
      <w:bookmarkEnd w:id="360"/>
      <w:bookmarkEnd w:id="361"/>
      <w:bookmarkEnd w:id="362"/>
      <w:bookmarkEnd w:id="363"/>
      <w:bookmarkEnd w:id="364"/>
    </w:p>
    <w:p w14:paraId="3560B38F">
      <w:pPr>
        <w:spacing w:line="520" w:lineRule="exact"/>
        <w:ind w:firstLine="646" w:firstLineChars="202"/>
        <w:rPr>
          <w:rFonts w:hint="eastAsia" w:ascii="仿宋" w:hAnsi="仿宋" w:cs="仿宋"/>
          <w:sz w:val="32"/>
          <w:szCs w:val="32"/>
          <w:lang w:val="zh-CN"/>
        </w:rPr>
      </w:pPr>
      <w:bookmarkStart w:id="365" w:name="_Hlk59985808"/>
      <w:r>
        <w:rPr>
          <w:rFonts w:hint="eastAsia" w:ascii="仿宋" w:hAnsi="仿宋" w:cs="仿宋"/>
          <w:sz w:val="32"/>
          <w:szCs w:val="32"/>
          <w:lang w:val="zh-CN"/>
        </w:rPr>
        <w:t>建设内容：建设序厅、</w:t>
      </w:r>
      <w:r>
        <w:rPr>
          <w:rFonts w:hint="eastAsia" w:ascii="仿宋" w:hAnsi="仿宋" w:cs="仿宋"/>
          <w:sz w:val="32"/>
          <w:szCs w:val="32"/>
        </w:rPr>
        <w:t>自然</w:t>
      </w:r>
      <w:r>
        <w:rPr>
          <w:rFonts w:hint="eastAsia" w:ascii="仿宋" w:hAnsi="仿宋" w:cs="仿宋"/>
          <w:sz w:val="32"/>
          <w:szCs w:val="32"/>
          <w:lang w:val="zh-CN"/>
        </w:rPr>
        <w:t>科普、走进</w:t>
      </w:r>
      <w:r>
        <w:rPr>
          <w:rFonts w:hint="eastAsia" w:ascii="仿宋" w:hAnsi="仿宋" w:cs="仿宋"/>
          <w:sz w:val="32"/>
          <w:szCs w:val="32"/>
        </w:rPr>
        <w:t>甘什岭保护区</w:t>
      </w:r>
      <w:r>
        <w:rPr>
          <w:rFonts w:hint="eastAsia" w:ascii="仿宋" w:hAnsi="仿宋" w:cs="仿宋"/>
          <w:sz w:val="32"/>
          <w:szCs w:val="32"/>
          <w:lang w:val="zh-CN"/>
        </w:rPr>
        <w:t>、生物百科、湿地互动、</w:t>
      </w:r>
      <w:r>
        <w:rPr>
          <w:rFonts w:hint="eastAsia" w:ascii="仿宋" w:hAnsi="仿宋" w:cs="仿宋"/>
          <w:sz w:val="32"/>
          <w:szCs w:val="32"/>
        </w:rPr>
        <w:t>野生动植物</w:t>
      </w:r>
      <w:r>
        <w:rPr>
          <w:rFonts w:hint="eastAsia" w:ascii="仿宋" w:hAnsi="仿宋" w:cs="仿宋"/>
          <w:sz w:val="32"/>
          <w:szCs w:val="32"/>
          <w:lang w:val="zh-CN"/>
        </w:rPr>
        <w:t>保护、展望未来、</w:t>
      </w:r>
      <w:r>
        <w:rPr>
          <w:rFonts w:hint="eastAsia" w:ascii="仿宋" w:hAnsi="仿宋" w:cs="仿宋"/>
          <w:sz w:val="32"/>
          <w:szCs w:val="32"/>
        </w:rPr>
        <w:t>三亚</w:t>
      </w:r>
      <w:r>
        <w:rPr>
          <w:rFonts w:hint="eastAsia" w:ascii="仿宋" w:hAnsi="仿宋" w:cs="仿宋"/>
          <w:sz w:val="32"/>
          <w:szCs w:val="32"/>
          <w:lang w:val="zh-CN"/>
        </w:rPr>
        <w:t>特色八个展区，通过科普展板，</w:t>
      </w:r>
      <w:r>
        <w:rPr>
          <w:rFonts w:hint="eastAsia" w:ascii="仿宋" w:hAnsi="仿宋" w:cs="仿宋"/>
          <w:sz w:val="32"/>
          <w:szCs w:val="32"/>
        </w:rPr>
        <w:t>海报</w:t>
      </w:r>
      <w:r>
        <w:rPr>
          <w:rFonts w:hint="eastAsia" w:ascii="仿宋" w:hAnsi="仿宋" w:cs="仿宋"/>
          <w:sz w:val="32"/>
          <w:szCs w:val="32"/>
          <w:lang w:val="zh-CN"/>
        </w:rPr>
        <w:t>展牌、动植物标本、</w:t>
      </w:r>
      <w:r>
        <w:rPr>
          <w:rFonts w:hint="eastAsia" w:ascii="仿宋" w:hAnsi="仿宋" w:cs="仿宋"/>
          <w:sz w:val="32"/>
          <w:szCs w:val="32"/>
        </w:rPr>
        <w:t>甘什岭保护区</w:t>
      </w:r>
      <w:r>
        <w:rPr>
          <w:rFonts w:hint="eastAsia" w:ascii="仿宋" w:hAnsi="仿宋" w:cs="仿宋"/>
          <w:sz w:val="32"/>
          <w:szCs w:val="32"/>
          <w:lang w:val="zh-CN"/>
        </w:rPr>
        <w:t>视频、场景复原、沙盘模型等静态展示方式以及3D地画、</w:t>
      </w:r>
      <w:r>
        <w:rPr>
          <w:rFonts w:hint="eastAsia" w:ascii="仿宋" w:hAnsi="仿宋" w:cs="仿宋"/>
          <w:sz w:val="32"/>
          <w:szCs w:val="32"/>
        </w:rPr>
        <w:t>VR</w:t>
      </w:r>
      <w:r>
        <w:rPr>
          <w:rFonts w:hint="eastAsia" w:ascii="仿宋" w:hAnsi="仿宋" w:cs="仿宋"/>
          <w:sz w:val="32"/>
          <w:szCs w:val="32"/>
          <w:lang w:val="zh-CN"/>
        </w:rPr>
        <w:t>等互动体验方式，将</w:t>
      </w:r>
      <w:r>
        <w:rPr>
          <w:rFonts w:hint="eastAsia" w:ascii="仿宋" w:hAnsi="仿宋" w:cs="仿宋"/>
          <w:sz w:val="32"/>
          <w:szCs w:val="32"/>
        </w:rPr>
        <w:t>各</w:t>
      </w:r>
      <w:r>
        <w:rPr>
          <w:rFonts w:hint="eastAsia" w:ascii="仿宋" w:hAnsi="仿宋" w:cs="仿宋"/>
          <w:sz w:val="32"/>
          <w:szCs w:val="32"/>
          <w:lang w:val="zh-CN"/>
        </w:rPr>
        <w:t>科普宣教中心打造成集</w:t>
      </w:r>
      <w:r>
        <w:rPr>
          <w:rFonts w:hint="eastAsia" w:ascii="仿宋" w:hAnsi="仿宋" w:cs="仿宋"/>
          <w:sz w:val="32"/>
          <w:szCs w:val="32"/>
        </w:rPr>
        <w:t>自然</w:t>
      </w:r>
      <w:r>
        <w:rPr>
          <w:rFonts w:hint="eastAsia" w:ascii="仿宋" w:hAnsi="仿宋" w:cs="仿宋"/>
          <w:sz w:val="32"/>
          <w:szCs w:val="32"/>
          <w:lang w:val="zh-CN"/>
        </w:rPr>
        <w:t>科普、生态教育、互动体验于一体的综合性展馆。开展走进</w:t>
      </w:r>
      <w:r>
        <w:rPr>
          <w:rFonts w:hint="eastAsia" w:ascii="仿宋" w:hAnsi="仿宋" w:cs="仿宋"/>
          <w:sz w:val="32"/>
          <w:szCs w:val="32"/>
        </w:rPr>
        <w:t>森林</w:t>
      </w:r>
      <w:r>
        <w:rPr>
          <w:rFonts w:hint="eastAsia" w:ascii="仿宋" w:hAnsi="仿宋" w:cs="仿宋"/>
          <w:sz w:val="32"/>
          <w:szCs w:val="32"/>
          <w:lang w:val="zh-CN"/>
        </w:rPr>
        <w:t>、植物认知、</w:t>
      </w:r>
      <w:r>
        <w:rPr>
          <w:rFonts w:hint="eastAsia" w:ascii="仿宋" w:hAnsi="仿宋" w:cs="仿宋"/>
          <w:sz w:val="32"/>
          <w:szCs w:val="32"/>
        </w:rPr>
        <w:t>森林</w:t>
      </w:r>
      <w:r>
        <w:rPr>
          <w:rFonts w:hint="eastAsia" w:ascii="仿宋" w:hAnsi="仿宋" w:cs="仿宋"/>
          <w:sz w:val="32"/>
          <w:szCs w:val="32"/>
          <w:lang w:val="zh-CN"/>
        </w:rPr>
        <w:t>观鸟、鸟类知识竞赛、</w:t>
      </w:r>
      <w:r>
        <w:rPr>
          <w:rFonts w:hint="eastAsia" w:ascii="仿宋" w:hAnsi="仿宋" w:cs="仿宋"/>
          <w:sz w:val="32"/>
          <w:szCs w:val="32"/>
        </w:rPr>
        <w:t>森林</w:t>
      </w:r>
      <w:r>
        <w:rPr>
          <w:rFonts w:hint="eastAsia" w:ascii="仿宋" w:hAnsi="仿宋" w:cs="仿宋"/>
          <w:sz w:val="32"/>
          <w:szCs w:val="32"/>
          <w:lang w:val="zh-CN"/>
        </w:rPr>
        <w:t>摄影、写生比赛、手工创作等多种自然教育活动。利用大田国家级自然保护区</w:t>
      </w:r>
      <w:r>
        <w:rPr>
          <w:rFonts w:hint="eastAsia" w:ascii="仿宋" w:hAnsi="仿宋" w:cs="仿宋"/>
          <w:sz w:val="32"/>
          <w:szCs w:val="32"/>
        </w:rPr>
        <w:t>（三亚片区）</w:t>
      </w:r>
      <w:r>
        <w:rPr>
          <w:rFonts w:hint="eastAsia" w:ascii="仿宋" w:hAnsi="仿宋" w:cs="仿宋"/>
          <w:sz w:val="32"/>
          <w:szCs w:val="32"/>
          <w:lang w:val="zh-CN"/>
        </w:rPr>
        <w:t>，开展自然科考、植物辨认、生态摄影、森林文化、</w:t>
      </w:r>
      <w:r>
        <w:rPr>
          <w:rFonts w:hint="eastAsia" w:ascii="仿宋" w:hAnsi="仿宋" w:cs="仿宋"/>
          <w:sz w:val="32"/>
          <w:szCs w:val="32"/>
        </w:rPr>
        <w:t>康养</w:t>
      </w:r>
      <w:r>
        <w:rPr>
          <w:rFonts w:hint="eastAsia" w:ascii="仿宋" w:hAnsi="仿宋" w:cs="仿宋"/>
          <w:sz w:val="32"/>
          <w:szCs w:val="32"/>
          <w:lang w:val="zh-CN"/>
        </w:rPr>
        <w:t>旅游等多种形式研学活动。</w:t>
      </w:r>
    </w:p>
    <w:p w14:paraId="59D55634">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建设目标及进度：至</w:t>
      </w:r>
      <w:r>
        <w:rPr>
          <w:rFonts w:hint="eastAsia" w:ascii="仿宋" w:hAnsi="仿宋" w:cs="仿宋"/>
          <w:sz w:val="32"/>
          <w:szCs w:val="32"/>
        </w:rPr>
        <w:t>规划期末</w:t>
      </w:r>
      <w:r>
        <w:rPr>
          <w:rFonts w:hint="eastAsia" w:ascii="仿宋" w:hAnsi="仿宋" w:cs="仿宋"/>
          <w:sz w:val="32"/>
          <w:szCs w:val="32"/>
          <w:lang w:val="zh-CN"/>
        </w:rPr>
        <w:t>，建设好</w:t>
      </w:r>
      <w:r>
        <w:rPr>
          <w:rFonts w:hint="eastAsia" w:ascii="仿宋" w:hAnsi="仿宋" w:cs="仿宋"/>
          <w:sz w:val="32"/>
          <w:szCs w:val="32"/>
        </w:rPr>
        <w:t>甘什岭保护区</w:t>
      </w:r>
      <w:r>
        <w:rPr>
          <w:rFonts w:hint="eastAsia" w:ascii="仿宋" w:hAnsi="仿宋" w:cs="仿宋"/>
          <w:sz w:val="32"/>
          <w:szCs w:val="32"/>
          <w:lang w:val="zh-CN"/>
        </w:rPr>
        <w:t>科普宣教中心、</w:t>
      </w:r>
      <w:r>
        <w:rPr>
          <w:rFonts w:hint="eastAsia" w:ascii="仿宋" w:hAnsi="仿宋" w:cs="仿宋"/>
          <w:sz w:val="32"/>
          <w:szCs w:val="32"/>
        </w:rPr>
        <w:t>甘什岭</w:t>
      </w:r>
      <w:r>
        <w:rPr>
          <w:rFonts w:hint="eastAsia" w:ascii="仿宋" w:hAnsi="仿宋" w:cs="仿宋"/>
          <w:sz w:val="32"/>
          <w:szCs w:val="32"/>
          <w:lang w:val="zh-CN"/>
        </w:rPr>
        <w:t>研学旅游基地，开展研学与自然教育活动。</w:t>
      </w:r>
    </w:p>
    <w:bookmarkEnd w:id="365"/>
    <w:p w14:paraId="68590040">
      <w:pPr>
        <w:pStyle w:val="4"/>
        <w:spacing w:line="520" w:lineRule="exact"/>
        <w:rPr>
          <w:rFonts w:hint="eastAsia" w:ascii="仿宋" w:hAnsi="仿宋" w:eastAsia="仿宋" w:cs="仿宋"/>
        </w:rPr>
      </w:pPr>
      <w:bookmarkStart w:id="366" w:name="_Toc54856791"/>
      <w:bookmarkStart w:id="367" w:name="_Toc24773"/>
      <w:bookmarkStart w:id="368" w:name="_Toc3380"/>
      <w:bookmarkStart w:id="369" w:name="_Toc63063144"/>
      <w:bookmarkStart w:id="370" w:name="_Toc24204"/>
      <w:bookmarkStart w:id="371" w:name="_Toc24049"/>
      <w:bookmarkStart w:id="372" w:name="_Toc88494734"/>
      <w:r>
        <w:rPr>
          <w:rFonts w:hint="eastAsia" w:ascii="仿宋" w:hAnsi="仿宋" w:eastAsia="仿宋" w:cs="仿宋"/>
        </w:rPr>
        <w:t>7.4 构建林业法治体系</w:t>
      </w:r>
      <w:bookmarkEnd w:id="366"/>
      <w:bookmarkEnd w:id="367"/>
      <w:bookmarkEnd w:id="368"/>
      <w:bookmarkEnd w:id="369"/>
      <w:bookmarkEnd w:id="370"/>
      <w:bookmarkEnd w:id="371"/>
      <w:bookmarkEnd w:id="372"/>
    </w:p>
    <w:p w14:paraId="396B7EA7">
      <w:pPr>
        <w:pStyle w:val="5"/>
        <w:spacing w:line="520" w:lineRule="exact"/>
        <w:rPr>
          <w:rFonts w:hint="eastAsia" w:ascii="仿宋" w:hAnsi="仿宋" w:eastAsia="仿宋" w:cs="仿宋"/>
        </w:rPr>
      </w:pPr>
      <w:bookmarkStart w:id="373" w:name="_Toc54856792"/>
      <w:bookmarkStart w:id="374" w:name="_Toc26634"/>
      <w:bookmarkStart w:id="375" w:name="_Toc21605"/>
      <w:bookmarkStart w:id="376" w:name="_Toc12525"/>
      <w:bookmarkStart w:id="377" w:name="_Toc63063145"/>
      <w:bookmarkStart w:id="378" w:name="_Toc870"/>
      <w:bookmarkStart w:id="379" w:name="_Toc32232"/>
      <w:bookmarkStart w:id="380" w:name="_Toc2940"/>
      <w:r>
        <w:rPr>
          <w:rFonts w:hint="eastAsia" w:ascii="仿宋" w:hAnsi="仿宋" w:eastAsia="仿宋" w:cs="仿宋"/>
        </w:rPr>
        <w:t>7.4.1 全面加强</w:t>
      </w:r>
      <w:bookmarkStart w:id="381" w:name="_Hlk62543256"/>
      <w:r>
        <w:rPr>
          <w:rFonts w:hint="eastAsia" w:ascii="仿宋" w:hAnsi="仿宋" w:eastAsia="仿宋" w:cs="仿宋"/>
        </w:rPr>
        <w:t>依法治林</w:t>
      </w:r>
      <w:bookmarkEnd w:id="373"/>
      <w:bookmarkEnd w:id="374"/>
      <w:bookmarkEnd w:id="381"/>
      <w:r>
        <w:rPr>
          <w:rFonts w:hint="eastAsia" w:ascii="仿宋" w:hAnsi="仿宋" w:eastAsia="仿宋" w:cs="仿宋"/>
        </w:rPr>
        <w:t>能力</w:t>
      </w:r>
      <w:bookmarkEnd w:id="375"/>
      <w:bookmarkEnd w:id="376"/>
      <w:bookmarkEnd w:id="377"/>
      <w:bookmarkEnd w:id="378"/>
      <w:bookmarkEnd w:id="379"/>
      <w:bookmarkEnd w:id="380"/>
    </w:p>
    <w:p w14:paraId="6BE6999E">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内容：加强组织领导，成立依法治林工作领导小组，明确推进各项林业重点工作；组织专职机构，建立长效机制，切实规范林业行政执法行为；建立学法机制，组织林政执法人员学习林业相关法律法规；实行政务公开，透明运行权力；坚持依法行政，打击违法犯罪。广泛宣传新《森林法》和林业重点法律法规，加快全市依法治林进程，通过学法普法与法治教育，持续提升法治意识，夯实依法行政的基础，规范林业执法行为，强化林业执法建设，切实全面推进依法行政。推进以“放管服”改革为重点的各项任务，全面依法履行林业行政职能，建设法治林业营造良好的法治氛围。</w:t>
      </w:r>
    </w:p>
    <w:p w14:paraId="08A03125">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建设目标及进度：</w:t>
      </w:r>
      <w:bookmarkStart w:id="382" w:name="_Hlk62543220"/>
      <w:r>
        <w:rPr>
          <w:rFonts w:hint="eastAsia" w:ascii="仿宋" w:hAnsi="仿宋" w:cs="仿宋"/>
          <w:sz w:val="32"/>
          <w:szCs w:val="32"/>
          <w:lang w:val="zh-CN"/>
        </w:rPr>
        <w:t>加强普法宣传，推进新《森林法》宣传</w:t>
      </w:r>
      <w:bookmarkEnd w:id="382"/>
      <w:r>
        <w:rPr>
          <w:rFonts w:hint="eastAsia" w:ascii="仿宋" w:hAnsi="仿宋" w:cs="仿宋"/>
          <w:sz w:val="32"/>
          <w:szCs w:val="32"/>
          <w:lang w:val="zh-CN"/>
        </w:rPr>
        <w:t>，结合智慧林业，提高执法效率，强化网上办案系统，加强乡镇执法力量，至2025年达到50%网上办案。加强执法公开性与透明度：公示制度、记录制度、法治审核制度；培养高素质执法人才，稳定乡镇林业管理人员队伍，保持执法连续性。</w:t>
      </w:r>
    </w:p>
    <w:p w14:paraId="048A1DE7">
      <w:pPr>
        <w:pStyle w:val="5"/>
        <w:spacing w:before="200" w:after="200" w:line="520" w:lineRule="exact"/>
        <w:rPr>
          <w:rFonts w:hint="eastAsia" w:ascii="仿宋" w:hAnsi="仿宋" w:eastAsia="仿宋" w:cs="仿宋"/>
        </w:rPr>
      </w:pPr>
      <w:bookmarkStart w:id="383" w:name="_Toc10826"/>
      <w:bookmarkStart w:id="384" w:name="_Toc13185"/>
      <w:bookmarkStart w:id="385" w:name="_Toc30185"/>
      <w:bookmarkStart w:id="386" w:name="_Toc19261"/>
      <w:bookmarkStart w:id="387" w:name="_Toc12326"/>
      <w:bookmarkStart w:id="388" w:name="_Toc15176"/>
      <w:bookmarkStart w:id="389" w:name="_Toc63063146"/>
      <w:r>
        <w:rPr>
          <w:rFonts w:hint="eastAsia" w:ascii="仿宋" w:hAnsi="仿宋" w:eastAsia="仿宋" w:cs="仿宋"/>
        </w:rPr>
        <w:t>7.4.2 积极推进林长制</w:t>
      </w:r>
      <w:bookmarkEnd w:id="383"/>
      <w:r>
        <w:rPr>
          <w:rFonts w:hint="eastAsia" w:ascii="仿宋" w:hAnsi="仿宋" w:eastAsia="仿宋" w:cs="仿宋"/>
        </w:rPr>
        <w:t>改革</w:t>
      </w:r>
      <w:bookmarkEnd w:id="384"/>
      <w:bookmarkEnd w:id="385"/>
      <w:bookmarkEnd w:id="386"/>
      <w:bookmarkEnd w:id="387"/>
      <w:bookmarkEnd w:id="388"/>
      <w:bookmarkEnd w:id="389"/>
    </w:p>
    <w:p w14:paraId="41A9E901">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林长制是指按照“分级负责”原则，构建省市县乡村五级林长制体系，各级林长负责督促指导本责任区内森林资源保护发展工作，协调解决森林资源保护发展重大问题，依法查处各类破坏森林资源的违法犯罪行为。实施林长制是统筹协调保护与发展的关系，通过整合各类森林及政策资源，实现生态改善，绿色发展。</w:t>
      </w:r>
    </w:p>
    <w:p w14:paraId="2E5CAD25">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建设目标：按照市、县、乡、村四级林长制体系建立林长制，实行森林资源网格化管理。</w:t>
      </w:r>
    </w:p>
    <w:p w14:paraId="346B3FDB">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内容：围绕保护发展森林资源，建立从上到下，由党政主要领导担任（总）林长的组织体系，构建保障林长制持续规范运行的制度体系。在全市范围内逐级设立林长，每一名林长和护林员都明确责任区和工作要求。督促相关单位履职尽责，合力推进林长制工作。将森林等资源主要指标纳入综合绩效考评范围，并将考核结果作为干部考核的重要依据。建立专职护林管护队伍，实行村场聘用、乡镇管理、市级监督的护林员队伍管理体系；全面清理现有护林员队伍，重新核岗定员。建立健全各项规章制度，严格落实护林员管护责任制度、考核奖励制度，强化监管和考核。</w:t>
      </w:r>
    </w:p>
    <w:p w14:paraId="117D7F1E">
      <w:pPr>
        <w:pStyle w:val="5"/>
        <w:spacing w:before="200" w:after="200" w:line="520" w:lineRule="exact"/>
        <w:rPr>
          <w:rFonts w:hint="eastAsia" w:ascii="仿宋" w:hAnsi="仿宋" w:eastAsia="仿宋" w:cs="仿宋"/>
        </w:rPr>
      </w:pPr>
      <w:bookmarkStart w:id="390" w:name="_Toc54856794"/>
      <w:bookmarkStart w:id="391" w:name="_Toc10713"/>
      <w:bookmarkStart w:id="392" w:name="_Toc31699"/>
      <w:bookmarkStart w:id="393" w:name="_Toc26348"/>
      <w:bookmarkStart w:id="394" w:name="_Toc63063147"/>
      <w:bookmarkStart w:id="395" w:name="_Toc2453"/>
      <w:bookmarkStart w:id="396" w:name="_Toc10854"/>
      <w:bookmarkStart w:id="397" w:name="_Toc9026"/>
      <w:r>
        <w:rPr>
          <w:rFonts w:hint="eastAsia" w:ascii="仿宋" w:hAnsi="仿宋" w:eastAsia="仿宋" w:cs="仿宋"/>
        </w:rPr>
        <w:t>7.4.3 创新林业管理模式</w:t>
      </w:r>
      <w:bookmarkEnd w:id="390"/>
      <w:bookmarkEnd w:id="391"/>
      <w:bookmarkEnd w:id="392"/>
      <w:bookmarkEnd w:id="393"/>
      <w:bookmarkEnd w:id="394"/>
      <w:bookmarkEnd w:id="395"/>
      <w:bookmarkEnd w:id="396"/>
      <w:bookmarkEnd w:id="397"/>
    </w:p>
    <w:p w14:paraId="16824B1D">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建设目标：对现行的林业管理模式从经济管理理念、方法、模式、制度等方面开展创新，从而从根本上将林业企业综合实力提高。</w:t>
      </w:r>
    </w:p>
    <w:p w14:paraId="1F884744">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具体内容：加强对林业管理内部控制的重视与认知；重视成本规划，制定成本管理目标；注重对人才进行培养，从林业企业制度改革，职工工作环境优化，提高职工待遇等方面，切实保证人才能够在林业企业内部留存；对先进的管理经验进行吸收，综合分析林业企业自身发展情况，同时结合林业产业发展趋势和情况，解决传统的经济管理模式滞后性问题；调整林业企业经济管理组织模式，建立健全柔软化的经济管理组织模式，提高林业企业生产和经营管理模式的多样性；依靠先进的管理方式，开展信息化的经济管理工作，构建起现代化、信息化的经济管理体系；加强林业企业生产管理，根据战略规划加强本企业的生产管理。合理扩大</w:t>
      </w:r>
      <w:r>
        <w:rPr>
          <w:rFonts w:hint="eastAsia" w:ascii="仿宋" w:hAnsi="仿宋" w:cs="仿宋"/>
          <w:sz w:val="32"/>
          <w:szCs w:val="32"/>
        </w:rPr>
        <w:t>乡土珍贵用材树种</w:t>
      </w:r>
      <w:r>
        <w:rPr>
          <w:rFonts w:hint="eastAsia" w:ascii="仿宋" w:hAnsi="仿宋" w:cs="仿宋"/>
          <w:sz w:val="32"/>
          <w:szCs w:val="32"/>
          <w:lang w:val="zh-CN"/>
        </w:rPr>
        <w:t>的栽种规模与栽种速度，努力提高林地生产率。主动研发新的林产品，不断提高林产品的质量。</w:t>
      </w:r>
    </w:p>
    <w:p w14:paraId="4A22CA3A">
      <w:pPr>
        <w:pStyle w:val="5"/>
        <w:spacing w:before="200" w:after="200" w:line="520" w:lineRule="exact"/>
        <w:rPr>
          <w:rFonts w:hint="eastAsia" w:ascii="仿宋" w:hAnsi="仿宋" w:eastAsia="仿宋" w:cs="仿宋"/>
        </w:rPr>
      </w:pPr>
      <w:bookmarkStart w:id="398" w:name="_Toc29455"/>
      <w:bookmarkStart w:id="399" w:name="_Toc63063148"/>
      <w:bookmarkStart w:id="400" w:name="_Toc1253"/>
      <w:bookmarkStart w:id="401" w:name="_Toc20982"/>
      <w:bookmarkStart w:id="402" w:name="_Toc16234"/>
      <w:bookmarkStart w:id="403" w:name="_Toc783"/>
      <w:r>
        <w:rPr>
          <w:rFonts w:hint="eastAsia" w:ascii="仿宋" w:hAnsi="仿宋" w:eastAsia="仿宋" w:cs="仿宋"/>
        </w:rPr>
        <w:t>7.4.4 林业安全生产专项治理</w:t>
      </w:r>
      <w:bookmarkEnd w:id="398"/>
      <w:bookmarkEnd w:id="399"/>
      <w:bookmarkEnd w:id="400"/>
      <w:bookmarkEnd w:id="401"/>
      <w:bookmarkEnd w:id="402"/>
      <w:bookmarkEnd w:id="403"/>
    </w:p>
    <w:p w14:paraId="33B4FAB2">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目标：全市林业行业范围内集中开展安全生产专项整治工作，对涉林企业开展专项整治行动。推动经营企业安全生产主体责任、属地管理责任及部门监管责任的落实，进一步健全完善事故预防控制和隐患排查治理、安全生产责任及事故责任追究等制度，持续整治重大隐患和突出问题，最大程度地争取“零隐患”“零事故”，确保林业行业不发生影响重大的事故，不发生较大及以上事故，不发生引起群众信访的事故。</w:t>
      </w:r>
    </w:p>
    <w:p w14:paraId="41026085">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内容：制定涉林企业安全生产隐患专项整治工作方案，对全市范围内林业部门管辖的涉林企业单位开展集中整治。整治的重点领域是林产品生产经营加工、林木采伐、营造林生产、野生动物驯养繁殖、林木经营、林业机械、森林防火、森林旅游。重点打击无证经营加工、非法违法生产经营；加大林产品加工、木材采伐、营造林生产、林木种苗、野生动物驯养繁殖等领域安全生产的监管力度，强化生产作业现场，林业机械、易燃易爆和重大危险源的安全管理。加强单位安全消防和森林防火预防。加强森林公园、自然保护区等旅游景区、景点安全设施、设备的管理，完善各项应急预案，有效应对突发事件。对重点环节、重点部位、重点问题进行多层次、全方位、拉网式的排查。对自查发现的安全隐患和问题，制定整改计划，落实整改措施、责任、资金、时限和预案，抓紧整改。</w:t>
      </w:r>
    </w:p>
    <w:p w14:paraId="133DB0B3">
      <w:pPr>
        <w:pStyle w:val="4"/>
        <w:spacing w:line="520" w:lineRule="exact"/>
        <w:rPr>
          <w:rFonts w:hint="eastAsia" w:ascii="仿宋" w:hAnsi="仿宋" w:eastAsia="仿宋" w:cs="仿宋"/>
        </w:rPr>
      </w:pPr>
      <w:bookmarkStart w:id="404" w:name="_Toc88494735"/>
      <w:bookmarkStart w:id="405" w:name="_Toc15149"/>
      <w:bookmarkStart w:id="406" w:name="_Toc7440"/>
      <w:bookmarkStart w:id="407" w:name="_Toc7407"/>
      <w:bookmarkStart w:id="408" w:name="_Toc54856795"/>
      <w:bookmarkStart w:id="409" w:name="_Toc25680"/>
      <w:bookmarkStart w:id="410" w:name="_Toc63063149"/>
      <w:r>
        <w:rPr>
          <w:rFonts w:hint="eastAsia" w:ascii="仿宋" w:hAnsi="仿宋" w:eastAsia="仿宋" w:cs="仿宋"/>
        </w:rPr>
        <w:t>7.5 提升林业基础设施体系</w:t>
      </w:r>
      <w:bookmarkEnd w:id="404"/>
      <w:bookmarkEnd w:id="405"/>
      <w:bookmarkEnd w:id="406"/>
      <w:bookmarkEnd w:id="407"/>
      <w:bookmarkEnd w:id="408"/>
      <w:bookmarkEnd w:id="409"/>
      <w:bookmarkEnd w:id="410"/>
    </w:p>
    <w:p w14:paraId="40B08976">
      <w:pPr>
        <w:pStyle w:val="5"/>
        <w:spacing w:line="520" w:lineRule="exact"/>
        <w:rPr>
          <w:rFonts w:hint="eastAsia" w:ascii="仿宋" w:hAnsi="仿宋" w:eastAsia="仿宋" w:cs="仿宋"/>
        </w:rPr>
      </w:pPr>
      <w:bookmarkStart w:id="411" w:name="_Toc63063150"/>
      <w:bookmarkStart w:id="412" w:name="_Toc7102"/>
      <w:bookmarkStart w:id="413" w:name="_Toc21880"/>
      <w:bookmarkStart w:id="414" w:name="_Toc25944"/>
      <w:bookmarkStart w:id="415" w:name="_Toc5742"/>
      <w:bookmarkStart w:id="416" w:name="_Toc4598"/>
      <w:bookmarkStart w:id="417" w:name="_Toc29228"/>
      <w:bookmarkStart w:id="418" w:name="_Toc54856796"/>
      <w:r>
        <w:rPr>
          <w:rFonts w:hint="eastAsia" w:ascii="仿宋" w:hAnsi="仿宋" w:eastAsia="仿宋" w:cs="仿宋"/>
        </w:rPr>
        <w:t>7.5.1 “互联网+智慧林业”平台建设</w:t>
      </w:r>
      <w:bookmarkEnd w:id="411"/>
      <w:bookmarkEnd w:id="412"/>
      <w:bookmarkEnd w:id="413"/>
      <w:bookmarkEnd w:id="414"/>
      <w:bookmarkEnd w:id="415"/>
      <w:bookmarkEnd w:id="416"/>
      <w:bookmarkEnd w:id="417"/>
      <w:bookmarkEnd w:id="418"/>
    </w:p>
    <w:p w14:paraId="4F9643D1">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建设目标：开启“互联网 +”的林业信息化探索，建设“互联网+智慧林业”平台，利用云计算、物联网、大数据、移动互联网等新一代信息技术，推动“大数据”与营造林、湿地修复等工程深度融合，形成林业立体感知、管理协同高效、生态价值凸显、服务内外一体的林业发展新模式。</w:t>
      </w:r>
    </w:p>
    <w:p w14:paraId="52B47B7F">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内容：建立“互联网+智慧林业”平台，掌握全市林业的发展态势，有效管理林业资源，实时林业资源动态变化监测和湿地管理监测。建立对资源林政管理、营造林管理、古树名木管理、病虫害防治决策、森林防火预警、森林防火指挥调度、GPS护林员等长期森林监测与评估系统，通过感知化、物联化、智能化的手段，为政府决策和林业生产经营规划提供科学依据；建设与应用视频监控，自动感应的森林火灾监测预警与防控系统，增加森林防火红外感应等地网系统分布范围，推广移动智能终端(智能手机app)等人网系统，将森林防火管理纳入预警管理平台，为森林资源生态工程建设提供科学依据。</w:t>
      </w:r>
    </w:p>
    <w:p w14:paraId="70F2976B">
      <w:pPr>
        <w:pStyle w:val="5"/>
        <w:spacing w:before="200" w:after="200" w:line="520" w:lineRule="exact"/>
        <w:rPr>
          <w:rFonts w:hint="eastAsia" w:ascii="仿宋" w:hAnsi="仿宋" w:eastAsia="仿宋" w:cs="仿宋"/>
        </w:rPr>
      </w:pPr>
      <w:bookmarkStart w:id="419" w:name="_Toc25087"/>
      <w:bookmarkStart w:id="420" w:name="_Toc8908"/>
      <w:bookmarkStart w:id="421" w:name="_Toc54856797"/>
      <w:bookmarkStart w:id="422" w:name="_Toc20085"/>
      <w:bookmarkStart w:id="423" w:name="_Toc63063151"/>
      <w:bookmarkStart w:id="424" w:name="_Toc30032"/>
      <w:bookmarkStart w:id="425" w:name="_Toc19632"/>
      <w:bookmarkStart w:id="426" w:name="_Toc32059"/>
      <w:r>
        <w:rPr>
          <w:rFonts w:hint="eastAsia" w:ascii="仿宋" w:hAnsi="仿宋" w:eastAsia="仿宋" w:cs="仿宋"/>
        </w:rPr>
        <w:t>7.5.2 完善林业灾害防控体系</w:t>
      </w:r>
      <w:bookmarkEnd w:id="419"/>
      <w:bookmarkEnd w:id="420"/>
      <w:bookmarkEnd w:id="421"/>
      <w:bookmarkEnd w:id="422"/>
      <w:bookmarkEnd w:id="423"/>
      <w:bookmarkEnd w:id="424"/>
      <w:bookmarkEnd w:id="425"/>
      <w:bookmarkEnd w:id="426"/>
    </w:p>
    <w:p w14:paraId="25A7CD5F">
      <w:pPr>
        <w:pStyle w:val="6"/>
        <w:spacing w:before="0" w:after="0" w:line="520" w:lineRule="exact"/>
        <w:rPr>
          <w:rFonts w:hint="eastAsia" w:ascii="仿宋" w:hAnsi="仿宋" w:eastAsia="仿宋" w:cs="仿宋"/>
          <w:b w:val="0"/>
          <w:sz w:val="32"/>
          <w:szCs w:val="32"/>
        </w:rPr>
      </w:pPr>
      <w:r>
        <w:rPr>
          <w:rFonts w:hint="eastAsia" w:ascii="仿宋" w:hAnsi="仿宋" w:eastAsia="仿宋" w:cs="仿宋"/>
          <w:b w:val="0"/>
          <w:sz w:val="32"/>
          <w:szCs w:val="32"/>
        </w:rPr>
        <w:t>（1）森林防火综合治理项目：</w:t>
      </w:r>
    </w:p>
    <w:p w14:paraId="317E85C3">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目标：加强森林防火宣传、野外火源管控和消防队伍建设，构建设较完善的森林防火“预防、扑救、保障”三大体系。使全市瞭望监测覆盖率达到90%以上，森林火灾受害率控制在0.5‰以内，建设和维护防火林带500公里。</w:t>
      </w:r>
    </w:p>
    <w:p w14:paraId="5DDE51EB">
      <w:pPr>
        <w:spacing w:line="520" w:lineRule="exact"/>
        <w:ind w:firstLine="646" w:firstLineChars="202"/>
        <w:rPr>
          <w:rFonts w:hint="eastAsia" w:ascii="仿宋" w:hAnsi="仿宋" w:cs="仿宋"/>
          <w:sz w:val="32"/>
          <w:szCs w:val="32"/>
        </w:rPr>
      </w:pPr>
      <w:r>
        <w:rPr>
          <w:rFonts w:hint="eastAsia" w:ascii="仿宋" w:hAnsi="仿宋" w:cs="仿宋"/>
          <w:sz w:val="32"/>
          <w:szCs w:val="32"/>
          <w:lang w:val="zh-CN"/>
        </w:rPr>
        <w:t>建设内容：①预防监测体系建设。常规监测：现代化的预警监控对于及时掌握林火灾情、科学组织扑救具有十分重要的作用。只有做到早发现、早报告，才能实现“打早、打小、打了”的目标。除对现有的瞭望台进行必要的维护外，增加在重点风景区、重点防火部位建设森林火灾远程监测系统，及时发现火情和了解火情发生的情况。卫星监测：卫星监测具有监测范围广、搜索数据快、信息反馈迅速、成本低廉等特点，三亚市将充分利用卫星监测系统进行火源监测，进一步探索林火卫星监测的方法、手段。②预防扑救体系建设：一是护林队伍建设，在现有护林员队伍的基础上，建立一支一职多能的护林员队伍，建设标准为平均每200公顷山林配备1名护林员，构建护林员包山头地块的巡防责任体系。二是消防队伍建设：在确保市一级现有森林消防专业化、半专业化队伍稳定的前提下，大力加强基层森林消防队伍建设，配备相应的扑火装备。三是组织指挥体系建设：建立健全市、</w:t>
      </w:r>
      <w:r>
        <w:rPr>
          <w:rFonts w:hint="eastAsia" w:ascii="仿宋" w:hAnsi="仿宋" w:cs="仿宋"/>
          <w:sz w:val="32"/>
          <w:szCs w:val="32"/>
        </w:rPr>
        <w:t>区</w:t>
      </w:r>
      <w:r>
        <w:rPr>
          <w:rFonts w:hint="eastAsia" w:ascii="仿宋" w:hAnsi="仿宋" w:cs="仿宋"/>
          <w:sz w:val="32"/>
          <w:szCs w:val="32"/>
          <w:lang w:val="zh-CN"/>
        </w:rPr>
        <w:t>、街道、</w:t>
      </w:r>
      <w:r>
        <w:rPr>
          <w:rFonts w:hint="eastAsia" w:ascii="仿宋" w:hAnsi="仿宋" w:cs="仿宋"/>
          <w:sz w:val="32"/>
          <w:szCs w:val="32"/>
        </w:rPr>
        <w:t>村</w:t>
      </w:r>
      <w:r>
        <w:rPr>
          <w:rFonts w:hint="eastAsia" w:ascii="仿宋" w:hAnsi="仿宋" w:cs="仿宋"/>
          <w:sz w:val="32"/>
          <w:szCs w:val="32"/>
          <w:lang w:val="zh-CN"/>
        </w:rPr>
        <w:t>森林防火指挥体系建设，逐步完善地理信息系统和通讯信息系统建设，逐步使指挥系统达到现代化标准。③森林防火阻隔网络建设：</w:t>
      </w:r>
      <w:r>
        <w:rPr>
          <w:rFonts w:hint="eastAsia" w:ascii="仿宋" w:hAnsi="仿宋" w:cs="仿宋"/>
          <w:sz w:val="32"/>
          <w:szCs w:val="32"/>
        </w:rPr>
        <w:t>全市</w:t>
      </w:r>
      <w:r>
        <w:rPr>
          <w:rFonts w:hint="eastAsia" w:ascii="仿宋" w:hAnsi="仿宋" w:cs="仿宋"/>
          <w:sz w:val="32"/>
          <w:szCs w:val="32"/>
          <w:lang w:val="zh-CN"/>
        </w:rPr>
        <w:t>森林防火阻隔网络建设还不完善，现有防火设施标准普遍偏低，在本规划期内，要加大对</w:t>
      </w:r>
      <w:r>
        <w:rPr>
          <w:rFonts w:hint="eastAsia" w:ascii="仿宋" w:hAnsi="仿宋" w:cs="仿宋"/>
          <w:sz w:val="32"/>
          <w:szCs w:val="32"/>
        </w:rPr>
        <w:t>市</w:t>
      </w:r>
      <w:r>
        <w:rPr>
          <w:rFonts w:hint="eastAsia" w:ascii="仿宋" w:hAnsi="仿宋" w:cs="仿宋"/>
          <w:sz w:val="32"/>
          <w:szCs w:val="32"/>
          <w:lang w:val="zh-CN"/>
        </w:rPr>
        <w:t>县界、</w:t>
      </w:r>
      <w:r>
        <w:rPr>
          <w:rFonts w:hint="eastAsia" w:ascii="仿宋" w:hAnsi="仿宋" w:cs="仿宋"/>
          <w:sz w:val="32"/>
          <w:szCs w:val="32"/>
        </w:rPr>
        <w:t>自然保护地</w:t>
      </w:r>
      <w:r>
        <w:rPr>
          <w:rFonts w:hint="eastAsia" w:ascii="仿宋" w:hAnsi="仿宋" w:cs="仿宋"/>
          <w:sz w:val="32"/>
          <w:szCs w:val="32"/>
          <w:lang w:val="zh-CN"/>
        </w:rPr>
        <w:t>、风景名胜区周边、森林防火隔离带建设的投入，逐步在全市形成比较完备的生物防火阻隔网络。</w:t>
      </w:r>
      <w:r>
        <w:rPr>
          <w:rFonts w:hint="eastAsia" w:ascii="仿宋" w:hAnsi="仿宋" w:cs="仿宋"/>
          <w:sz w:val="32"/>
          <w:szCs w:val="32"/>
        </w:rPr>
        <w:t>在沿海防护林带和部分生态敏感区域内建设巡护步道、消防车道、蓄水池等防灾减灾基础设施，提高森林防灾减灾救灾能力。</w:t>
      </w:r>
    </w:p>
    <w:p w14:paraId="34F99A89">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项目布局：三亚市境内分为Ⅰ级、Ⅱ级、Ⅲ级火险区，森林火灾重点防控区域为甘什岭省级自然保护区、</w:t>
      </w:r>
      <w:r>
        <w:rPr>
          <w:rFonts w:hint="eastAsia" w:ascii="仿宋" w:hAnsi="仿宋" w:cs="仿宋"/>
          <w:sz w:val="32"/>
          <w:szCs w:val="32"/>
        </w:rPr>
        <w:t>抱龙林场</w:t>
      </w:r>
      <w:r>
        <w:rPr>
          <w:rFonts w:hint="eastAsia" w:ascii="仿宋" w:hAnsi="仿宋" w:cs="仿宋"/>
          <w:sz w:val="32"/>
          <w:szCs w:val="32"/>
          <w:lang w:val="zh-CN"/>
        </w:rPr>
        <w:t>、</w:t>
      </w:r>
      <w:r>
        <w:rPr>
          <w:rFonts w:hint="eastAsia" w:ascii="仿宋" w:hAnsi="仿宋" w:cs="仿宋"/>
          <w:sz w:val="32"/>
          <w:szCs w:val="32"/>
        </w:rPr>
        <w:t>大隆水库</w:t>
      </w:r>
      <w:r>
        <w:rPr>
          <w:rFonts w:hint="eastAsia" w:ascii="仿宋" w:hAnsi="仿宋" w:cs="仿宋"/>
          <w:sz w:val="32"/>
          <w:szCs w:val="32"/>
          <w:lang w:val="zh-CN"/>
        </w:rPr>
        <w:t>库区、</w:t>
      </w:r>
      <w:r>
        <w:rPr>
          <w:rFonts w:hint="eastAsia" w:ascii="仿宋" w:hAnsi="仿宋" w:cs="仿宋"/>
          <w:sz w:val="32"/>
          <w:szCs w:val="32"/>
        </w:rPr>
        <w:t>沿海防护林地带等</w:t>
      </w:r>
      <w:r>
        <w:rPr>
          <w:rFonts w:hint="eastAsia" w:ascii="仿宋" w:hAnsi="仿宋" w:cs="仿宋"/>
          <w:sz w:val="32"/>
          <w:szCs w:val="32"/>
          <w:lang w:val="zh-CN"/>
        </w:rPr>
        <w:t>。重要火险防控地带：</w:t>
      </w:r>
      <w:r>
        <w:rPr>
          <w:rFonts w:hint="eastAsia" w:ascii="仿宋" w:hAnsi="仿宋" w:cs="仿宋"/>
          <w:sz w:val="32"/>
          <w:szCs w:val="32"/>
        </w:rPr>
        <w:t>G98</w:t>
      </w:r>
      <w:r>
        <w:rPr>
          <w:rFonts w:hint="eastAsia" w:ascii="仿宋" w:hAnsi="仿宋" w:cs="仿宋"/>
          <w:sz w:val="32"/>
          <w:szCs w:val="32"/>
          <w:lang w:val="zh-CN"/>
        </w:rPr>
        <w:t>高速、</w:t>
      </w:r>
      <w:r>
        <w:rPr>
          <w:rFonts w:hint="eastAsia" w:ascii="仿宋" w:hAnsi="仿宋" w:cs="仿宋"/>
          <w:sz w:val="32"/>
          <w:szCs w:val="32"/>
        </w:rPr>
        <w:t>山海</w:t>
      </w:r>
      <w:r>
        <w:rPr>
          <w:rFonts w:hint="eastAsia" w:ascii="仿宋" w:hAnsi="仿宋" w:cs="仿宋"/>
          <w:sz w:val="32"/>
          <w:szCs w:val="32"/>
          <w:lang w:val="zh-CN"/>
        </w:rPr>
        <w:t>高速及三亚河、</w:t>
      </w:r>
      <w:r>
        <w:rPr>
          <w:rFonts w:hint="eastAsia" w:ascii="仿宋" w:hAnsi="仿宋" w:cs="仿宋"/>
          <w:sz w:val="32"/>
          <w:szCs w:val="32"/>
        </w:rPr>
        <w:t>宁远</w:t>
      </w:r>
      <w:r>
        <w:rPr>
          <w:rFonts w:hint="eastAsia" w:ascii="仿宋" w:hAnsi="仿宋" w:cs="仿宋"/>
          <w:sz w:val="32"/>
          <w:szCs w:val="32"/>
          <w:lang w:val="zh-CN"/>
        </w:rPr>
        <w:t>河、</w:t>
      </w:r>
      <w:r>
        <w:rPr>
          <w:rFonts w:hint="eastAsia" w:ascii="仿宋" w:hAnsi="仿宋" w:cs="仿宋"/>
          <w:sz w:val="32"/>
          <w:szCs w:val="32"/>
        </w:rPr>
        <w:t>藤桥</w:t>
      </w:r>
      <w:r>
        <w:rPr>
          <w:rFonts w:hint="eastAsia" w:ascii="仿宋" w:hAnsi="仿宋" w:cs="仿宋"/>
          <w:sz w:val="32"/>
          <w:szCs w:val="32"/>
          <w:lang w:val="zh-CN"/>
        </w:rPr>
        <w:t>河等重要河流两侧山体。</w:t>
      </w:r>
    </w:p>
    <w:p w14:paraId="66AA3E67">
      <w:pPr>
        <w:pStyle w:val="6"/>
        <w:spacing w:before="0" w:after="0" w:line="520" w:lineRule="exact"/>
        <w:rPr>
          <w:rFonts w:hint="eastAsia" w:ascii="仿宋" w:hAnsi="仿宋" w:eastAsia="仿宋" w:cs="仿宋"/>
          <w:b w:val="0"/>
          <w:sz w:val="32"/>
          <w:szCs w:val="32"/>
        </w:rPr>
      </w:pPr>
      <w:r>
        <w:rPr>
          <w:rFonts w:hint="eastAsia" w:ascii="仿宋" w:hAnsi="仿宋" w:eastAsia="仿宋" w:cs="仿宋"/>
          <w:b w:val="0"/>
          <w:sz w:val="32"/>
          <w:szCs w:val="32"/>
        </w:rPr>
        <w:t>（2）森林病虫害综合防治项目</w:t>
      </w:r>
    </w:p>
    <w:p w14:paraId="2C28DDF2">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目标：加强病虫害知识，防治技术、绿色防控的宣传，建设较完善的森林病虫害“监测、检疫、防治、封锁”四大体系。薇甘菊、椰心叶甲、椰子织蛾、桉树枝瘿姬小蜂、红棕象甲、金钟藤、槟榔黄化病、林地红火蚁等得到有效控制，其他常发性、偶发性病虫病虫害及时防治，实现林业有害生物成灾率控制在3%以内。</w:t>
      </w:r>
    </w:p>
    <w:p w14:paraId="36D74F4D">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内容：①监测体系建设。打造的专业监测队伍，充分利用现有的诱捕器、测报灯、无人机等先进的设备，对全市，特别是重点生态区位的森林病虫害开展监测，做到病虫害监测全覆盖。②检疫体系建设。充分发挥检疫在病虫害预防中的重要作用，加强和完善四个检疫办证点的硬件设施建设，完善检疫检验室的硬件建设，组建每个乡镇至少1名的兼职检疫员队伍，全力做好产地检疫，调运检疫等工作。③防治体系建设。加大对林业有害生物防治投入，全力遏制</w:t>
      </w:r>
      <w:r>
        <w:rPr>
          <w:rFonts w:hint="eastAsia" w:ascii="仿宋" w:hAnsi="仿宋" w:cs="仿宋"/>
          <w:sz w:val="32"/>
          <w:szCs w:val="32"/>
        </w:rPr>
        <w:t>各类有害生物</w:t>
      </w:r>
      <w:r>
        <w:rPr>
          <w:rFonts w:hint="eastAsia" w:ascii="仿宋" w:hAnsi="仿宋" w:cs="仿宋"/>
          <w:sz w:val="32"/>
          <w:szCs w:val="32"/>
          <w:lang w:val="zh-CN"/>
        </w:rPr>
        <w:t>疫情蔓延和扩散，实现一般性病虫害应治尽治。④执法体系建设。加强监测、检疫队伍建设，推进联防联治。加强执法队伍的业务培训，每年定期培训一次，实现监测率100%，测报准确率90%以上；定期对涉木企业开展检查，实现执法封锁，推动社会化防治和无公害防治工作，创新推广防治管理新机制和防治技术新模式。</w:t>
      </w:r>
    </w:p>
    <w:p w14:paraId="7D0A1443">
      <w:pPr>
        <w:pStyle w:val="6"/>
        <w:spacing w:before="0" w:after="0" w:line="520" w:lineRule="exact"/>
        <w:rPr>
          <w:rFonts w:hint="eastAsia" w:ascii="仿宋" w:hAnsi="仿宋" w:eastAsia="仿宋" w:cs="仿宋"/>
          <w:b w:val="0"/>
          <w:sz w:val="32"/>
          <w:szCs w:val="32"/>
        </w:rPr>
      </w:pPr>
      <w:r>
        <w:rPr>
          <w:rFonts w:hint="eastAsia" w:ascii="仿宋" w:hAnsi="仿宋" w:eastAsia="仿宋" w:cs="仿宋"/>
          <w:b w:val="0"/>
          <w:sz w:val="32"/>
          <w:szCs w:val="32"/>
        </w:rPr>
        <w:t>（3）提升林业装备防控能力</w:t>
      </w:r>
    </w:p>
    <w:p w14:paraId="06B83FA3">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建设目标：提升三亚市森林病虫害防治检疫所的装备和技术，全面提升三亚林业有害生物监测、检疫和防控能力。</w:t>
      </w:r>
    </w:p>
    <w:p w14:paraId="656DF5E7">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内容：①全面提升三亚市森林病虫害防治检疫所的装备和技术，充分利用海南省林业有害生物信息管理平台，对三亚市林业有害生物监测、防治、检疫、执法工作全程监管，打造一个集监测调度、检验检疫、科普培训等功能于一体的林业有害生物防控指挥中心。②建立林业有害生物远程监测系统。利用航空监测、物联网、移动通信等相关技术，结合现有虫情测报灯、无人机、视频监测摄像头等相关设备构建三亚市林业有害生物远程监测网络系统。③建立林业有害生物检疫执法系统。加大林业有害生物检疫执法力度，定期组织力量开展监督检查和检疫执法，加强监管疫木无害化处理，防范疫木违法加工。</w:t>
      </w:r>
    </w:p>
    <w:p w14:paraId="467F86C5">
      <w:pPr>
        <w:pStyle w:val="6"/>
        <w:spacing w:before="0" w:after="0" w:line="520" w:lineRule="exact"/>
        <w:rPr>
          <w:rFonts w:hint="eastAsia" w:ascii="仿宋" w:hAnsi="仿宋" w:eastAsia="仿宋" w:cs="仿宋"/>
          <w:b w:val="0"/>
          <w:sz w:val="32"/>
          <w:szCs w:val="32"/>
        </w:rPr>
      </w:pPr>
      <w:bookmarkStart w:id="427" w:name="_Toc63063153"/>
      <w:bookmarkStart w:id="428" w:name="_Toc4523"/>
      <w:bookmarkStart w:id="429" w:name="_Toc54856798"/>
      <w:bookmarkStart w:id="430" w:name="_Toc30300"/>
      <w:r>
        <w:rPr>
          <w:rFonts w:hint="eastAsia" w:ascii="仿宋" w:hAnsi="仿宋" w:eastAsia="仿宋" w:cs="仿宋"/>
          <w:b w:val="0"/>
          <w:sz w:val="32"/>
          <w:szCs w:val="32"/>
        </w:rPr>
        <w:t>（4）提升林业科技转化水平</w:t>
      </w:r>
      <w:bookmarkEnd w:id="427"/>
      <w:bookmarkEnd w:id="428"/>
      <w:bookmarkEnd w:id="429"/>
      <w:bookmarkEnd w:id="430"/>
    </w:p>
    <w:p w14:paraId="256203F7">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建设目标：发挥科技引领和支撑作用。确保“十四五”林业科技贡献率达55%以上，科技成果推广应用率保持在65%以上。</w:t>
      </w:r>
    </w:p>
    <w:p w14:paraId="3C3EF0C0">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建设内容：加大林业科技推广项目储备，市级储备森林提质增效、生态保护修复、</w:t>
      </w:r>
      <w:r>
        <w:rPr>
          <w:rFonts w:hint="eastAsia" w:ascii="仿宋" w:hAnsi="仿宋" w:cs="仿宋"/>
          <w:sz w:val="32"/>
          <w:szCs w:val="32"/>
        </w:rPr>
        <w:t>兰花</w:t>
      </w:r>
      <w:r>
        <w:rPr>
          <w:rFonts w:hint="eastAsia" w:ascii="仿宋" w:hAnsi="仿宋" w:cs="仿宋"/>
          <w:sz w:val="32"/>
          <w:szCs w:val="32"/>
          <w:lang w:val="zh-CN"/>
        </w:rPr>
        <w:t>花卉苗木产业、林业有害生物防治、湿地保护修复、国土绿化等方面林业科技项目、科研课题10个，组织申报省、市林业和科技部门立项5个；加大林业科技成果转化应用，承接</w:t>
      </w:r>
      <w:r>
        <w:rPr>
          <w:rFonts w:hint="eastAsia" w:ascii="仿宋" w:hAnsi="仿宋" w:cs="仿宋"/>
          <w:sz w:val="32"/>
          <w:szCs w:val="32"/>
        </w:rPr>
        <w:t>榴莲、菠萝蜜</w:t>
      </w:r>
      <w:r>
        <w:rPr>
          <w:rFonts w:hint="eastAsia" w:ascii="仿宋" w:hAnsi="仿宋" w:cs="仿宋"/>
          <w:sz w:val="32"/>
          <w:szCs w:val="32"/>
          <w:lang w:val="zh-CN"/>
        </w:rPr>
        <w:t>等经济林广示范项目2个，推广</w:t>
      </w:r>
      <w:r>
        <w:rPr>
          <w:rFonts w:hint="eastAsia" w:ascii="仿宋" w:hAnsi="仿宋" w:cs="仿宋"/>
          <w:sz w:val="32"/>
          <w:szCs w:val="32"/>
        </w:rPr>
        <w:t>黄花梨、土沉香、坡垒、铁凌</w:t>
      </w:r>
      <w:r>
        <w:rPr>
          <w:rFonts w:hint="eastAsia" w:ascii="仿宋" w:hAnsi="仿宋" w:cs="仿宋"/>
          <w:sz w:val="32"/>
          <w:szCs w:val="32"/>
          <w:lang w:val="zh-CN"/>
        </w:rPr>
        <w:t>等乡土珍贵树种200公顷，推广</w:t>
      </w:r>
      <w:r>
        <w:rPr>
          <w:rFonts w:hint="eastAsia" w:ascii="仿宋" w:hAnsi="仿宋" w:cs="仿宋"/>
          <w:sz w:val="32"/>
          <w:szCs w:val="32"/>
        </w:rPr>
        <w:t>橡胶、油茶、槟榔</w:t>
      </w:r>
      <w:r>
        <w:rPr>
          <w:rFonts w:hint="eastAsia" w:ascii="仿宋" w:hAnsi="仿宋" w:cs="仿宋"/>
          <w:sz w:val="32"/>
          <w:szCs w:val="32"/>
          <w:lang w:val="zh-CN"/>
        </w:rPr>
        <w:t>等经济林优良品种300公顷，推广湿地生态修复30公顷；加强林业推广能力建设，建设花卉苗木科技转化平台2个，三亚河红树林省级自然保护区宣传馆1个，热带优质硬木种质资源库1个，不断壮大科普专兼职人才队伍和科普志愿者队伍。</w:t>
      </w:r>
    </w:p>
    <w:p w14:paraId="55A6BD4E">
      <w:pPr>
        <w:pStyle w:val="6"/>
        <w:spacing w:before="0" w:after="0" w:line="520" w:lineRule="exact"/>
        <w:rPr>
          <w:rFonts w:hint="eastAsia" w:ascii="仿宋" w:hAnsi="仿宋" w:eastAsia="仿宋" w:cs="仿宋"/>
          <w:b w:val="0"/>
          <w:sz w:val="32"/>
          <w:szCs w:val="32"/>
        </w:rPr>
      </w:pPr>
      <w:bookmarkStart w:id="431" w:name="_Toc14723"/>
      <w:bookmarkStart w:id="432" w:name="_Toc3196"/>
      <w:bookmarkStart w:id="433" w:name="_Toc54856799"/>
      <w:bookmarkStart w:id="434" w:name="_Toc63063154"/>
      <w:r>
        <w:rPr>
          <w:rFonts w:hint="eastAsia" w:ascii="仿宋" w:hAnsi="仿宋" w:eastAsia="仿宋" w:cs="仿宋"/>
          <w:b w:val="0"/>
          <w:sz w:val="32"/>
          <w:szCs w:val="32"/>
        </w:rPr>
        <w:t>（5）加强林业科技人才培养</w:t>
      </w:r>
      <w:bookmarkEnd w:id="431"/>
      <w:bookmarkEnd w:id="432"/>
      <w:bookmarkEnd w:id="433"/>
      <w:bookmarkEnd w:id="434"/>
    </w:p>
    <w:p w14:paraId="78B94514">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目标：加强干部教育培训，提升队伍素质。调整人才结构，着力抓好林业行政管理人才、专业技术人才、特殊技能人才和实用人才等队伍建设，实现新老更替。推动基层林业人才队伍全面发展，形成依靠人才推动现代林业发展、以经济发展促进林业人才队伍建设的良好格局。加大科技推广，培养基层林业技术人才。</w:t>
      </w:r>
    </w:p>
    <w:p w14:paraId="769C181C">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建设内容：采取“绿色讲坛”集中培训和选送干部轮训方式提高队伍专业素质和林业管理综合素质。注重专家型人才培养，在</w:t>
      </w:r>
      <w:r>
        <w:rPr>
          <w:rFonts w:hint="eastAsia" w:ascii="仿宋" w:hAnsi="仿宋" w:cs="仿宋"/>
          <w:sz w:val="32"/>
          <w:szCs w:val="32"/>
        </w:rPr>
        <w:t>森林康养、</w:t>
      </w:r>
      <w:r>
        <w:rPr>
          <w:rFonts w:hint="eastAsia" w:ascii="仿宋" w:hAnsi="仿宋" w:cs="仿宋"/>
          <w:sz w:val="32"/>
          <w:szCs w:val="32"/>
          <w:lang w:val="zh-CN"/>
        </w:rPr>
        <w:t>花木、林下经济、资源监测、野生动物保护等方面培养专业带头人，突出三亚林业特色。计划培训干部职工人员400人次，树立专业学术带头人5-8人。根据现有编制配备，结合习近平新时代生态文明建设新思想，新理念，重点引进</w:t>
      </w:r>
      <w:r>
        <w:rPr>
          <w:rFonts w:hint="eastAsia" w:ascii="仿宋" w:hAnsi="仿宋" w:cs="仿宋"/>
          <w:sz w:val="32"/>
          <w:szCs w:val="32"/>
        </w:rPr>
        <w:t>森林康养、</w:t>
      </w:r>
      <w:r>
        <w:rPr>
          <w:rFonts w:hint="eastAsia" w:ascii="仿宋" w:hAnsi="仿宋" w:cs="仿宋"/>
          <w:sz w:val="32"/>
          <w:szCs w:val="32"/>
          <w:lang w:val="zh-CN"/>
        </w:rPr>
        <w:t>森林资源保护管理、自然生态保护和造林绿化方面专业人才，调整人才结构，实现新老更替。计划引进专业人才40人。以林业科技推广为支撑，开展送科技下乡活动，采取专家授课、发放技术资料、示范基地观摩等方式，大力培养基层实用技术人才，计划培养基层技术人才20000人/次。</w:t>
      </w:r>
    </w:p>
    <w:p w14:paraId="5D55D026">
      <w:pPr>
        <w:pStyle w:val="3"/>
        <w:spacing w:before="468" w:beforeLines="150" w:after="312" w:afterLines="100" w:line="520" w:lineRule="exact"/>
        <w:jc w:val="center"/>
        <w:rPr>
          <w:rFonts w:hint="eastAsia" w:ascii="仿宋" w:hAnsi="仿宋" w:cs="仿宋"/>
          <w:bCs w:val="0"/>
          <w:sz w:val="32"/>
          <w:szCs w:val="32"/>
        </w:rPr>
        <w:sectPr>
          <w:pgSz w:w="11906" w:h="16838"/>
          <w:pgMar w:top="1417" w:right="1417" w:bottom="1417" w:left="1417" w:header="851" w:footer="992" w:gutter="0"/>
          <w:cols w:space="720" w:num="1"/>
          <w:docGrid w:type="lines" w:linePitch="312" w:charSpace="0"/>
        </w:sectPr>
      </w:pPr>
      <w:bookmarkStart w:id="435" w:name="_Toc13730"/>
    </w:p>
    <w:p w14:paraId="401F23E3">
      <w:pPr>
        <w:pStyle w:val="3"/>
        <w:spacing w:before="468" w:beforeLines="150" w:after="312" w:afterLines="100" w:line="520" w:lineRule="exact"/>
        <w:jc w:val="center"/>
        <w:rPr>
          <w:rFonts w:hint="eastAsia" w:ascii="黑体" w:hAnsi="黑体" w:eastAsia="黑体" w:cs="黑体"/>
          <w:bCs w:val="0"/>
          <w:sz w:val="32"/>
          <w:szCs w:val="32"/>
        </w:rPr>
      </w:pPr>
      <w:bookmarkStart w:id="436" w:name="_Toc22849"/>
      <w:r>
        <w:rPr>
          <w:rFonts w:hint="eastAsia" w:ascii="黑体" w:hAnsi="黑体" w:eastAsia="黑体" w:cs="黑体"/>
          <w:bCs w:val="0"/>
          <w:sz w:val="32"/>
          <w:szCs w:val="32"/>
        </w:rPr>
        <w:t>第八章  规划实施保障措施</w:t>
      </w:r>
      <w:bookmarkEnd w:id="435"/>
      <w:bookmarkEnd w:id="436"/>
    </w:p>
    <w:p w14:paraId="05B08C64">
      <w:pPr>
        <w:pStyle w:val="4"/>
        <w:spacing w:line="520" w:lineRule="exact"/>
        <w:rPr>
          <w:rFonts w:hint="eastAsia" w:ascii="仿宋" w:hAnsi="仿宋" w:eastAsia="仿宋" w:cs="仿宋"/>
        </w:rPr>
      </w:pPr>
      <w:bookmarkStart w:id="437" w:name="_Toc24712"/>
      <w:bookmarkStart w:id="438" w:name="_Toc13795"/>
      <w:r>
        <w:rPr>
          <w:rFonts w:hint="eastAsia" w:ascii="仿宋" w:hAnsi="仿宋" w:eastAsia="仿宋" w:cs="仿宋"/>
        </w:rPr>
        <w:t>8.1 政策保障</w:t>
      </w:r>
      <w:bookmarkEnd w:id="437"/>
      <w:bookmarkEnd w:id="438"/>
    </w:p>
    <w:p w14:paraId="61069265">
      <w:pPr>
        <w:pStyle w:val="5"/>
        <w:spacing w:before="200" w:after="200" w:line="520" w:lineRule="exact"/>
        <w:rPr>
          <w:rFonts w:hint="eastAsia" w:ascii="仿宋" w:hAnsi="仿宋" w:eastAsia="仿宋" w:cs="仿宋"/>
        </w:rPr>
      </w:pPr>
      <w:bookmarkStart w:id="439" w:name="_Toc31220"/>
      <w:bookmarkStart w:id="440" w:name="_Toc1929"/>
      <w:bookmarkStart w:id="441" w:name="_Toc29160"/>
      <w:bookmarkStart w:id="442" w:name="_Toc25105"/>
      <w:bookmarkStart w:id="443" w:name="_Toc88494748"/>
      <w:r>
        <w:rPr>
          <w:rFonts w:hint="eastAsia" w:ascii="仿宋" w:hAnsi="仿宋" w:eastAsia="仿宋" w:cs="仿宋"/>
        </w:rPr>
        <w:t>8.1.1 严格执行林地保护利用规划</w:t>
      </w:r>
      <w:bookmarkEnd w:id="439"/>
      <w:bookmarkEnd w:id="440"/>
      <w:bookmarkEnd w:id="441"/>
      <w:bookmarkEnd w:id="442"/>
      <w:bookmarkEnd w:id="443"/>
    </w:p>
    <w:p w14:paraId="542B2420">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本规划经三亚市人民政府批准实施后，严禁擅自修改，严禁通过随意修改林地保护利用规划，降低林地保有量、森林保有量和林地生产率。对于违反本规划的行为，按照林地管理相关的法律、规章，给予相应的民事或行政处罚；对构成犯罪的，要按照《刑法》追究相应的刑事责任。</w:t>
      </w:r>
    </w:p>
    <w:p w14:paraId="1615CDFF">
      <w:pPr>
        <w:pStyle w:val="5"/>
        <w:spacing w:before="200" w:after="200" w:line="520" w:lineRule="exact"/>
        <w:rPr>
          <w:rFonts w:hint="eastAsia" w:ascii="仿宋" w:hAnsi="仿宋" w:eastAsia="仿宋" w:cs="仿宋"/>
        </w:rPr>
      </w:pPr>
      <w:bookmarkStart w:id="444" w:name="_Toc1608"/>
      <w:bookmarkStart w:id="445" w:name="_Toc21674"/>
      <w:bookmarkStart w:id="446" w:name="_Toc9905"/>
      <w:bookmarkStart w:id="447" w:name="_Toc10344"/>
      <w:bookmarkStart w:id="448" w:name="_Toc88494749"/>
      <w:r>
        <w:rPr>
          <w:rFonts w:hint="eastAsia" w:ascii="仿宋" w:hAnsi="仿宋" w:eastAsia="仿宋" w:cs="仿宋"/>
        </w:rPr>
        <w:t>8.1.2 完善规划调整和修改程序</w:t>
      </w:r>
      <w:bookmarkEnd w:id="444"/>
      <w:bookmarkEnd w:id="445"/>
      <w:bookmarkEnd w:id="446"/>
      <w:bookmarkEnd w:id="447"/>
      <w:bookmarkEnd w:id="448"/>
    </w:p>
    <w:p w14:paraId="5D8C7877">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由于国家和省重点基础设施项目建设、行政区划调整、城市建设总体规划调整、林地保护利用规划主要控制指标提前实施完成等原因，确实</w:t>
      </w:r>
      <w:r>
        <w:rPr>
          <w:rFonts w:hint="eastAsia" w:ascii="仿宋" w:hAnsi="仿宋" w:cs="仿宋"/>
          <w:sz w:val="32"/>
          <w:szCs w:val="32"/>
        </w:rPr>
        <w:t>需</w:t>
      </w:r>
      <w:r>
        <w:rPr>
          <w:rFonts w:hint="eastAsia" w:ascii="仿宋" w:hAnsi="仿宋" w:cs="仿宋"/>
          <w:sz w:val="32"/>
          <w:szCs w:val="32"/>
          <w:lang w:val="zh-CN"/>
        </w:rPr>
        <w:t>要对林地保护利用规划进行修改和调整的，必须严格按照程序对规划修改的必要性、合理性、合法性进行</w:t>
      </w:r>
      <w:r>
        <w:rPr>
          <w:rFonts w:hint="eastAsia" w:ascii="仿宋" w:hAnsi="仿宋" w:cs="仿宋"/>
          <w:sz w:val="32"/>
          <w:szCs w:val="32"/>
        </w:rPr>
        <w:t>综合</w:t>
      </w:r>
      <w:r>
        <w:rPr>
          <w:rFonts w:hint="eastAsia" w:ascii="仿宋" w:hAnsi="仿宋" w:cs="仿宋"/>
          <w:sz w:val="32"/>
          <w:szCs w:val="32"/>
          <w:lang w:val="zh-CN"/>
        </w:rPr>
        <w:t>评估和组织专家论证的基础上，进行修改完善后报三亚市人民政府批准并颁布实施。同时规划调整、修改工作要细化、科学化，必须进一步明确修改调整的条件、类型、审批权限、阶段、程序和修改调整方案内容要求等，制订相关实施意见或办法，使规划调整、修改走向规范化、制度化。</w:t>
      </w:r>
    </w:p>
    <w:p w14:paraId="70F65C59">
      <w:pPr>
        <w:pStyle w:val="5"/>
        <w:spacing w:before="200" w:after="200" w:line="520" w:lineRule="exact"/>
        <w:rPr>
          <w:rFonts w:hint="eastAsia" w:ascii="仿宋" w:hAnsi="仿宋" w:eastAsia="仿宋" w:cs="仿宋"/>
        </w:rPr>
      </w:pPr>
      <w:bookmarkStart w:id="449" w:name="_Toc24661"/>
      <w:bookmarkStart w:id="450" w:name="_Toc88494750"/>
      <w:bookmarkStart w:id="451" w:name="_Toc5445"/>
      <w:bookmarkStart w:id="452" w:name="_Toc8881"/>
      <w:bookmarkStart w:id="453" w:name="_Toc17403"/>
      <w:r>
        <w:rPr>
          <w:rFonts w:hint="eastAsia" w:ascii="仿宋" w:hAnsi="仿宋" w:eastAsia="仿宋" w:cs="仿宋"/>
        </w:rPr>
        <w:t>8.1.3 加强林地执法力度</w:t>
      </w:r>
      <w:bookmarkEnd w:id="449"/>
      <w:bookmarkEnd w:id="450"/>
      <w:bookmarkEnd w:id="451"/>
      <w:bookmarkEnd w:id="452"/>
      <w:bookmarkEnd w:id="453"/>
    </w:p>
    <w:p w14:paraId="3641AA7C">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加大执法力度，适时开展林地保护专项整治行动，对违法破坏林地行为从严从重打击。林地主管部门要加大监督巡查力度，力求做到占前看、占中查和占后验，逐步形成一套行之有效的监督模式。强力推进依法行政的工作局面，全面提高林地资源法制管理水平。</w:t>
      </w:r>
    </w:p>
    <w:p w14:paraId="10361D1C">
      <w:pPr>
        <w:pStyle w:val="4"/>
        <w:spacing w:line="520" w:lineRule="exact"/>
        <w:rPr>
          <w:rFonts w:hint="eastAsia" w:ascii="仿宋" w:hAnsi="仿宋" w:eastAsia="仿宋" w:cs="仿宋"/>
        </w:rPr>
      </w:pPr>
      <w:bookmarkStart w:id="454" w:name="_Toc26552"/>
      <w:bookmarkStart w:id="455" w:name="_Toc17163"/>
      <w:r>
        <w:rPr>
          <w:rFonts w:hint="eastAsia" w:ascii="仿宋" w:hAnsi="仿宋" w:eastAsia="仿宋" w:cs="仿宋"/>
        </w:rPr>
        <w:t>8.2制度保障</w:t>
      </w:r>
      <w:bookmarkEnd w:id="454"/>
      <w:bookmarkEnd w:id="455"/>
    </w:p>
    <w:p w14:paraId="07076848">
      <w:pPr>
        <w:pStyle w:val="5"/>
        <w:spacing w:after="200" w:line="520" w:lineRule="exact"/>
        <w:rPr>
          <w:rFonts w:hint="eastAsia" w:ascii="仿宋" w:hAnsi="仿宋" w:eastAsia="仿宋" w:cs="仿宋"/>
        </w:rPr>
      </w:pPr>
      <w:bookmarkStart w:id="456" w:name="_Toc88494741"/>
      <w:bookmarkStart w:id="457" w:name="_Toc28303"/>
      <w:bookmarkStart w:id="458" w:name="_Toc8231"/>
      <w:bookmarkStart w:id="459" w:name="_Toc15079"/>
      <w:bookmarkStart w:id="460" w:name="_Toc17923"/>
      <w:bookmarkStart w:id="461" w:name="_Toc88494740"/>
      <w:bookmarkStart w:id="462" w:name="_Toc1603"/>
      <w:bookmarkStart w:id="463" w:name="_Toc11477"/>
      <w:r>
        <w:rPr>
          <w:rFonts w:hint="eastAsia" w:ascii="仿宋" w:hAnsi="仿宋" w:eastAsia="仿宋" w:cs="仿宋"/>
        </w:rPr>
        <w:t>8.2.1 建立领导责任制度</w:t>
      </w:r>
      <w:bookmarkEnd w:id="456"/>
      <w:bookmarkEnd w:id="457"/>
      <w:bookmarkEnd w:id="458"/>
      <w:bookmarkEnd w:id="459"/>
      <w:bookmarkEnd w:id="460"/>
    </w:p>
    <w:p w14:paraId="423852F8">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规划编制后，政府要加强规划实施的组织领导，</w:t>
      </w:r>
      <w:r>
        <w:rPr>
          <w:rFonts w:hint="eastAsia" w:ascii="仿宋" w:hAnsi="仿宋" w:cs="仿宋"/>
          <w:sz w:val="32"/>
          <w:szCs w:val="32"/>
        </w:rPr>
        <w:t>结合林长制</w:t>
      </w:r>
      <w:r>
        <w:rPr>
          <w:rFonts w:hint="eastAsia" w:ascii="仿宋" w:hAnsi="仿宋" w:cs="仿宋"/>
          <w:sz w:val="32"/>
          <w:szCs w:val="32"/>
          <w:lang w:val="zh-CN"/>
        </w:rPr>
        <w:t>认真落实林地保护责任制。把规划实施</w:t>
      </w:r>
      <w:r>
        <w:rPr>
          <w:rFonts w:hint="eastAsia" w:ascii="仿宋" w:hAnsi="仿宋" w:cs="仿宋"/>
          <w:sz w:val="32"/>
          <w:szCs w:val="32"/>
        </w:rPr>
        <w:t>情况</w:t>
      </w:r>
      <w:r>
        <w:rPr>
          <w:rFonts w:hint="eastAsia" w:ascii="仿宋" w:hAnsi="仿宋" w:cs="仿宋"/>
          <w:sz w:val="32"/>
          <w:szCs w:val="32"/>
          <w:lang w:val="zh-CN"/>
        </w:rPr>
        <w:t>列为各级政府任期考核目标的重要内容，自觉接受监督，强化新闻监督和社会监督机制。</w:t>
      </w:r>
    </w:p>
    <w:p w14:paraId="05D3D282">
      <w:pPr>
        <w:pStyle w:val="5"/>
        <w:spacing w:before="200" w:after="200" w:line="520" w:lineRule="exact"/>
        <w:rPr>
          <w:rFonts w:hint="eastAsia" w:ascii="仿宋" w:hAnsi="仿宋" w:eastAsia="仿宋" w:cs="仿宋"/>
        </w:rPr>
      </w:pPr>
      <w:bookmarkStart w:id="464" w:name="_Toc10805"/>
      <w:bookmarkStart w:id="465" w:name="_Toc17039"/>
      <w:r>
        <w:rPr>
          <w:rFonts w:hint="eastAsia" w:ascii="仿宋" w:hAnsi="仿宋" w:eastAsia="仿宋" w:cs="仿宋"/>
        </w:rPr>
        <w:t>8.2.2 建立林地保护利用规划公示制度</w:t>
      </w:r>
      <w:bookmarkEnd w:id="461"/>
      <w:bookmarkEnd w:id="462"/>
      <w:bookmarkEnd w:id="463"/>
      <w:bookmarkEnd w:id="464"/>
      <w:bookmarkEnd w:id="465"/>
    </w:p>
    <w:p w14:paraId="2A3F739C">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rPr>
        <w:t>本</w:t>
      </w:r>
      <w:r>
        <w:rPr>
          <w:rFonts w:hint="eastAsia" w:ascii="仿宋" w:hAnsi="仿宋" w:cs="仿宋"/>
          <w:sz w:val="32"/>
          <w:szCs w:val="32"/>
          <w:lang w:val="zh-CN"/>
        </w:rPr>
        <w:t>规划经三亚市人民政府批准实施后，应在全市辖区范围内予以公示。公示内容包括规划目标、规划期限、规划范围、用途区类型与面积、用途区管制规则、批准机关和批准日期等。在林地保护利用规划实施过程中，对规划实施、动态管理和管理的工作制度、办事程序进行公示。</w:t>
      </w:r>
    </w:p>
    <w:p w14:paraId="5F42EBDB">
      <w:pPr>
        <w:pStyle w:val="5"/>
        <w:spacing w:before="200" w:after="200" w:line="520" w:lineRule="exact"/>
        <w:rPr>
          <w:rFonts w:hint="eastAsia" w:ascii="仿宋" w:hAnsi="仿宋" w:eastAsia="仿宋" w:cs="仿宋"/>
        </w:rPr>
      </w:pPr>
      <w:bookmarkStart w:id="466" w:name="_Toc11618"/>
      <w:bookmarkStart w:id="467" w:name="_Toc8447"/>
      <w:bookmarkStart w:id="468" w:name="_Toc88494742"/>
      <w:bookmarkStart w:id="469" w:name="_Toc8372"/>
      <w:bookmarkStart w:id="470" w:name="_Toc20717"/>
      <w:r>
        <w:rPr>
          <w:rFonts w:hint="eastAsia" w:ascii="仿宋" w:hAnsi="仿宋" w:eastAsia="仿宋" w:cs="仿宋"/>
        </w:rPr>
        <w:t>8.2.3 完善规划实施评价制度</w:t>
      </w:r>
      <w:bookmarkEnd w:id="466"/>
      <w:bookmarkEnd w:id="467"/>
      <w:bookmarkEnd w:id="468"/>
      <w:bookmarkEnd w:id="469"/>
      <w:bookmarkEnd w:id="470"/>
    </w:p>
    <w:p w14:paraId="255F15A4">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进一步完善规划实施评价的指标体系，定期开展规划实施评价；通过规划实施评价，及时把握规划实施动态，为规划的进一步实施提供及时、可靠的规划信息，增强规划的引导和控制作用，促进规划的全面实施。</w:t>
      </w:r>
    </w:p>
    <w:p w14:paraId="4BCDE954">
      <w:pPr>
        <w:pStyle w:val="5"/>
        <w:spacing w:before="200" w:after="200" w:line="520" w:lineRule="exact"/>
        <w:rPr>
          <w:rFonts w:hint="eastAsia" w:ascii="仿宋" w:hAnsi="仿宋" w:eastAsia="仿宋" w:cs="仿宋"/>
        </w:rPr>
      </w:pPr>
      <w:bookmarkStart w:id="471" w:name="_Toc12600"/>
      <w:bookmarkStart w:id="472" w:name="_Toc7874"/>
      <w:bookmarkStart w:id="473" w:name="_Toc88494744"/>
      <w:bookmarkStart w:id="474" w:name="_Toc28325"/>
      <w:bookmarkStart w:id="475" w:name="_Toc28268"/>
      <w:r>
        <w:rPr>
          <w:rFonts w:hint="eastAsia" w:ascii="仿宋" w:hAnsi="仿宋" w:eastAsia="仿宋" w:cs="仿宋"/>
        </w:rPr>
        <w:t>8.2.4 强化“用途管制”制度的实施</w:t>
      </w:r>
      <w:bookmarkEnd w:id="471"/>
      <w:bookmarkEnd w:id="472"/>
      <w:bookmarkEnd w:id="473"/>
      <w:bookmarkEnd w:id="474"/>
      <w:bookmarkEnd w:id="475"/>
    </w:p>
    <w:p w14:paraId="357D108F">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强化用途管制制度对林地保护利用的控制作用。各项使用林地必须按林地用途分区严格审核其占地规模、位置和用途，加强各项用地规划跟踪管理，严格控制林地用地指标。</w:t>
      </w:r>
    </w:p>
    <w:p w14:paraId="19F11E03">
      <w:pPr>
        <w:pStyle w:val="4"/>
        <w:spacing w:line="520" w:lineRule="exact"/>
        <w:rPr>
          <w:rFonts w:hint="eastAsia" w:ascii="仿宋" w:hAnsi="仿宋" w:eastAsia="仿宋" w:cs="仿宋"/>
        </w:rPr>
      </w:pPr>
      <w:bookmarkStart w:id="476" w:name="_Toc29212"/>
      <w:bookmarkStart w:id="477" w:name="_Toc11951"/>
      <w:r>
        <w:rPr>
          <w:rFonts w:hint="eastAsia" w:ascii="仿宋" w:hAnsi="仿宋" w:eastAsia="仿宋" w:cs="仿宋"/>
        </w:rPr>
        <w:t>8.3资金保障</w:t>
      </w:r>
      <w:bookmarkEnd w:id="476"/>
      <w:bookmarkEnd w:id="477"/>
    </w:p>
    <w:p w14:paraId="52190752">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林地保护利用涉及社会的方方面面，需要大量的资金投入，要广泛吸引社会投资参与林地的保护利用，积极鼓励和引导社会资金投资林地保护利用，要积极争取财政资金用于保证林地确权、定界、调查、监测、档案管理以及林地执法、管护、用地审核等。争取国家加大对生态区位极为重要和生态极为脆弱地区森林植被恢复的投资力度；将林业部门行政事业经费和林业发展经费纳入财政预算，实现三亚市林业生态建设资金投入与财政收入、GDP同步增长；加快发展林业碳汇项目，早日形成碳汇交易市场，为林业发展提供新的资金来源。</w:t>
      </w:r>
    </w:p>
    <w:p w14:paraId="253AB167">
      <w:pPr>
        <w:pStyle w:val="4"/>
        <w:spacing w:line="520" w:lineRule="exact"/>
        <w:rPr>
          <w:rFonts w:hint="eastAsia" w:ascii="仿宋" w:hAnsi="仿宋" w:eastAsia="仿宋" w:cs="仿宋"/>
        </w:rPr>
      </w:pPr>
      <w:bookmarkStart w:id="478" w:name="_Toc18485"/>
      <w:bookmarkStart w:id="479" w:name="_Toc25143"/>
      <w:r>
        <w:rPr>
          <w:rFonts w:hint="eastAsia" w:ascii="仿宋" w:hAnsi="仿宋" w:eastAsia="仿宋" w:cs="仿宋"/>
        </w:rPr>
        <w:t>8.4能力保障</w:t>
      </w:r>
      <w:bookmarkEnd w:id="478"/>
      <w:bookmarkEnd w:id="479"/>
    </w:p>
    <w:p w14:paraId="57B48360">
      <w:pPr>
        <w:spacing w:line="520" w:lineRule="exact"/>
        <w:ind w:firstLine="646" w:firstLineChars="202"/>
        <w:rPr>
          <w:rFonts w:hint="eastAsia" w:ascii="仿宋" w:hAnsi="仿宋" w:cs="仿宋"/>
          <w:sz w:val="32"/>
          <w:szCs w:val="32"/>
          <w:lang w:val="zh-CN"/>
        </w:rPr>
      </w:pPr>
      <w:r>
        <w:rPr>
          <w:rFonts w:hint="eastAsia" w:ascii="仿宋" w:hAnsi="仿宋" w:cs="仿宋"/>
          <w:sz w:val="32"/>
          <w:szCs w:val="32"/>
          <w:lang w:val="zh-CN"/>
        </w:rPr>
        <w:t>加强干部教育培训，提升队伍素质。调整人才结构，着力抓好林业行政管理人才、专业技术人才、特殊技能人才和实用人才等队伍建设，实现新老更替。推动基层林业人才队伍全面发展，形成依靠人才推动现代林业发展、以经济发展促进林业人才队伍建设的良好格局。</w:t>
      </w:r>
    </w:p>
    <w:p w14:paraId="4320D43D">
      <w:pPr>
        <w:spacing w:line="520" w:lineRule="exact"/>
        <w:ind w:firstLine="646" w:firstLineChars="202"/>
        <w:rPr>
          <w:rFonts w:hint="eastAsia" w:ascii="宋体" w:hAnsi="宋体" w:eastAsia="宋体" w:cs="宋体"/>
          <w:szCs w:val="28"/>
          <w:lang w:val="zh-CN"/>
        </w:rPr>
      </w:pPr>
      <w:r>
        <w:rPr>
          <w:rFonts w:hint="eastAsia" w:ascii="仿宋" w:hAnsi="仿宋" w:cs="仿宋"/>
          <w:sz w:val="32"/>
          <w:szCs w:val="32"/>
          <w:lang w:val="zh-CN"/>
        </w:rPr>
        <w:t>建立“互联网+智慧林业”平台，掌握全市林业的发展态势，有效管理林业资源，实时林业资源动态变化监测和湿地管理监测。建立对资源林政管理、营造林管理、古树名木管理、病虫害防治决策、森林防火预警、森林防火指挥调度、GPS护林员等长期森林监测与评估系统，通过感知化、物联化、智能化的手段，为政府决策和林业生产经营规划提供科学依据；建设与应用视频监控，自动感应的森林火灾监测预警与防控系统，增加森林防火红外感应等地网系统分布范围，推广移动智能终端(智能手机app)等人网系统，将森林防火管理纳入预警管理平台</w:t>
      </w:r>
      <w:r>
        <w:rPr>
          <w:rFonts w:hint="eastAsia" w:ascii="宋体" w:hAnsi="宋体" w:eastAsia="宋体" w:cs="宋体"/>
          <w:szCs w:val="28"/>
          <w:lang w:val="zh-CN"/>
        </w:rPr>
        <w:t>。</w:t>
      </w:r>
    </w:p>
    <w:p w14:paraId="5D7B043F">
      <w:pPr>
        <w:pStyle w:val="13"/>
        <w:rPr>
          <w:rFonts w:hint="eastAsia" w:ascii="宋体" w:hAnsi="宋体" w:cs="宋体"/>
          <w:lang w:val="zh-CN"/>
        </w:rPr>
        <w:sectPr>
          <w:pgSz w:w="11906" w:h="16838"/>
          <w:pgMar w:top="1417" w:right="1417" w:bottom="1417" w:left="1417" w:header="851" w:footer="992" w:gutter="0"/>
          <w:cols w:space="720" w:num="1"/>
          <w:docGrid w:type="lines" w:linePitch="312" w:charSpace="0"/>
        </w:sectPr>
      </w:pPr>
    </w:p>
    <w:p w14:paraId="535EC7CB">
      <w:pPr>
        <w:pStyle w:val="12"/>
        <w:ind w:firstLine="0" w:firstLineChars="0"/>
        <w:sectPr>
          <w:pgSz w:w="16838" w:h="11906" w:orient="landscape"/>
          <w:pgMar w:top="567" w:right="567" w:bottom="567" w:left="567" w:header="851" w:footer="992" w:gutter="0"/>
          <w:cols w:space="720" w:num="1"/>
          <w:docGrid w:type="lines" w:linePitch="398" w:charSpace="0"/>
        </w:sectPr>
      </w:pPr>
      <w:r>
        <w:drawing>
          <wp:anchor distT="0" distB="0" distL="114300" distR="114300" simplePos="0" relativeHeight="251659264" behindDoc="0" locked="0" layoutInCell="1" allowOverlap="1">
            <wp:simplePos x="0" y="0"/>
            <wp:positionH relativeFrom="column">
              <wp:posOffset>0</wp:posOffset>
            </wp:positionH>
            <wp:positionV relativeFrom="paragraph">
              <wp:posOffset>-167640</wp:posOffset>
            </wp:positionV>
            <wp:extent cx="9791065" cy="6758305"/>
            <wp:effectExtent l="0" t="0" r="0" b="0"/>
            <wp:wrapSquare wrapText="bothSides"/>
            <wp:docPr id="22" name="图片 3" descr="01林地与三条控制线的位置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01林地与三条控制线的位置关系图"/>
                    <pic:cNvPicPr>
                      <a:picLocks noChangeAspect="1" noChangeArrowheads="1"/>
                    </pic:cNvPicPr>
                  </pic:nvPicPr>
                  <pic:blipFill>
                    <a:blip r:embed="rId9" cstate="print">
                      <a:extLst>
                        <a:ext uri="{28A0092B-C50C-407E-A947-70E740481C1C}">
                          <a14:useLocalDpi xmlns:a14="http://schemas.microsoft.com/office/drawing/2010/main" val="0"/>
                        </a:ext>
                      </a:extLst>
                    </a:blip>
                    <a:srcRect r="1715" b="4109"/>
                    <a:stretch>
                      <a:fillRect/>
                    </a:stretch>
                  </pic:blipFill>
                  <pic:spPr>
                    <a:xfrm>
                      <a:off x="0" y="0"/>
                      <a:ext cx="9791065" cy="6758305"/>
                    </a:xfrm>
                    <a:prstGeom prst="rect">
                      <a:avLst/>
                    </a:prstGeom>
                    <a:noFill/>
                    <a:ln>
                      <a:noFill/>
                    </a:ln>
                    <a:effectLst/>
                  </pic:spPr>
                </pic:pic>
              </a:graphicData>
            </a:graphic>
          </wp:anchor>
        </w:drawing>
      </w:r>
    </w:p>
    <w:p w14:paraId="76238797">
      <w:pPr>
        <w:pStyle w:val="12"/>
        <w:ind w:firstLine="0" w:firstLineChars="0"/>
        <w:sectPr>
          <w:pgSz w:w="16838" w:h="11906" w:orient="landscape"/>
          <w:pgMar w:top="567" w:right="567" w:bottom="567" w:left="567" w:header="851" w:footer="992" w:gutter="0"/>
          <w:cols w:space="720" w:num="1"/>
          <w:docGrid w:type="lines" w:linePitch="398" w:charSpace="0"/>
        </w:sectPr>
      </w:pPr>
      <w:r>
        <w:drawing>
          <wp:anchor distT="0" distB="0" distL="114300" distR="114300" simplePos="0" relativeHeight="251660288" behindDoc="0" locked="0" layoutInCell="1" allowOverlap="1">
            <wp:simplePos x="0" y="0"/>
            <wp:positionH relativeFrom="column">
              <wp:posOffset>0</wp:posOffset>
            </wp:positionH>
            <wp:positionV relativeFrom="paragraph">
              <wp:posOffset>13970</wp:posOffset>
            </wp:positionV>
            <wp:extent cx="9843770" cy="6751320"/>
            <wp:effectExtent l="0" t="0" r="0" b="0"/>
            <wp:wrapSquare wrapText="bothSides"/>
            <wp:docPr id="24" name="图片 2" descr="02林地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02林地现状图"/>
                    <pic:cNvPicPr>
                      <a:picLocks noChangeAspect="1" noChangeArrowheads="1"/>
                    </pic:cNvPicPr>
                  </pic:nvPicPr>
                  <pic:blipFill>
                    <a:blip r:embed="rId10" cstate="print">
                      <a:extLst>
                        <a:ext uri="{28A0092B-C50C-407E-A947-70E740481C1C}">
                          <a14:useLocalDpi xmlns:a14="http://schemas.microsoft.com/office/drawing/2010/main" val="0"/>
                        </a:ext>
                      </a:extLst>
                    </a:blip>
                    <a:srcRect r="1186" b="4207"/>
                    <a:stretch>
                      <a:fillRect/>
                    </a:stretch>
                  </pic:blipFill>
                  <pic:spPr>
                    <a:xfrm>
                      <a:off x="0" y="0"/>
                      <a:ext cx="9843770" cy="6751320"/>
                    </a:xfrm>
                    <a:prstGeom prst="rect">
                      <a:avLst/>
                    </a:prstGeom>
                    <a:noFill/>
                    <a:ln>
                      <a:noFill/>
                    </a:ln>
                    <a:effectLst/>
                  </pic:spPr>
                </pic:pic>
              </a:graphicData>
            </a:graphic>
          </wp:anchor>
        </w:drawing>
      </w:r>
    </w:p>
    <w:p w14:paraId="4C15ABAF">
      <w:pPr>
        <w:pStyle w:val="12"/>
        <w:ind w:firstLine="0" w:firstLineChars="0"/>
      </w:pPr>
      <w:r>
        <w:drawing>
          <wp:anchor distT="0" distB="0" distL="114300" distR="114300" simplePos="0" relativeHeight="251660288" behindDoc="0" locked="0" layoutInCell="1" allowOverlap="1">
            <wp:simplePos x="0" y="0"/>
            <wp:positionH relativeFrom="column">
              <wp:posOffset>0</wp:posOffset>
            </wp:positionH>
            <wp:positionV relativeFrom="paragraph">
              <wp:posOffset>-250190</wp:posOffset>
            </wp:positionV>
            <wp:extent cx="9875520" cy="6760210"/>
            <wp:effectExtent l="0" t="0" r="0" b="0"/>
            <wp:wrapSquare wrapText="bothSides"/>
            <wp:docPr id="36" name="图片 1" descr="08林地保护分级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08林地保护分级规划图"/>
                    <pic:cNvPicPr>
                      <a:picLocks noChangeAspect="1" noChangeArrowheads="1"/>
                    </pic:cNvPicPr>
                  </pic:nvPicPr>
                  <pic:blipFill>
                    <a:blip r:embed="rId11" cstate="print">
                      <a:extLst>
                        <a:ext uri="{28A0092B-C50C-407E-A947-70E740481C1C}">
                          <a14:useLocalDpi xmlns:a14="http://schemas.microsoft.com/office/drawing/2010/main" val="0"/>
                        </a:ext>
                      </a:extLst>
                    </a:blip>
                    <a:srcRect r="867" b="4082"/>
                    <a:stretch>
                      <a:fillRect/>
                    </a:stretch>
                  </pic:blipFill>
                  <pic:spPr>
                    <a:xfrm>
                      <a:off x="0" y="0"/>
                      <a:ext cx="9875520" cy="6760210"/>
                    </a:xfrm>
                    <a:prstGeom prst="rect">
                      <a:avLst/>
                    </a:prstGeom>
                    <a:noFill/>
                    <a:ln>
                      <a:noFill/>
                    </a:ln>
                    <a:effectLst/>
                  </pic:spPr>
                </pic:pic>
              </a:graphicData>
            </a:graphic>
          </wp:anchor>
        </w:drawing>
      </w:r>
    </w:p>
    <w:sectPr>
      <w:pgSz w:w="16838" w:h="11906" w:orient="landscape"/>
      <w:pgMar w:top="567" w:right="567" w:bottom="567" w:left="567" w:header="851" w:footer="992" w:gutter="0"/>
      <w:cols w:space="720" w:num="1"/>
      <w:docGrid w:type="lines" w:linePitch="39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2072D">
    <w:pPr>
      <w:pStyle w:val="18"/>
      <w:jc w:val="center"/>
    </w:pPr>
  </w:p>
  <w:p w14:paraId="19EA3206">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9EBF3">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41684">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8420" cy="139700"/>
              <wp:effectExtent l="0" t="0" r="635" b="0"/>
              <wp:wrapNone/>
              <wp:docPr id="44696300" name="文本框 1"/>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wps:spPr>
                    <wps:txbx>
                      <w:txbxContent>
                        <w:p w14:paraId="434920BD">
                          <w:pPr>
                            <w:pStyle w:val="18"/>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1pt;width:4.6pt;mso-position-horizontal:center;mso-position-horizontal-relative:margin;mso-wrap-style:none;z-index:251660288;mso-width-relative:page;mso-height-relative:page;" filled="f" stroked="f" coordsize="21600,21600"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LW7l30AAAAAIBAAAPAAAAAAAAAAEAIAAAACIAAABk&#10;cnMvZG93bnJldi54bWxQSwECFAAUAAAACACHTuJAvIKH7w4CAAAIBAAADgAAAAAAAAABACAAAAAf&#10;AQAAZHJzL2Uyb0RvYy54bWxQSwUGAAAAAAYABgBZAQAAnwUAAAAA&#10;">
              <v:fill on="f" focussize="0,0"/>
              <v:stroke on="f"/>
              <v:imagedata o:title=""/>
              <o:lock v:ext="edit" aspectratio="f"/>
              <v:textbox inset="0mm,0mm,0mm,0mm" style="mso-fit-shape-to-text:t;">
                <w:txbxContent>
                  <w:p w14:paraId="434920BD">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5DA6E">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A83EB">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1FCF38"/>
    <w:multiLevelType w:val="singleLevel"/>
    <w:tmpl w:val="B41FCF38"/>
    <w:lvl w:ilvl="0" w:tentative="0">
      <w:start w:val="1"/>
      <w:numFmt w:val="decimal"/>
      <w:suff w:val="nothing"/>
      <w:lvlText w:val="（%1）"/>
      <w:lvlJc w:val="left"/>
    </w:lvl>
  </w:abstractNum>
  <w:abstractNum w:abstractNumId="1">
    <w:nsid w:val="291F1CE5"/>
    <w:multiLevelType w:val="singleLevel"/>
    <w:tmpl w:val="291F1C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HorizontalSpacing w:val="105"/>
  <w:drawingGridVerticalSpacing w:val="199"/>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EwNDQzNTA3YmVjYTFjMTU4NWU4NjUyY2YwYTFmODIifQ=="/>
  </w:docVars>
  <w:rsids>
    <w:rsidRoot w:val="00CA54E6"/>
    <w:rsid w:val="000074F1"/>
    <w:rsid w:val="00010997"/>
    <w:rsid w:val="000147B3"/>
    <w:rsid w:val="00025FF3"/>
    <w:rsid w:val="000313B6"/>
    <w:rsid w:val="00033C0E"/>
    <w:rsid w:val="00074A41"/>
    <w:rsid w:val="00081AD1"/>
    <w:rsid w:val="00083B7A"/>
    <w:rsid w:val="0008501F"/>
    <w:rsid w:val="00086040"/>
    <w:rsid w:val="00086B35"/>
    <w:rsid w:val="00090EBF"/>
    <w:rsid w:val="000932F9"/>
    <w:rsid w:val="00096EBB"/>
    <w:rsid w:val="000A0852"/>
    <w:rsid w:val="000A135B"/>
    <w:rsid w:val="000A2ED6"/>
    <w:rsid w:val="000C23CC"/>
    <w:rsid w:val="000C46AD"/>
    <w:rsid w:val="000C56DF"/>
    <w:rsid w:val="000D0E48"/>
    <w:rsid w:val="000E2B98"/>
    <w:rsid w:val="000F00DE"/>
    <w:rsid w:val="000F3DFC"/>
    <w:rsid w:val="00100D99"/>
    <w:rsid w:val="0012735D"/>
    <w:rsid w:val="001423D0"/>
    <w:rsid w:val="00156B77"/>
    <w:rsid w:val="00157F2B"/>
    <w:rsid w:val="001622C0"/>
    <w:rsid w:val="00162FFF"/>
    <w:rsid w:val="00181B6A"/>
    <w:rsid w:val="001839B7"/>
    <w:rsid w:val="00184DE0"/>
    <w:rsid w:val="00193CCC"/>
    <w:rsid w:val="001A24FD"/>
    <w:rsid w:val="001A3E4B"/>
    <w:rsid w:val="001B00D7"/>
    <w:rsid w:val="001B4A70"/>
    <w:rsid w:val="001D0E14"/>
    <w:rsid w:val="001D6A71"/>
    <w:rsid w:val="001E1943"/>
    <w:rsid w:val="001F3610"/>
    <w:rsid w:val="001F56A7"/>
    <w:rsid w:val="001F6200"/>
    <w:rsid w:val="001F6786"/>
    <w:rsid w:val="00207A07"/>
    <w:rsid w:val="00210DE1"/>
    <w:rsid w:val="00212103"/>
    <w:rsid w:val="002201E6"/>
    <w:rsid w:val="0022404C"/>
    <w:rsid w:val="0023240B"/>
    <w:rsid w:val="00245BE6"/>
    <w:rsid w:val="0025577A"/>
    <w:rsid w:val="00263672"/>
    <w:rsid w:val="00267651"/>
    <w:rsid w:val="00275141"/>
    <w:rsid w:val="0029598B"/>
    <w:rsid w:val="00295DD6"/>
    <w:rsid w:val="002A18A0"/>
    <w:rsid w:val="002A1AA5"/>
    <w:rsid w:val="002A40DA"/>
    <w:rsid w:val="002B4DE7"/>
    <w:rsid w:val="002D2EC9"/>
    <w:rsid w:val="002F4E14"/>
    <w:rsid w:val="003069D2"/>
    <w:rsid w:val="00307D69"/>
    <w:rsid w:val="00315237"/>
    <w:rsid w:val="0031570C"/>
    <w:rsid w:val="00317771"/>
    <w:rsid w:val="0032752B"/>
    <w:rsid w:val="003352FB"/>
    <w:rsid w:val="00337DF5"/>
    <w:rsid w:val="003417D6"/>
    <w:rsid w:val="003579A8"/>
    <w:rsid w:val="00363A1D"/>
    <w:rsid w:val="00363E47"/>
    <w:rsid w:val="00364B4F"/>
    <w:rsid w:val="00377019"/>
    <w:rsid w:val="0039086E"/>
    <w:rsid w:val="003918B0"/>
    <w:rsid w:val="00397E6D"/>
    <w:rsid w:val="003A729A"/>
    <w:rsid w:val="003B23DD"/>
    <w:rsid w:val="003B5477"/>
    <w:rsid w:val="003C1646"/>
    <w:rsid w:val="003C3D0D"/>
    <w:rsid w:val="003D32C8"/>
    <w:rsid w:val="003F2454"/>
    <w:rsid w:val="003F4EB9"/>
    <w:rsid w:val="003F6279"/>
    <w:rsid w:val="004041BD"/>
    <w:rsid w:val="0040685E"/>
    <w:rsid w:val="004156A0"/>
    <w:rsid w:val="00416DC9"/>
    <w:rsid w:val="004332C4"/>
    <w:rsid w:val="00444304"/>
    <w:rsid w:val="0045063C"/>
    <w:rsid w:val="00451664"/>
    <w:rsid w:val="004522C0"/>
    <w:rsid w:val="00470D37"/>
    <w:rsid w:val="00480D81"/>
    <w:rsid w:val="004840C1"/>
    <w:rsid w:val="00484736"/>
    <w:rsid w:val="00490F1B"/>
    <w:rsid w:val="00494827"/>
    <w:rsid w:val="00495031"/>
    <w:rsid w:val="004A528A"/>
    <w:rsid w:val="004A5C33"/>
    <w:rsid w:val="004B1841"/>
    <w:rsid w:val="004B31D8"/>
    <w:rsid w:val="004B559F"/>
    <w:rsid w:val="004B6661"/>
    <w:rsid w:val="004C0BB2"/>
    <w:rsid w:val="004D5F49"/>
    <w:rsid w:val="004F0B50"/>
    <w:rsid w:val="004F474A"/>
    <w:rsid w:val="00505D35"/>
    <w:rsid w:val="00512841"/>
    <w:rsid w:val="00516AD1"/>
    <w:rsid w:val="00521D7E"/>
    <w:rsid w:val="0052736D"/>
    <w:rsid w:val="00543276"/>
    <w:rsid w:val="00543F41"/>
    <w:rsid w:val="00544558"/>
    <w:rsid w:val="00555E65"/>
    <w:rsid w:val="00556F11"/>
    <w:rsid w:val="00563865"/>
    <w:rsid w:val="00582D90"/>
    <w:rsid w:val="00585156"/>
    <w:rsid w:val="00592916"/>
    <w:rsid w:val="00593D19"/>
    <w:rsid w:val="005B3B34"/>
    <w:rsid w:val="005B6A92"/>
    <w:rsid w:val="005C3BC0"/>
    <w:rsid w:val="005C478B"/>
    <w:rsid w:val="005C4CD1"/>
    <w:rsid w:val="005D2A54"/>
    <w:rsid w:val="005D48F3"/>
    <w:rsid w:val="005D6313"/>
    <w:rsid w:val="005E5913"/>
    <w:rsid w:val="005F2BDC"/>
    <w:rsid w:val="005F6BB7"/>
    <w:rsid w:val="00602C6D"/>
    <w:rsid w:val="00605599"/>
    <w:rsid w:val="00606B7B"/>
    <w:rsid w:val="006073CE"/>
    <w:rsid w:val="00607BD9"/>
    <w:rsid w:val="00617CFA"/>
    <w:rsid w:val="006241A1"/>
    <w:rsid w:val="00634679"/>
    <w:rsid w:val="00634E1A"/>
    <w:rsid w:val="00647A0E"/>
    <w:rsid w:val="00650E14"/>
    <w:rsid w:val="00651C04"/>
    <w:rsid w:val="006576D5"/>
    <w:rsid w:val="006A376A"/>
    <w:rsid w:val="006A526C"/>
    <w:rsid w:val="006A5976"/>
    <w:rsid w:val="006C3F88"/>
    <w:rsid w:val="006D3E37"/>
    <w:rsid w:val="006D4DE3"/>
    <w:rsid w:val="006D798E"/>
    <w:rsid w:val="006E0F09"/>
    <w:rsid w:val="006E5E73"/>
    <w:rsid w:val="006E6BFE"/>
    <w:rsid w:val="006F57FC"/>
    <w:rsid w:val="00706F38"/>
    <w:rsid w:val="00722F1E"/>
    <w:rsid w:val="007315A3"/>
    <w:rsid w:val="007368CD"/>
    <w:rsid w:val="0075260B"/>
    <w:rsid w:val="0076500D"/>
    <w:rsid w:val="0077455E"/>
    <w:rsid w:val="00781F5C"/>
    <w:rsid w:val="00785B1A"/>
    <w:rsid w:val="00786C0C"/>
    <w:rsid w:val="00790A79"/>
    <w:rsid w:val="00791359"/>
    <w:rsid w:val="00794926"/>
    <w:rsid w:val="00795713"/>
    <w:rsid w:val="00797322"/>
    <w:rsid w:val="007A217A"/>
    <w:rsid w:val="007A4713"/>
    <w:rsid w:val="007B3E01"/>
    <w:rsid w:val="007B69B9"/>
    <w:rsid w:val="007D3672"/>
    <w:rsid w:val="007E014C"/>
    <w:rsid w:val="007E3572"/>
    <w:rsid w:val="007E643F"/>
    <w:rsid w:val="007E652E"/>
    <w:rsid w:val="007E6F93"/>
    <w:rsid w:val="007F03C8"/>
    <w:rsid w:val="007F4A1B"/>
    <w:rsid w:val="007F77A8"/>
    <w:rsid w:val="007F7D6B"/>
    <w:rsid w:val="00800E4A"/>
    <w:rsid w:val="00803B86"/>
    <w:rsid w:val="00804CEB"/>
    <w:rsid w:val="0082315D"/>
    <w:rsid w:val="00824C15"/>
    <w:rsid w:val="0083139E"/>
    <w:rsid w:val="0083723B"/>
    <w:rsid w:val="00841975"/>
    <w:rsid w:val="008430D7"/>
    <w:rsid w:val="00855A58"/>
    <w:rsid w:val="0086737E"/>
    <w:rsid w:val="00867CEB"/>
    <w:rsid w:val="00871504"/>
    <w:rsid w:val="00876A0E"/>
    <w:rsid w:val="00884032"/>
    <w:rsid w:val="008C3BBB"/>
    <w:rsid w:val="008D40E8"/>
    <w:rsid w:val="008D4D7E"/>
    <w:rsid w:val="008D57D4"/>
    <w:rsid w:val="008E3D95"/>
    <w:rsid w:val="008E4AAA"/>
    <w:rsid w:val="008F12AB"/>
    <w:rsid w:val="0090385A"/>
    <w:rsid w:val="00921804"/>
    <w:rsid w:val="00933086"/>
    <w:rsid w:val="00935189"/>
    <w:rsid w:val="00940EBF"/>
    <w:rsid w:val="00941651"/>
    <w:rsid w:val="009417F1"/>
    <w:rsid w:val="00946D6B"/>
    <w:rsid w:val="00955A1E"/>
    <w:rsid w:val="00956D5D"/>
    <w:rsid w:val="009617F0"/>
    <w:rsid w:val="009634FA"/>
    <w:rsid w:val="00970303"/>
    <w:rsid w:val="00971E2C"/>
    <w:rsid w:val="0097614D"/>
    <w:rsid w:val="00993A42"/>
    <w:rsid w:val="0099483C"/>
    <w:rsid w:val="00995A33"/>
    <w:rsid w:val="009A3EDC"/>
    <w:rsid w:val="009B10FA"/>
    <w:rsid w:val="009C1C35"/>
    <w:rsid w:val="009D294D"/>
    <w:rsid w:val="009E0D26"/>
    <w:rsid w:val="009F2143"/>
    <w:rsid w:val="009F6EE3"/>
    <w:rsid w:val="00A012BF"/>
    <w:rsid w:val="00A10F53"/>
    <w:rsid w:val="00A13BAE"/>
    <w:rsid w:val="00A26620"/>
    <w:rsid w:val="00A272C8"/>
    <w:rsid w:val="00A323FD"/>
    <w:rsid w:val="00A3627F"/>
    <w:rsid w:val="00A36921"/>
    <w:rsid w:val="00A40594"/>
    <w:rsid w:val="00A45F25"/>
    <w:rsid w:val="00A57061"/>
    <w:rsid w:val="00A570A4"/>
    <w:rsid w:val="00A625A2"/>
    <w:rsid w:val="00A63360"/>
    <w:rsid w:val="00A709DF"/>
    <w:rsid w:val="00A718AA"/>
    <w:rsid w:val="00A81FE1"/>
    <w:rsid w:val="00A84E03"/>
    <w:rsid w:val="00A863B9"/>
    <w:rsid w:val="00A8753B"/>
    <w:rsid w:val="00A9537A"/>
    <w:rsid w:val="00AA53EA"/>
    <w:rsid w:val="00AC238A"/>
    <w:rsid w:val="00AC507D"/>
    <w:rsid w:val="00AC5269"/>
    <w:rsid w:val="00AC61E8"/>
    <w:rsid w:val="00AE2057"/>
    <w:rsid w:val="00AE3196"/>
    <w:rsid w:val="00AE3CA7"/>
    <w:rsid w:val="00AF307C"/>
    <w:rsid w:val="00AF505D"/>
    <w:rsid w:val="00B259B9"/>
    <w:rsid w:val="00B27EAD"/>
    <w:rsid w:val="00B33CE9"/>
    <w:rsid w:val="00B33EF1"/>
    <w:rsid w:val="00B349C3"/>
    <w:rsid w:val="00B35C79"/>
    <w:rsid w:val="00B37E8E"/>
    <w:rsid w:val="00B45C59"/>
    <w:rsid w:val="00B46369"/>
    <w:rsid w:val="00B533B9"/>
    <w:rsid w:val="00B566A5"/>
    <w:rsid w:val="00B62F9C"/>
    <w:rsid w:val="00B725BB"/>
    <w:rsid w:val="00B74BC4"/>
    <w:rsid w:val="00B8738C"/>
    <w:rsid w:val="00B97519"/>
    <w:rsid w:val="00BA0C92"/>
    <w:rsid w:val="00BA2780"/>
    <w:rsid w:val="00BA44C1"/>
    <w:rsid w:val="00BA5967"/>
    <w:rsid w:val="00BA79A5"/>
    <w:rsid w:val="00BB332E"/>
    <w:rsid w:val="00BB44C5"/>
    <w:rsid w:val="00BB54F8"/>
    <w:rsid w:val="00BC30C0"/>
    <w:rsid w:val="00BC3F82"/>
    <w:rsid w:val="00BC45A9"/>
    <w:rsid w:val="00BD235C"/>
    <w:rsid w:val="00BE2104"/>
    <w:rsid w:val="00BE36F0"/>
    <w:rsid w:val="00BE41CD"/>
    <w:rsid w:val="00BE466F"/>
    <w:rsid w:val="00BE484F"/>
    <w:rsid w:val="00BE527E"/>
    <w:rsid w:val="00BF420B"/>
    <w:rsid w:val="00C05594"/>
    <w:rsid w:val="00C155E5"/>
    <w:rsid w:val="00C21126"/>
    <w:rsid w:val="00C31446"/>
    <w:rsid w:val="00C33CC6"/>
    <w:rsid w:val="00C35FF8"/>
    <w:rsid w:val="00C37DDF"/>
    <w:rsid w:val="00C43038"/>
    <w:rsid w:val="00C50CAF"/>
    <w:rsid w:val="00C537F5"/>
    <w:rsid w:val="00C6142B"/>
    <w:rsid w:val="00C64570"/>
    <w:rsid w:val="00C660FD"/>
    <w:rsid w:val="00C8021D"/>
    <w:rsid w:val="00CA1082"/>
    <w:rsid w:val="00CA1C92"/>
    <w:rsid w:val="00CA54E6"/>
    <w:rsid w:val="00CC3476"/>
    <w:rsid w:val="00CC4F78"/>
    <w:rsid w:val="00CC6805"/>
    <w:rsid w:val="00CC68F3"/>
    <w:rsid w:val="00CE2403"/>
    <w:rsid w:val="00CE6D17"/>
    <w:rsid w:val="00CF0255"/>
    <w:rsid w:val="00CF0452"/>
    <w:rsid w:val="00CF77A6"/>
    <w:rsid w:val="00D040EF"/>
    <w:rsid w:val="00D11750"/>
    <w:rsid w:val="00D20840"/>
    <w:rsid w:val="00D22956"/>
    <w:rsid w:val="00D24F2C"/>
    <w:rsid w:val="00D36282"/>
    <w:rsid w:val="00D41F2E"/>
    <w:rsid w:val="00D629B3"/>
    <w:rsid w:val="00D9770E"/>
    <w:rsid w:val="00DA18E8"/>
    <w:rsid w:val="00DA265D"/>
    <w:rsid w:val="00DA2E47"/>
    <w:rsid w:val="00DA303D"/>
    <w:rsid w:val="00DB1BDD"/>
    <w:rsid w:val="00DB1F9B"/>
    <w:rsid w:val="00DB6D14"/>
    <w:rsid w:val="00DC3A88"/>
    <w:rsid w:val="00DD6B83"/>
    <w:rsid w:val="00DD78B4"/>
    <w:rsid w:val="00DD7E68"/>
    <w:rsid w:val="00DE37C2"/>
    <w:rsid w:val="00DE5CFA"/>
    <w:rsid w:val="00E052A7"/>
    <w:rsid w:val="00E14869"/>
    <w:rsid w:val="00E168A1"/>
    <w:rsid w:val="00E3237A"/>
    <w:rsid w:val="00E34E9E"/>
    <w:rsid w:val="00E35AA5"/>
    <w:rsid w:val="00E4044F"/>
    <w:rsid w:val="00E42F8B"/>
    <w:rsid w:val="00E463E7"/>
    <w:rsid w:val="00E47B53"/>
    <w:rsid w:val="00E507BD"/>
    <w:rsid w:val="00E527A4"/>
    <w:rsid w:val="00E56B9D"/>
    <w:rsid w:val="00E60C3C"/>
    <w:rsid w:val="00E627F4"/>
    <w:rsid w:val="00E648CE"/>
    <w:rsid w:val="00E64D03"/>
    <w:rsid w:val="00E65A60"/>
    <w:rsid w:val="00E70C7C"/>
    <w:rsid w:val="00E87FA7"/>
    <w:rsid w:val="00E96A59"/>
    <w:rsid w:val="00EA600A"/>
    <w:rsid w:val="00EA7723"/>
    <w:rsid w:val="00EB3492"/>
    <w:rsid w:val="00EB3E6E"/>
    <w:rsid w:val="00ED0804"/>
    <w:rsid w:val="00ED3C5A"/>
    <w:rsid w:val="00EE5348"/>
    <w:rsid w:val="00EF628D"/>
    <w:rsid w:val="00F04A6B"/>
    <w:rsid w:val="00F14BD7"/>
    <w:rsid w:val="00F17A35"/>
    <w:rsid w:val="00F20D43"/>
    <w:rsid w:val="00F403D2"/>
    <w:rsid w:val="00F437A1"/>
    <w:rsid w:val="00F43C46"/>
    <w:rsid w:val="00F53B42"/>
    <w:rsid w:val="00F650A3"/>
    <w:rsid w:val="00F70FB8"/>
    <w:rsid w:val="00F738A9"/>
    <w:rsid w:val="00F804FB"/>
    <w:rsid w:val="00F80BB0"/>
    <w:rsid w:val="00F80BCD"/>
    <w:rsid w:val="00F8540A"/>
    <w:rsid w:val="00F911BC"/>
    <w:rsid w:val="00F91770"/>
    <w:rsid w:val="00F92473"/>
    <w:rsid w:val="00F92F83"/>
    <w:rsid w:val="00F957A3"/>
    <w:rsid w:val="00F96D3F"/>
    <w:rsid w:val="00FA143D"/>
    <w:rsid w:val="00FA266B"/>
    <w:rsid w:val="00FA4648"/>
    <w:rsid w:val="00FA536B"/>
    <w:rsid w:val="00FB3773"/>
    <w:rsid w:val="00FB3F18"/>
    <w:rsid w:val="00FC2040"/>
    <w:rsid w:val="00FC3A10"/>
    <w:rsid w:val="00FC63BB"/>
    <w:rsid w:val="00FD15F3"/>
    <w:rsid w:val="00FD5BCA"/>
    <w:rsid w:val="00FE5028"/>
    <w:rsid w:val="00FF0AAE"/>
    <w:rsid w:val="013030E9"/>
    <w:rsid w:val="01546A41"/>
    <w:rsid w:val="01AE7981"/>
    <w:rsid w:val="01C61BFD"/>
    <w:rsid w:val="01DA42AD"/>
    <w:rsid w:val="02B462FD"/>
    <w:rsid w:val="035F2367"/>
    <w:rsid w:val="03AC2069"/>
    <w:rsid w:val="04CA45E8"/>
    <w:rsid w:val="04DE0E6A"/>
    <w:rsid w:val="04E85A40"/>
    <w:rsid w:val="051D31A5"/>
    <w:rsid w:val="05845E7A"/>
    <w:rsid w:val="05A126A2"/>
    <w:rsid w:val="06A50AB1"/>
    <w:rsid w:val="07834D52"/>
    <w:rsid w:val="079F2CCB"/>
    <w:rsid w:val="082E136F"/>
    <w:rsid w:val="08A721BB"/>
    <w:rsid w:val="09C24E5F"/>
    <w:rsid w:val="0B013CB3"/>
    <w:rsid w:val="0B6A3874"/>
    <w:rsid w:val="0B7F312D"/>
    <w:rsid w:val="0BFF58F2"/>
    <w:rsid w:val="0C1C1E84"/>
    <w:rsid w:val="0C1C3E80"/>
    <w:rsid w:val="0CA77F76"/>
    <w:rsid w:val="0CEB53A6"/>
    <w:rsid w:val="0EF95E3E"/>
    <w:rsid w:val="0F22148F"/>
    <w:rsid w:val="0FFA00C0"/>
    <w:rsid w:val="106C03DD"/>
    <w:rsid w:val="10947347"/>
    <w:rsid w:val="10A21E44"/>
    <w:rsid w:val="10BB784F"/>
    <w:rsid w:val="10D34B99"/>
    <w:rsid w:val="11BA1271"/>
    <w:rsid w:val="12B656A2"/>
    <w:rsid w:val="13054CBE"/>
    <w:rsid w:val="149C26A6"/>
    <w:rsid w:val="14A75333"/>
    <w:rsid w:val="15FF1323"/>
    <w:rsid w:val="16175087"/>
    <w:rsid w:val="16197647"/>
    <w:rsid w:val="17514A69"/>
    <w:rsid w:val="17523155"/>
    <w:rsid w:val="176733EF"/>
    <w:rsid w:val="179943D9"/>
    <w:rsid w:val="18854995"/>
    <w:rsid w:val="18914E1D"/>
    <w:rsid w:val="189C6A9C"/>
    <w:rsid w:val="19AC21D2"/>
    <w:rsid w:val="1A9709E4"/>
    <w:rsid w:val="1AB63BCB"/>
    <w:rsid w:val="1AC1141D"/>
    <w:rsid w:val="1ADD0AAB"/>
    <w:rsid w:val="1BD23A69"/>
    <w:rsid w:val="1E6C03DB"/>
    <w:rsid w:val="1E8E20FF"/>
    <w:rsid w:val="1F394761"/>
    <w:rsid w:val="1F886DEF"/>
    <w:rsid w:val="1F9F20EA"/>
    <w:rsid w:val="20617591"/>
    <w:rsid w:val="20EF2F41"/>
    <w:rsid w:val="20F85F56"/>
    <w:rsid w:val="21132194"/>
    <w:rsid w:val="21C11EA4"/>
    <w:rsid w:val="21E5669F"/>
    <w:rsid w:val="22032E04"/>
    <w:rsid w:val="224B4FB9"/>
    <w:rsid w:val="22574EFE"/>
    <w:rsid w:val="2448267C"/>
    <w:rsid w:val="24AD5B63"/>
    <w:rsid w:val="25FB26AE"/>
    <w:rsid w:val="26F62ED1"/>
    <w:rsid w:val="27116617"/>
    <w:rsid w:val="2747698E"/>
    <w:rsid w:val="27DB5094"/>
    <w:rsid w:val="27EB6814"/>
    <w:rsid w:val="28315ECA"/>
    <w:rsid w:val="28481894"/>
    <w:rsid w:val="29600B7D"/>
    <w:rsid w:val="298C78D4"/>
    <w:rsid w:val="2996630C"/>
    <w:rsid w:val="29A24A5E"/>
    <w:rsid w:val="29A54901"/>
    <w:rsid w:val="29A746E5"/>
    <w:rsid w:val="29AB17C2"/>
    <w:rsid w:val="2A667108"/>
    <w:rsid w:val="2B995700"/>
    <w:rsid w:val="2C8D7F1F"/>
    <w:rsid w:val="2CA434F1"/>
    <w:rsid w:val="2D2E11B0"/>
    <w:rsid w:val="2D5409B8"/>
    <w:rsid w:val="2D57150D"/>
    <w:rsid w:val="2D6C6ECB"/>
    <w:rsid w:val="2DCE02BF"/>
    <w:rsid w:val="2EEF7952"/>
    <w:rsid w:val="2F515933"/>
    <w:rsid w:val="2F880CCD"/>
    <w:rsid w:val="2FE52DD2"/>
    <w:rsid w:val="300A7A53"/>
    <w:rsid w:val="30CD2F5B"/>
    <w:rsid w:val="31434FCB"/>
    <w:rsid w:val="31B867A1"/>
    <w:rsid w:val="335921D0"/>
    <w:rsid w:val="33844E05"/>
    <w:rsid w:val="339D2F6D"/>
    <w:rsid w:val="341E76CF"/>
    <w:rsid w:val="34B411EE"/>
    <w:rsid w:val="34D0218A"/>
    <w:rsid w:val="34E56399"/>
    <w:rsid w:val="34F317F8"/>
    <w:rsid w:val="35126A06"/>
    <w:rsid w:val="35AA7C83"/>
    <w:rsid w:val="36017D80"/>
    <w:rsid w:val="36202716"/>
    <w:rsid w:val="36D9403D"/>
    <w:rsid w:val="36F62AE0"/>
    <w:rsid w:val="3715740A"/>
    <w:rsid w:val="37667196"/>
    <w:rsid w:val="37990266"/>
    <w:rsid w:val="38103959"/>
    <w:rsid w:val="381316E1"/>
    <w:rsid w:val="393C3582"/>
    <w:rsid w:val="39527E38"/>
    <w:rsid w:val="3A0E1016"/>
    <w:rsid w:val="3B02687F"/>
    <w:rsid w:val="3B231AC6"/>
    <w:rsid w:val="3B6E5D3D"/>
    <w:rsid w:val="3BA66882"/>
    <w:rsid w:val="3D9646DA"/>
    <w:rsid w:val="3E375EB7"/>
    <w:rsid w:val="3E4F1254"/>
    <w:rsid w:val="3F786788"/>
    <w:rsid w:val="400050D8"/>
    <w:rsid w:val="402B37FA"/>
    <w:rsid w:val="42656E96"/>
    <w:rsid w:val="428A7F0B"/>
    <w:rsid w:val="4293206B"/>
    <w:rsid w:val="4358282E"/>
    <w:rsid w:val="43B26F80"/>
    <w:rsid w:val="43BB5536"/>
    <w:rsid w:val="447119F7"/>
    <w:rsid w:val="44C91833"/>
    <w:rsid w:val="44DC540A"/>
    <w:rsid w:val="45550865"/>
    <w:rsid w:val="45741D13"/>
    <w:rsid w:val="46111740"/>
    <w:rsid w:val="468E4CBA"/>
    <w:rsid w:val="47D54566"/>
    <w:rsid w:val="48AC0F28"/>
    <w:rsid w:val="494619E7"/>
    <w:rsid w:val="496D6134"/>
    <w:rsid w:val="4A5664F5"/>
    <w:rsid w:val="4B862B1F"/>
    <w:rsid w:val="4C4D2D4A"/>
    <w:rsid w:val="4C6E2D73"/>
    <w:rsid w:val="4D53263F"/>
    <w:rsid w:val="4D8A4530"/>
    <w:rsid w:val="4DA944B6"/>
    <w:rsid w:val="4E3B62F3"/>
    <w:rsid w:val="4E9F68ED"/>
    <w:rsid w:val="4EEA5B05"/>
    <w:rsid w:val="4EF5003D"/>
    <w:rsid w:val="4FEA0C4F"/>
    <w:rsid w:val="501E2A33"/>
    <w:rsid w:val="505F50C1"/>
    <w:rsid w:val="516C3C72"/>
    <w:rsid w:val="51EE68D9"/>
    <w:rsid w:val="522A5D7B"/>
    <w:rsid w:val="52C128EE"/>
    <w:rsid w:val="52CB6730"/>
    <w:rsid w:val="52DC224A"/>
    <w:rsid w:val="535102F0"/>
    <w:rsid w:val="53C9715A"/>
    <w:rsid w:val="54BC281B"/>
    <w:rsid w:val="55445618"/>
    <w:rsid w:val="55804044"/>
    <w:rsid w:val="55D30327"/>
    <w:rsid w:val="56BA15D9"/>
    <w:rsid w:val="57BC1DF0"/>
    <w:rsid w:val="599B7141"/>
    <w:rsid w:val="5A7A4259"/>
    <w:rsid w:val="5B0F316D"/>
    <w:rsid w:val="5BB34ED6"/>
    <w:rsid w:val="5BBB4D36"/>
    <w:rsid w:val="5C1E14F5"/>
    <w:rsid w:val="5D0465CF"/>
    <w:rsid w:val="5DF94BA6"/>
    <w:rsid w:val="5ECC7AFE"/>
    <w:rsid w:val="60025ECE"/>
    <w:rsid w:val="608865D9"/>
    <w:rsid w:val="618867B6"/>
    <w:rsid w:val="6321453C"/>
    <w:rsid w:val="639B5527"/>
    <w:rsid w:val="63EF298A"/>
    <w:rsid w:val="65222B6E"/>
    <w:rsid w:val="65FF1588"/>
    <w:rsid w:val="68217E6F"/>
    <w:rsid w:val="68F26648"/>
    <w:rsid w:val="69937B96"/>
    <w:rsid w:val="6A0065EE"/>
    <w:rsid w:val="6AD04409"/>
    <w:rsid w:val="6B0346BE"/>
    <w:rsid w:val="6B4B23F5"/>
    <w:rsid w:val="6C72551B"/>
    <w:rsid w:val="6C8E0109"/>
    <w:rsid w:val="6CC91B21"/>
    <w:rsid w:val="6E266D87"/>
    <w:rsid w:val="6ED36C87"/>
    <w:rsid w:val="6F9F5B13"/>
    <w:rsid w:val="70633966"/>
    <w:rsid w:val="721B6B0E"/>
    <w:rsid w:val="72314646"/>
    <w:rsid w:val="724C51C6"/>
    <w:rsid w:val="74A34833"/>
    <w:rsid w:val="74BD2888"/>
    <w:rsid w:val="754E66A1"/>
    <w:rsid w:val="76804F12"/>
    <w:rsid w:val="76DD06A3"/>
    <w:rsid w:val="76FF2D0F"/>
    <w:rsid w:val="77A52162"/>
    <w:rsid w:val="77D72B4B"/>
    <w:rsid w:val="77DB2F01"/>
    <w:rsid w:val="790A29AB"/>
    <w:rsid w:val="79951709"/>
    <w:rsid w:val="79D85F74"/>
    <w:rsid w:val="7A286A7D"/>
    <w:rsid w:val="7A6B4DC4"/>
    <w:rsid w:val="7AC65B36"/>
    <w:rsid w:val="7BB4002D"/>
    <w:rsid w:val="7C0F5873"/>
    <w:rsid w:val="7C93471B"/>
    <w:rsid w:val="7C9E1B97"/>
    <w:rsid w:val="7DD61FFB"/>
    <w:rsid w:val="7E070C98"/>
    <w:rsid w:val="7E79716C"/>
    <w:rsid w:val="7E7C485F"/>
    <w:rsid w:val="7F0F3F28"/>
    <w:rsid w:val="7F13334D"/>
    <w:rsid w:val="7FDB6BA4"/>
    <w:rsid w:val="BF7E95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仿宋" w:cs="Times New Roman"/>
      <w:kern w:val="2"/>
      <w:sz w:val="28"/>
      <w:szCs w:val="22"/>
      <w:lang w:val="en-US" w:eastAsia="zh-CN" w:bidi="ar-SA"/>
    </w:rPr>
  </w:style>
  <w:style w:type="paragraph" w:styleId="3">
    <w:name w:val="heading 1"/>
    <w:basedOn w:val="1"/>
    <w:next w:val="1"/>
    <w:link w:val="33"/>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4"/>
    <w:qFormat/>
    <w:uiPriority w:val="9"/>
    <w:pPr>
      <w:keepNext/>
      <w:keepLines/>
      <w:spacing w:before="260" w:after="260" w:line="416" w:lineRule="auto"/>
      <w:outlineLvl w:val="1"/>
    </w:pPr>
    <w:rPr>
      <w:rFonts w:ascii="Cambria" w:hAnsi="Cambria" w:eastAsia="宋体"/>
      <w:b/>
      <w:bCs/>
      <w:sz w:val="32"/>
      <w:szCs w:val="32"/>
    </w:rPr>
  </w:style>
  <w:style w:type="paragraph" w:styleId="5">
    <w:name w:val="heading 3"/>
    <w:basedOn w:val="1"/>
    <w:next w:val="1"/>
    <w:link w:val="35"/>
    <w:qFormat/>
    <w:uiPriority w:val="9"/>
    <w:pPr>
      <w:keepNext/>
      <w:keepLines/>
      <w:spacing w:line="360" w:lineRule="auto"/>
      <w:outlineLvl w:val="2"/>
    </w:pPr>
    <w:rPr>
      <w:rFonts w:eastAsia="宋体"/>
      <w:b/>
      <w:bCs/>
      <w:sz w:val="32"/>
      <w:szCs w:val="32"/>
    </w:rPr>
  </w:style>
  <w:style w:type="paragraph" w:styleId="6">
    <w:name w:val="heading 4"/>
    <w:basedOn w:val="1"/>
    <w:next w:val="1"/>
    <w:link w:val="36"/>
    <w:qFormat/>
    <w:uiPriority w:val="9"/>
    <w:pPr>
      <w:keepNext/>
      <w:keepLines/>
      <w:spacing w:before="280" w:after="290" w:line="376" w:lineRule="auto"/>
      <w:outlineLvl w:val="3"/>
    </w:pPr>
    <w:rPr>
      <w:rFonts w:ascii="Cambria" w:hAnsi="Cambria" w:eastAsia="宋体"/>
      <w:b/>
      <w:bCs/>
      <w:szCs w:val="28"/>
    </w:rPr>
  </w:style>
  <w:style w:type="paragraph" w:styleId="7">
    <w:name w:val="heading 6"/>
    <w:basedOn w:val="1"/>
    <w:next w:val="1"/>
    <w:qFormat/>
    <w:uiPriority w:val="9"/>
    <w:pPr>
      <w:keepNext/>
      <w:keepLines/>
      <w:spacing w:before="240" w:after="64" w:line="320" w:lineRule="auto"/>
      <w:outlineLvl w:val="5"/>
    </w:pPr>
    <w:rPr>
      <w:rFonts w:ascii="Cambria" w:hAnsi="Cambria" w:eastAsia="宋体"/>
      <w:b/>
      <w:bCs/>
      <w:sz w:val="24"/>
      <w:szCs w:val="24"/>
    </w:rPr>
  </w:style>
  <w:style w:type="character" w:default="1" w:styleId="27">
    <w:name w:val="Default Paragraph Font"/>
    <w:unhideWhenUsed/>
    <w:qFormat/>
    <w:uiPriority w:val="1"/>
  </w:style>
  <w:style w:type="table" w:default="1" w:styleId="25">
    <w:name w:val="Normal Table"/>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仿宋" w:hAnsi="Times New Roman" w:eastAsia="仿宋" w:cs="仿宋"/>
      <w:color w:val="000000"/>
      <w:sz w:val="24"/>
      <w:szCs w:val="24"/>
      <w:lang w:val="en-US" w:eastAsia="zh-CN" w:bidi="ar-SA"/>
    </w:rPr>
  </w:style>
  <w:style w:type="paragraph" w:styleId="8">
    <w:name w:val="Normal Indent"/>
    <w:basedOn w:val="1"/>
    <w:unhideWhenUsed/>
    <w:qFormat/>
    <w:uiPriority w:val="99"/>
    <w:pPr>
      <w:ind w:firstLine="420" w:firstLineChars="200"/>
    </w:pPr>
  </w:style>
  <w:style w:type="paragraph" w:styleId="9">
    <w:name w:val="annotation text"/>
    <w:basedOn w:val="1"/>
    <w:next w:val="10"/>
    <w:link w:val="37"/>
    <w:unhideWhenUsed/>
    <w:qFormat/>
    <w:uiPriority w:val="99"/>
    <w:pPr>
      <w:jc w:val="left"/>
    </w:pPr>
  </w:style>
  <w:style w:type="paragraph" w:styleId="10">
    <w:name w:val="Body Text First Indent"/>
    <w:basedOn w:val="1"/>
    <w:next w:val="11"/>
    <w:unhideWhenUsed/>
    <w:qFormat/>
    <w:uiPriority w:val="99"/>
    <w:pPr>
      <w:ind w:firstLine="420" w:firstLineChars="100"/>
    </w:pPr>
  </w:style>
  <w:style w:type="paragraph" w:customStyle="1" w:styleId="11">
    <w:name w:val="章标题"/>
    <w:next w:val="12"/>
    <w:qFormat/>
    <w:uiPriority w:val="0"/>
    <w:pPr>
      <w:spacing w:beforeLines="50" w:afterLines="50"/>
      <w:jc w:val="both"/>
      <w:outlineLvl w:val="1"/>
    </w:pPr>
    <w:rPr>
      <w:rFonts w:ascii="黑体" w:hAnsi="Times New Roman" w:eastAsia="黑体" w:cs="Times New Roman"/>
      <w:sz w:val="21"/>
      <w:lang w:val="en-US" w:eastAsia="zh-CN" w:bidi="ar-SA"/>
    </w:rPr>
  </w:style>
  <w:style w:type="paragraph" w:customStyle="1" w:styleId="12">
    <w:name w:val="段"/>
    <w:qFormat/>
    <w:uiPriority w:val="99"/>
    <w:pPr>
      <w:tabs>
        <w:tab w:val="center" w:pos="4201"/>
        <w:tab w:val="right" w:leader="dot" w:pos="9298"/>
      </w:tabs>
      <w:autoSpaceDE w:val="0"/>
      <w:autoSpaceDN w:val="0"/>
      <w:ind w:firstLine="420" w:firstLineChars="200"/>
      <w:jc w:val="both"/>
    </w:pPr>
    <w:rPr>
      <w:rFonts w:ascii="宋体" w:hAnsi="Times New Roman" w:eastAsia="宋体" w:cs="宋体"/>
      <w:sz w:val="21"/>
      <w:szCs w:val="21"/>
      <w:lang w:val="en-US" w:eastAsia="zh-CN" w:bidi="ar-SA"/>
    </w:rPr>
  </w:style>
  <w:style w:type="paragraph" w:styleId="13">
    <w:name w:val="Body Text"/>
    <w:basedOn w:val="1"/>
    <w:next w:val="10"/>
    <w:link w:val="38"/>
    <w:qFormat/>
    <w:uiPriority w:val="0"/>
    <w:rPr>
      <w:rFonts w:ascii="Times New Roman" w:hAnsi="Times New Roman" w:eastAsia="宋体"/>
      <w:szCs w:val="24"/>
    </w:rPr>
  </w:style>
  <w:style w:type="paragraph" w:styleId="14">
    <w:name w:val="Body Text Indent"/>
    <w:basedOn w:val="1"/>
    <w:qFormat/>
    <w:uiPriority w:val="0"/>
    <w:pPr>
      <w:snapToGrid w:val="0"/>
      <w:spacing w:line="360" w:lineRule="auto"/>
      <w:ind w:firstLine="640" w:firstLineChars="200"/>
      <w:jc w:val="left"/>
    </w:pPr>
    <w:rPr>
      <w:rFonts w:ascii="Times New Roman" w:hAnsi="Times New Roman"/>
      <w:kern w:val="0"/>
      <w:szCs w:val="20"/>
    </w:rPr>
  </w:style>
  <w:style w:type="paragraph" w:styleId="15">
    <w:name w:val="toc 3"/>
    <w:basedOn w:val="1"/>
    <w:next w:val="1"/>
    <w:unhideWhenUsed/>
    <w:qFormat/>
    <w:uiPriority w:val="39"/>
    <w:pPr>
      <w:ind w:left="840" w:leftChars="400"/>
    </w:pPr>
  </w:style>
  <w:style w:type="paragraph" w:styleId="16">
    <w:name w:val="Plain Text"/>
    <w:basedOn w:val="1"/>
    <w:link w:val="39"/>
    <w:qFormat/>
    <w:uiPriority w:val="0"/>
    <w:rPr>
      <w:rFonts w:ascii="宋体" w:hAnsi="Courier New"/>
    </w:rPr>
  </w:style>
  <w:style w:type="paragraph" w:styleId="17">
    <w:name w:val="Balloon Text"/>
    <w:basedOn w:val="1"/>
    <w:link w:val="40"/>
    <w:unhideWhenUsed/>
    <w:qFormat/>
    <w:uiPriority w:val="99"/>
    <w:rPr>
      <w:sz w:val="18"/>
      <w:szCs w:val="18"/>
    </w:rPr>
  </w:style>
  <w:style w:type="paragraph" w:styleId="18">
    <w:name w:val="footer"/>
    <w:basedOn w:val="1"/>
    <w:link w:val="41"/>
    <w:unhideWhenUsed/>
    <w:qFormat/>
    <w:uiPriority w:val="99"/>
    <w:pPr>
      <w:tabs>
        <w:tab w:val="center" w:pos="4153"/>
        <w:tab w:val="right" w:pos="8306"/>
      </w:tabs>
      <w:snapToGrid w:val="0"/>
      <w:jc w:val="left"/>
    </w:pPr>
    <w:rPr>
      <w:sz w:val="18"/>
      <w:szCs w:val="18"/>
    </w:rPr>
  </w:style>
  <w:style w:type="paragraph" w:styleId="19">
    <w:name w:val="header"/>
    <w:basedOn w:val="1"/>
    <w:link w:val="42"/>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style>
  <w:style w:type="paragraph" w:styleId="21">
    <w:name w:val="toc 2"/>
    <w:basedOn w:val="1"/>
    <w:next w:val="1"/>
    <w:unhideWhenUsed/>
    <w:qFormat/>
    <w:uiPriority w:val="39"/>
    <w:pPr>
      <w:ind w:left="420" w:leftChars="200"/>
    </w:pPr>
  </w:style>
  <w:style w:type="paragraph" w:styleId="22">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3">
    <w:name w:val="annotation subject"/>
    <w:basedOn w:val="9"/>
    <w:next w:val="9"/>
    <w:link w:val="43"/>
    <w:unhideWhenUsed/>
    <w:qFormat/>
    <w:uiPriority w:val="99"/>
    <w:rPr>
      <w:b/>
      <w:bCs/>
    </w:rPr>
  </w:style>
  <w:style w:type="paragraph" w:styleId="24">
    <w:name w:val="Body Text First Indent 2"/>
    <w:basedOn w:val="14"/>
    <w:qFormat/>
    <w:uiPriority w:val="0"/>
    <w:pPr>
      <w:ind w:firstLine="420"/>
    </w:p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rPr>
  </w:style>
  <w:style w:type="character" w:styleId="29">
    <w:name w:val="page number"/>
    <w:qFormat/>
    <w:uiPriority w:val="0"/>
  </w:style>
  <w:style w:type="character" w:styleId="30">
    <w:name w:val="Emphasis"/>
    <w:basedOn w:val="27"/>
    <w:qFormat/>
    <w:uiPriority w:val="20"/>
    <w:rPr>
      <w:i/>
    </w:rPr>
  </w:style>
  <w:style w:type="character" w:styleId="31">
    <w:name w:val="Hyperlink"/>
    <w:basedOn w:val="27"/>
    <w:unhideWhenUsed/>
    <w:qFormat/>
    <w:uiPriority w:val="99"/>
    <w:rPr>
      <w:color w:val="0000FF"/>
      <w:u w:val="single"/>
    </w:rPr>
  </w:style>
  <w:style w:type="character" w:styleId="32">
    <w:name w:val="annotation reference"/>
    <w:basedOn w:val="27"/>
    <w:unhideWhenUsed/>
    <w:qFormat/>
    <w:uiPriority w:val="99"/>
    <w:rPr>
      <w:sz w:val="21"/>
      <w:szCs w:val="21"/>
    </w:rPr>
  </w:style>
  <w:style w:type="character" w:customStyle="1" w:styleId="33">
    <w:name w:val="标题 1 字符"/>
    <w:basedOn w:val="27"/>
    <w:link w:val="3"/>
    <w:qFormat/>
    <w:uiPriority w:val="9"/>
    <w:rPr>
      <w:b/>
      <w:bCs/>
      <w:kern w:val="44"/>
      <w:sz w:val="44"/>
      <w:szCs w:val="44"/>
    </w:rPr>
  </w:style>
  <w:style w:type="character" w:customStyle="1" w:styleId="34">
    <w:name w:val="标题 2 字符"/>
    <w:basedOn w:val="27"/>
    <w:link w:val="4"/>
    <w:qFormat/>
    <w:uiPriority w:val="9"/>
    <w:rPr>
      <w:rFonts w:ascii="Cambria" w:hAnsi="Cambria" w:eastAsia="宋体" w:cs="Times New Roman"/>
      <w:b/>
      <w:bCs/>
      <w:sz w:val="32"/>
      <w:szCs w:val="32"/>
    </w:rPr>
  </w:style>
  <w:style w:type="character" w:customStyle="1" w:styleId="35">
    <w:name w:val="标题 3 字符"/>
    <w:basedOn w:val="27"/>
    <w:link w:val="5"/>
    <w:qFormat/>
    <w:uiPriority w:val="9"/>
    <w:rPr>
      <w:rFonts w:ascii="Calibri" w:hAnsi="Calibri" w:eastAsia="宋体" w:cs="Times New Roman"/>
      <w:b/>
      <w:bCs/>
      <w:sz w:val="32"/>
      <w:szCs w:val="32"/>
    </w:rPr>
  </w:style>
  <w:style w:type="character" w:customStyle="1" w:styleId="36">
    <w:name w:val="标题 4 字符"/>
    <w:basedOn w:val="27"/>
    <w:link w:val="6"/>
    <w:qFormat/>
    <w:uiPriority w:val="9"/>
    <w:rPr>
      <w:rFonts w:ascii="Cambria" w:hAnsi="Cambria" w:eastAsia="宋体" w:cs="Times New Roman"/>
      <w:b/>
      <w:bCs/>
      <w:sz w:val="28"/>
      <w:szCs w:val="28"/>
    </w:rPr>
  </w:style>
  <w:style w:type="character" w:customStyle="1" w:styleId="37">
    <w:name w:val="批注文字 字符"/>
    <w:basedOn w:val="27"/>
    <w:link w:val="9"/>
    <w:semiHidden/>
    <w:qFormat/>
    <w:uiPriority w:val="99"/>
  </w:style>
  <w:style w:type="character" w:customStyle="1" w:styleId="38">
    <w:name w:val="正文文本 字符"/>
    <w:basedOn w:val="27"/>
    <w:link w:val="13"/>
    <w:qFormat/>
    <w:uiPriority w:val="0"/>
    <w:rPr>
      <w:rFonts w:ascii="Times New Roman" w:hAnsi="Times New Roman" w:eastAsia="宋体" w:cs="Times New Roman"/>
      <w:sz w:val="28"/>
      <w:szCs w:val="24"/>
    </w:rPr>
  </w:style>
  <w:style w:type="character" w:customStyle="1" w:styleId="39">
    <w:name w:val="纯文本 字符"/>
    <w:basedOn w:val="27"/>
    <w:link w:val="16"/>
    <w:qFormat/>
    <w:uiPriority w:val="0"/>
    <w:rPr>
      <w:rFonts w:ascii="宋体" w:hAnsi="Courier New"/>
    </w:rPr>
  </w:style>
  <w:style w:type="character" w:customStyle="1" w:styleId="40">
    <w:name w:val="批注框文本 字符"/>
    <w:basedOn w:val="27"/>
    <w:link w:val="17"/>
    <w:semiHidden/>
    <w:qFormat/>
    <w:uiPriority w:val="99"/>
    <w:rPr>
      <w:sz w:val="18"/>
      <w:szCs w:val="18"/>
    </w:rPr>
  </w:style>
  <w:style w:type="character" w:customStyle="1" w:styleId="41">
    <w:name w:val="页脚 字符"/>
    <w:basedOn w:val="27"/>
    <w:link w:val="18"/>
    <w:qFormat/>
    <w:uiPriority w:val="99"/>
    <w:rPr>
      <w:sz w:val="18"/>
      <w:szCs w:val="18"/>
    </w:rPr>
  </w:style>
  <w:style w:type="character" w:customStyle="1" w:styleId="42">
    <w:name w:val="页眉 字符"/>
    <w:basedOn w:val="27"/>
    <w:link w:val="19"/>
    <w:qFormat/>
    <w:uiPriority w:val="99"/>
    <w:rPr>
      <w:sz w:val="18"/>
      <w:szCs w:val="18"/>
    </w:rPr>
  </w:style>
  <w:style w:type="character" w:customStyle="1" w:styleId="43">
    <w:name w:val="批注主题 字符"/>
    <w:basedOn w:val="37"/>
    <w:link w:val="23"/>
    <w:semiHidden/>
    <w:qFormat/>
    <w:uiPriority w:val="99"/>
    <w:rPr>
      <w:rFonts w:ascii="Calibri" w:hAnsi="Calibri" w:eastAsia="宋体" w:cs="Times New Roman"/>
      <w:b/>
      <w:bCs/>
      <w:kern w:val="2"/>
      <w:sz w:val="21"/>
      <w:szCs w:val="22"/>
    </w:rPr>
  </w:style>
  <w:style w:type="paragraph" w:styleId="44">
    <w:name w:val="List Paragraph"/>
    <w:basedOn w:val="1"/>
    <w:qFormat/>
    <w:uiPriority w:val="34"/>
    <w:pPr>
      <w:ind w:firstLine="420" w:firstLineChars="200"/>
    </w:pPr>
  </w:style>
  <w:style w:type="character" w:customStyle="1" w:styleId="45">
    <w:name w:val="样式1 Char"/>
    <w:link w:val="46"/>
    <w:qFormat/>
    <w:locked/>
    <w:uiPriority w:val="0"/>
    <w:rPr>
      <w:rFonts w:ascii="仿宋_GB2312" w:eastAsia="仿宋_GB2312"/>
      <w:sz w:val="28"/>
      <w:szCs w:val="28"/>
      <w:lang w:val="zh-CN"/>
    </w:rPr>
  </w:style>
  <w:style w:type="paragraph" w:customStyle="1" w:styleId="46">
    <w:name w:val="样式1"/>
    <w:basedOn w:val="8"/>
    <w:link w:val="45"/>
    <w:qFormat/>
    <w:uiPriority w:val="0"/>
    <w:pPr>
      <w:widowControl/>
      <w:spacing w:line="240" w:lineRule="atLeast"/>
      <w:ind w:firstLine="560"/>
    </w:pPr>
    <w:rPr>
      <w:rFonts w:ascii="仿宋_GB2312" w:eastAsia="仿宋_GB2312"/>
      <w:szCs w:val="28"/>
      <w:lang w:val="zh-CN"/>
    </w:rPr>
  </w:style>
  <w:style w:type="paragraph" w:customStyle="1" w:styleId="47">
    <w:name w:val="TOC 标题1"/>
    <w:basedOn w:val="3"/>
    <w:next w:val="1"/>
    <w:unhideWhenUsed/>
    <w:qFormat/>
    <w:uiPriority w:val="39"/>
    <w:pPr>
      <w:widowControl/>
      <w:spacing w:before="480" w:after="0" w:line="276" w:lineRule="auto"/>
      <w:jc w:val="left"/>
      <w:outlineLvl w:val="9"/>
    </w:pPr>
    <w:rPr>
      <w:rFonts w:ascii="Cambria" w:hAnsi="Cambria" w:eastAsia="宋体"/>
      <w:color w:val="366091"/>
      <w:kern w:val="0"/>
      <w:sz w:val="28"/>
      <w:szCs w:val="28"/>
    </w:rPr>
  </w:style>
  <w:style w:type="character" w:customStyle="1" w:styleId="48">
    <w:name w:val="font111"/>
    <w:basedOn w:val="27"/>
    <w:qFormat/>
    <w:uiPriority w:val="0"/>
    <w:rPr>
      <w:rFonts w:hint="default" w:ascii="Times New Roman" w:hAnsi="Times New Roman" w:cs="Times New Roman"/>
      <w:color w:val="000000"/>
      <w:sz w:val="20"/>
      <w:szCs w:val="20"/>
      <w:u w:val="none"/>
    </w:rPr>
  </w:style>
  <w:style w:type="character" w:customStyle="1" w:styleId="49">
    <w:name w:val="font41"/>
    <w:basedOn w:val="27"/>
    <w:qFormat/>
    <w:uiPriority w:val="0"/>
    <w:rPr>
      <w:rFonts w:hint="eastAsia" w:ascii="宋体" w:hAnsi="宋体" w:eastAsia="宋体"/>
      <w:color w:val="000000"/>
      <w:sz w:val="21"/>
      <w:szCs w:val="21"/>
      <w:u w:val="none"/>
    </w:rPr>
  </w:style>
  <w:style w:type="table" w:customStyle="1" w:styleId="50">
    <w:name w:val="网格型1"/>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1">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52">
    <w:name w:val="Table Paragraph"/>
    <w:basedOn w:val="1"/>
    <w:qFormat/>
    <w:uiPriority w:val="1"/>
    <w:pPr>
      <w:jc w:val="center"/>
    </w:pPr>
    <w:rPr>
      <w:rFonts w:ascii="宋体" w:hAnsi="宋体" w:eastAsia="宋体" w:cs="宋体"/>
      <w:lang w:val="zh-CN" w:bidi="zh-CN"/>
    </w:rPr>
  </w:style>
  <w:style w:type="character" w:customStyle="1" w:styleId="53">
    <w:name w:val="fontstyle01"/>
    <w:basedOn w:val="27"/>
    <w:uiPriority w:val="0"/>
    <w:rPr>
      <w:rFonts w:ascii="黑体" w:hAnsi="宋体" w:eastAsia="黑体" w:cs="黑体"/>
      <w:color w:val="000000"/>
      <w:sz w:val="32"/>
      <w:szCs w:val="32"/>
    </w:rPr>
  </w:style>
  <w:style w:type="character" w:customStyle="1" w:styleId="54">
    <w:name w:val="fontstyle21"/>
    <w:basedOn w:val="27"/>
    <w:uiPriority w:val="0"/>
    <w:rPr>
      <w:rFonts w:ascii="黑体" w:hAnsi="宋体" w:eastAsia="黑体" w:cs="黑体"/>
      <w:color w:val="000000"/>
      <w:sz w:val="30"/>
      <w:szCs w:val="30"/>
    </w:rPr>
  </w:style>
  <w:style w:type="character" w:customStyle="1" w:styleId="55">
    <w:name w:val="fontstyle31"/>
    <w:basedOn w:val="27"/>
    <w:uiPriority w:val="0"/>
    <w:rPr>
      <w:rFonts w:ascii="仿宋" w:hAnsi="仿宋" w:eastAsia="仿宋" w:cs="仿宋"/>
      <w:color w:val="000000"/>
      <w:sz w:val="30"/>
      <w:szCs w:val="30"/>
    </w:rPr>
  </w:style>
  <w:style w:type="paragraph" w:customStyle="1" w:styleId="56">
    <w:name w:val="WPSOffice手动目录 1"/>
    <w:uiPriority w:val="0"/>
    <w:rPr>
      <w:rFonts w:ascii="Times New Roman" w:hAnsi="Times New Roman" w:eastAsia="宋体" w:cs="Times New Roman"/>
      <w:lang w:val="en-US" w:eastAsia="zh-CN" w:bidi="ar-SA"/>
    </w:rPr>
  </w:style>
  <w:style w:type="paragraph" w:customStyle="1" w:styleId="57">
    <w:name w:val="WPSOffice手动目录 2"/>
    <w:uiPriority w:val="0"/>
    <w:pPr>
      <w:ind w:leftChars="200"/>
    </w:pPr>
    <w:rPr>
      <w:rFonts w:ascii="Times New Roman" w:hAnsi="Times New Roman" w:eastAsia="宋体" w:cs="Times New Roman"/>
      <w:lang w:val="en-US" w:eastAsia="zh-CN" w:bidi="ar-SA"/>
    </w:rPr>
  </w:style>
  <w:style w:type="character" w:customStyle="1" w:styleId="58">
    <w:name w:val="font11"/>
    <w:basedOn w:val="27"/>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69</Pages>
  <Words>7255</Words>
  <Characters>8431</Characters>
  <Lines>874</Lines>
  <Paragraphs>446</Paragraphs>
  <TotalTime>2</TotalTime>
  <ScaleCrop>false</ScaleCrop>
  <LinksUpToDate>false</LinksUpToDate>
  <CharactersWithSpaces>8608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2026-05-07T09:16:00Z</dcterms:created>
  <dc:creator>keke</dc:creator>
  <cp:lastModifiedBy>MEI</cp:lastModifiedBy>
  <dcterms:modified xsi:type="dcterms:W3CDTF">2026-05-07T09:21:26Z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8E5D811286B44383AB24FEEC2834CBA3_13</vt:lpwstr>
  </property>
  <property fmtid="{D5CDD505-2E9C-101B-9397-08002B2CF9AE}" pid="4" name="KSOTemplateDocerSaveRecord">
    <vt:lpwstr>eyJoZGlkIjoiZDMzMTkxM2NjODBjYjYyMDAwNWQzNDk3NjgxMTYzNWQiLCJ1c2VySWQiOiIxMDg0NzYwNjUzIn0=</vt:lpwstr>
  </property>
</Properties>
</file>