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sz w:val="44"/>
          <w:szCs w:val="44"/>
        </w:rPr>
        <w:t>《三亚市古树名木保护管理若干规定（修订稿）》征求意见情况说明</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rPr>
      </w:pPr>
      <w:r>
        <w:rPr>
          <w:rFonts w:hint="eastAsia" w:ascii="黑体" w:hAnsi="黑体" w:eastAsia="黑体" w:cs="黑体"/>
          <w:b w:val="0"/>
          <w:bCs w:val="0"/>
          <w:sz w:val="32"/>
          <w:szCs w:val="32"/>
        </w:rPr>
        <w:t>一、起草背景</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为加强我市古树名木保护管理工作，落实国务院《古树名木保护条例》有关要求，我局在现行《三亚市古树名木保护管理若干规定》基础上组织修订，形成《三亚市古树名木保护管理若干规定（修订稿）》（以下简称修订稿）。按照《三亚市规章与行政规范性文件管理办法》关于规范性文件制定程序的规定，修订稿在报送审查前应当向社会公开征求意见。</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二、征求意见的组织情况</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（一）发布主体：三亚市林业局。</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（二）发布时间：2026年7月21日至2026年8月20日，公示期30天。</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（三）发布载体：三亚市人民政府网站，同步公布反馈渠道。</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（四）征求意见范围：社会各界人士、各有关单位。</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三、反馈渠道设置情况</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为便于社会各界反馈意见，我局通过三亚市人民政府网站在线征集系统公开发布修订稿，并同步公布以下反馈渠道：</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1. 登录三亚市人民政府网站，通过在线征集系统留言；</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2. 发送电子邮件至意见征集专用邮箱，邮件标题注明反馈意见事项；</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3. 通过邮寄或现场提交书面意见至我局指定受理科室；</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4. 通过三亚市人民政府网站互动交流栏目在线留言。</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四、意见征集结果</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截至2026年8月20日征求意见期满，经核查在线征集系统后台记录、电子邮箱收件记录及书面信件收发登记，我局未收到任何单位或个人的反馈意见。</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五、意见采纳情况</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因本次未收到任何反馈意见，无意见采纳或不采纳事项，具体详见《征求意见情况汇总表》。</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六、结果核验与留痕情况</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为确保征求意见结果真实、可追溯，我局对公示期内各反馈渠道的记录进行了核查留痕：</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1. 在线征集系统：公示期内无留言、提交记录；</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2. 电子邮箱：公示期内未收到反馈邮件；</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3. 书面信件：公示期内收发登记无相关来件；</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4. 现场提交：公示期内未收到书面材料。</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上述核查记录由我局生态保护修复科留存备查，并与本情况说明一并归档。</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七、下一步工作</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r>
        <w:rPr>
          <w:rFonts w:ascii="Times New Roman" w:hAnsi="Times New Roman" w:eastAsia="Noto Fangsong" w:cs="Times New Roman"/>
          <w:b w:val="0"/>
          <w:bCs w:val="0"/>
          <w:sz w:val="32"/>
          <w:szCs w:val="32"/>
        </w:rPr>
        <w:t>公示期内未收到反馈意见，不影响修订稿继续按程序报送审查。我局将按有关规定将修订稿及本情况说明一并报送市司法行政部门审查，并按程序提请市人民政府审议。</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p>
    <w:p>
      <w:pPr>
        <w:keepNext w:val="0"/>
        <w:keepLines w:val="0"/>
        <w:pageBreakBefore w:val="0"/>
        <w:widowControl w:val="0"/>
        <w:kinsoku/>
        <w:wordWrap/>
        <w:overflowPunct/>
        <w:topLinePunct w:val="0"/>
        <w:autoSpaceDE/>
        <w:autoSpaceDN/>
        <w:bidi w:val="0"/>
        <w:adjustRightInd/>
        <w:snapToGrid/>
        <w:spacing w:before="0" w:after="0" w:line="578" w:lineRule="exact"/>
        <w:ind w:right="640"/>
        <w:jc w:val="right"/>
        <w:textAlignment w:val="auto"/>
        <w:rPr>
          <w:rFonts w:ascii="Times New Roman" w:hAnsi="Times New Roman" w:eastAsia="Noto Fangsong" w:cs="Times New Roman"/>
          <w:sz w:val="32"/>
          <w:szCs w:val="32"/>
        </w:rPr>
      </w:pPr>
    </w:p>
    <w:p>
      <w:pPr>
        <w:keepNext w:val="0"/>
        <w:keepLines w:val="0"/>
        <w:pageBreakBefore w:val="0"/>
        <w:widowControl w:val="0"/>
        <w:kinsoku/>
        <w:wordWrap/>
        <w:overflowPunct/>
        <w:topLinePunct w:val="0"/>
        <w:autoSpaceDE/>
        <w:autoSpaceDN/>
        <w:bidi w:val="0"/>
        <w:adjustRightInd/>
        <w:snapToGrid/>
        <w:spacing w:before="0" w:after="0" w:line="578" w:lineRule="exact"/>
        <w:ind w:right="640"/>
        <w:jc w:val="right"/>
        <w:textAlignment w:val="auto"/>
        <w:rPr>
          <w:rFonts w:ascii="Times New Roman" w:hAnsi="Times New Roman" w:eastAsia="Noto Fangsong" w:cs="Times New Roman"/>
          <w:sz w:val="32"/>
          <w:szCs w:val="32"/>
        </w:rPr>
      </w:pPr>
    </w:p>
    <w:p>
      <w:pPr>
        <w:keepNext w:val="0"/>
        <w:keepLines w:val="0"/>
        <w:pageBreakBefore w:val="0"/>
        <w:widowControl w:val="0"/>
        <w:kinsoku/>
        <w:wordWrap/>
        <w:overflowPunct/>
        <w:topLinePunct w:val="0"/>
        <w:autoSpaceDE/>
        <w:autoSpaceDN/>
        <w:bidi w:val="0"/>
        <w:adjustRightInd/>
        <w:snapToGrid/>
        <w:spacing w:before="0" w:after="0" w:line="578" w:lineRule="exact"/>
        <w:ind w:right="640"/>
        <w:jc w:val="right"/>
        <w:textAlignment w:val="auto"/>
        <w:rPr>
          <w:rFonts w:ascii="Times New Roman" w:hAnsi="Times New Roman" w:eastAsia="Noto Fangsong" w:cs="Times New Roman"/>
          <w:sz w:val="32"/>
          <w:szCs w:val="32"/>
        </w:rPr>
      </w:pPr>
    </w:p>
    <w:p>
      <w:pPr>
        <w:keepNext w:val="0"/>
        <w:keepLines w:val="0"/>
        <w:pageBreakBefore w:val="0"/>
        <w:widowControl w:val="0"/>
        <w:kinsoku/>
        <w:wordWrap/>
        <w:overflowPunct/>
        <w:topLinePunct w:val="0"/>
        <w:autoSpaceDE/>
        <w:autoSpaceDN/>
        <w:bidi w:val="0"/>
        <w:adjustRightInd/>
        <w:snapToGrid/>
        <w:spacing w:before="0" w:after="0" w:line="578" w:lineRule="exact"/>
        <w:ind w:right="640"/>
        <w:jc w:val="center"/>
        <w:textAlignment w:val="auto"/>
        <w:rPr>
          <w:rFonts w:hint="eastAsia" w:eastAsia="Noto Fangsong"/>
          <w:lang w:val="en-US" w:eastAsia="zh-CN"/>
        </w:rPr>
      </w:pPr>
      <w:r>
        <w:rPr>
          <w:rFonts w:hint="default" w:cs="Times New Roman"/>
          <w:sz w:val="32"/>
          <w:szCs w:val="32"/>
          <w:lang w:val="en"/>
        </w:rPr>
        <w:t xml:space="preserve">                          </w:t>
      </w:r>
      <w:r>
        <w:rPr>
          <w:rFonts w:ascii="Times New Roman" w:hAnsi="Times New Roman" w:eastAsia="Noto Fangsong" w:cs="Times New Roman"/>
          <w:sz w:val="32"/>
          <w:szCs w:val="32"/>
        </w:rPr>
        <w:t>三亚市林业局</w:t>
      </w:r>
      <w:r>
        <w:rPr>
          <w:rFonts w:hint="eastAsia"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before="0" w:after="0" w:line="578" w:lineRule="exact"/>
        <w:ind w:right="640"/>
        <w:jc w:val="center"/>
        <w:textAlignment w:val="auto"/>
      </w:pPr>
      <w:r>
        <w:rPr>
          <w:rFonts w:hint="default" w:cs="Times New Roman"/>
          <w:sz w:val="32"/>
          <w:szCs w:val="32"/>
          <w:lang w:val="en"/>
        </w:rPr>
        <w:t xml:space="preserve">                     </w:t>
      </w:r>
      <w:r>
        <w:rPr>
          <w:rFonts w:ascii="Times New Roman" w:hAnsi="Times New Roman" w:eastAsia="Noto Fangsong" w:cs="Times New Roman"/>
          <w:sz w:val="32"/>
          <w:szCs w:val="32"/>
        </w:rPr>
        <w:t>2026年9月</w:t>
      </w:r>
      <w:r>
        <w:rPr>
          <w:rFonts w:cs="Times New Roman"/>
          <w:sz w:val="32"/>
          <w:szCs w:val="32"/>
          <w:woUserID w:val="1"/>
        </w:rPr>
        <w:t>10</w:t>
      </w:r>
      <w:bookmarkStart w:id="0" w:name="_GoBack"/>
      <w:bookmarkEnd w:id="0"/>
      <w:r>
        <w:rPr>
          <w:rFonts w:ascii="Times New Roman" w:hAnsi="Times New Roman" w:eastAsia="Noto Fangsong" w:cs="Times New Roman"/>
          <w:sz w:val="32"/>
          <w:szCs w:val="32"/>
        </w:rPr>
        <w:t>日</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pP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（联系人：</w:t>
      </w:r>
      <w:r>
        <w:rPr>
          <w:rFonts w:hint="eastAsia" w:ascii="仿宋_GB2312" w:hAnsi="仿宋_GB2312" w:eastAsia="仿宋_GB2312" w:cs="仿宋_GB2312"/>
          <w:b w:val="0"/>
          <w:bCs w:val="0"/>
          <w:color w:val="auto"/>
          <w:sz w:val="32"/>
          <w:szCs w:val="32"/>
          <w:lang w:eastAsia="zh-CN"/>
        </w:rPr>
        <w:t>何炳贤</w:t>
      </w:r>
      <w:r>
        <w:rPr>
          <w:rFonts w:hint="eastAsia" w:ascii="仿宋_GB2312" w:hAnsi="仿宋_GB2312" w:eastAsia="仿宋_GB2312" w:cs="仿宋_GB2312"/>
          <w:b w:val="0"/>
          <w:bCs w:val="0"/>
          <w:color w:val="auto"/>
          <w:sz w:val="32"/>
          <w:szCs w:val="32"/>
        </w:rPr>
        <w:t>　联系电话：0898-</w:t>
      </w:r>
      <w:r>
        <w:rPr>
          <w:rFonts w:hint="eastAsia" w:ascii="仿宋_GB2312" w:hAnsi="仿宋_GB2312" w:eastAsia="仿宋_GB2312" w:cs="仿宋_GB2312"/>
          <w:b w:val="0"/>
          <w:bCs w:val="0"/>
          <w:color w:val="auto"/>
          <w:sz w:val="32"/>
          <w:szCs w:val="32"/>
          <w:lang w:val="en-US" w:eastAsia="zh-CN"/>
        </w:rPr>
        <w:t>88689778</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before="0" w:after="0" w:line="578"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（此件主动公开）</w:t>
      </w:r>
    </w:p>
    <w:sectPr>
      <w:pgSz w:w="11906" w:h="16838"/>
      <w:pgMar w:top="1440" w:right="1474" w:bottom="1440" w:left="158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Noto Fangsong">
    <w:altName w:val="Times New Roman"/>
    <w:panose1 w:val="00000000000000000000"/>
    <w:charset w:val="86"/>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6BAF8E5E"/>
    <w:rsid w:val="DFFA705B"/>
    <w:rsid w:val="FBFDE348"/>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Noto Fangsong"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Noto Fangsong" w:cs="Times New Roman"/>
      <w:sz w:val="32"/>
      <w:szCs w:val="32"/>
    </w:rPr>
  </w:style>
  <w:style w:type="paragraph" w:styleId="2">
    <w:name w:val="heading 1"/>
    <w:next w:val="1"/>
    <w:qFormat/>
    <w:uiPriority w:val="0"/>
    <w:rPr>
      <w:rFonts w:ascii="Times New Roman" w:hAnsi="Times New Roman" w:eastAsia="Noto Fangsong" w:cs="Times New Roman"/>
      <w:color w:val="2E74B5"/>
      <w:sz w:val="32"/>
      <w:szCs w:val="32"/>
    </w:rPr>
  </w:style>
  <w:style w:type="paragraph" w:styleId="3">
    <w:name w:val="heading 2"/>
    <w:next w:val="1"/>
    <w:qFormat/>
    <w:uiPriority w:val="0"/>
    <w:rPr>
      <w:rFonts w:ascii="Times New Roman" w:hAnsi="Times New Roman" w:eastAsia="Noto Fangsong" w:cs="Times New Roman"/>
      <w:color w:val="2E74B5"/>
      <w:sz w:val="26"/>
      <w:szCs w:val="26"/>
    </w:rPr>
  </w:style>
  <w:style w:type="paragraph" w:styleId="4">
    <w:name w:val="heading 3"/>
    <w:next w:val="1"/>
    <w:qFormat/>
    <w:uiPriority w:val="0"/>
    <w:rPr>
      <w:rFonts w:ascii="Times New Roman" w:hAnsi="Times New Roman" w:eastAsia="Noto Fangsong" w:cs="Times New Roman"/>
      <w:color w:val="1F4D78"/>
      <w:sz w:val="24"/>
      <w:szCs w:val="24"/>
    </w:rPr>
  </w:style>
  <w:style w:type="paragraph" w:styleId="5">
    <w:name w:val="heading 4"/>
    <w:next w:val="1"/>
    <w:qFormat/>
    <w:uiPriority w:val="0"/>
    <w:rPr>
      <w:rFonts w:ascii="Times New Roman" w:hAnsi="Times New Roman" w:eastAsia="Noto Fangsong" w:cs="Times New Roman"/>
      <w:i/>
      <w:iCs/>
      <w:color w:val="2E74B5"/>
      <w:sz w:val="32"/>
      <w:szCs w:val="32"/>
    </w:rPr>
  </w:style>
  <w:style w:type="paragraph" w:styleId="6">
    <w:name w:val="heading 5"/>
    <w:next w:val="1"/>
    <w:qFormat/>
    <w:uiPriority w:val="0"/>
    <w:rPr>
      <w:rFonts w:ascii="Times New Roman" w:hAnsi="Times New Roman" w:eastAsia="Noto Fangsong" w:cs="Times New Roman"/>
      <w:color w:val="2E74B5"/>
      <w:sz w:val="32"/>
      <w:szCs w:val="32"/>
    </w:rPr>
  </w:style>
  <w:style w:type="paragraph" w:styleId="7">
    <w:name w:val="heading 6"/>
    <w:next w:val="1"/>
    <w:qFormat/>
    <w:uiPriority w:val="0"/>
    <w:rPr>
      <w:rFonts w:ascii="Times New Roman" w:hAnsi="Times New Roman" w:eastAsia="Noto Fangsong" w:cs="Times New Roman"/>
      <w:color w:val="1F4D78"/>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Noto Fangsong" w:cs="Times New Roman"/>
      <w:sz w:val="20"/>
      <w:szCs w:val="20"/>
    </w:rPr>
  </w:style>
  <w:style w:type="paragraph" w:styleId="9">
    <w:name w:val="footnote text"/>
    <w:link w:val="17"/>
    <w:semiHidden/>
    <w:unhideWhenUsed/>
    <w:qFormat/>
    <w:uiPriority w:val="99"/>
    <w:pPr>
      <w:spacing w:after="0" w:line="240" w:lineRule="auto"/>
    </w:pPr>
    <w:rPr>
      <w:rFonts w:ascii="Times New Roman" w:hAnsi="Times New Roman" w:eastAsia="Noto Fangsong" w:cs="Times New Roman"/>
      <w:sz w:val="20"/>
      <w:szCs w:val="20"/>
    </w:rPr>
  </w:style>
  <w:style w:type="paragraph" w:styleId="10">
    <w:name w:val="Title"/>
    <w:qFormat/>
    <w:uiPriority w:val="0"/>
    <w:rPr>
      <w:rFonts w:ascii="Times New Roman" w:hAnsi="Times New Roman" w:eastAsia="Noto Fangsong" w:cs="Times New Roman"/>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Noto Fangsong" w:cs="Times New Roman"/>
      <w:sz w:val="32"/>
      <w:szCs w:val="32"/>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 WWO_wpscloud_20240305111834-b523323eda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huawei</cp:lastModifiedBy>
  <dcterms:modified xsi:type="dcterms:W3CDTF">2026-09-10T17:19:40Z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{"Label":"1","ContentProducer":"001191440300708461136T1WFUO","ProduceID":"9cf5eccd5113ee45583b63ef9ca65346-nn2L","ReservedCode1":"{\"Type\":\" TC260PG\",\"Version\":1,\"Bindings\":[{\"Type\":\"soft\",\"AlgID\":\"sm3\",\"Value\":\"9d2f1e9f3dccd2e718c85e887eb9b20264088f076d2efdd1558c114ceb1d2272\"},{\"Type\":\"hash\",\"AlgID\":\"sm3\",\"Value\":\"8d3784d5aac8b14fe5ea022ff2b6c8a561e3ba8d81bb979ef445f9768ba9ac3a\"}],\"PubSD\":[{\"Type\":\"DS\",\"AlgID\":\"sm2\",\"TBSData\":{\"Type\":\"Binding\",\"BType\":\"hash\"},\"Signature\":\"304502201a997b89ee3fe632eeeb84da755e77bab99510120763314f5b7180f5816bb798022100920ca1dfe651de06a7f88d5fab2c404b190fc26e457c046073625dd2a654e52b\"},{\"Type\":\"PubKey\",\"AlgID\":\"sm2\",\"KeyValue\":\"0407f79b28a17a752b3aae4305c98b48978213832729a2571850b1310b2bc9fe8fee039ccf25ebfeac27502414d9fcef792d777183c98893d226171c2f7a3289a2\"}],\"Extension\":{\"Timestamp\":1788914358,\"KeyVersion\":\"v1-TxLeOmf7bqU223\"}}","ContentPropagator":"001191440300708461136T1WFUO","PropagateID":"9cf5eccd5113ee45583b63ef9ca65346-nn2L","ReservedCode2":"{\"Type\":\" TC260PG\",\"Version\":1,\"Bindings\":[{\"Type\":\"soft\",\"AlgID\":\"sm3\",\"Value\":\"9d2f1e9f3dccd2e718c85e887eb9b20264088f076d2efdd1558c114ceb1d2272\"},{\"Type\":\"hash\",\"AlgID\":\"sm3\",\"Value\":\"8d3784d5aac8b14fe5ea022ff2b6c8a561e3ba8d81bb979ef445f9768ba9ac3a\"}],\"PubSD\":[{\"Type\":\"DS\",\"AlgID\":\"sm2\",\"TBSData\":{\"Type\":\"Binding\",\"BType\":\"hash\"},\"Signature\":\"304402202a6beac962accfd8659eb4eb13aa85497f5d4e2f206ce6ab7208b3ead31251e102207a53479de55480de050289ede5d1fa62634090b5a91954459cca1ba3c455c9ac\"},{\"Type\":\"PubKey\",\"AlgID\":\"sm2\",\"KeyValue\":\"0407f79b28a17a752b3aae4305c98b48978213832729a2571850b1310b2bc9fe8fee039ccf25ebfeac27502414d9fcef792d777183c98893d226171c2f7a3289a2\"}],\"Extension\":{\"Timestamp\":1788914358,\"KeyVersion\":\"v1-TxLeOmf7bqU223\"}}"}</vt:lpwstr>
  </property>
  <property fmtid="{D5CDD505-2E9C-101B-9397-08002B2CF9AE}" pid="3" name="KSOProductBuildVer">
    <vt:lpwstr>2052-0.0.0.0</vt:lpwstr>
  </property>
</Properties>
</file>